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2D8A80" w14:textId="3E933513" w:rsidR="00A51C82" w:rsidRPr="00A47B48" w:rsidRDefault="00E76396" w:rsidP="00A47B48">
      <w:pPr>
        <w:ind w:left="2702"/>
        <w:jc w:val="both"/>
      </w:pPr>
      <w:r>
        <w:rPr>
          <w:noProof/>
        </w:rPr>
        <w:object w:dxaOrig="1440" w:dyaOrig="1440" w14:anchorId="19DE0B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70.9pt;margin-top:0;width:1192.4pt;height:844.25pt;z-index:251667968;mso-position-horizontal-relative:text;mso-position-vertical-relative:page;mso-width-relative:page;mso-height-relative:page" wrapcoords="-27 0 -27 21561 21600 21561 21600 0 -27 0">
            <v:imagedata r:id="rId9" o:title=""/>
            <w10:wrap type="through" anchory="page"/>
          </v:shape>
          <o:OLEObject Type="Embed" ProgID="PowerPoint.Slide.12" ShapeID="_x0000_s1030" DrawAspect="Content" ObjectID="_1681290240" r:id="rId10"/>
        </w:object>
      </w:r>
      <w:r w:rsidR="00A51C82" w:rsidRPr="00A51C82">
        <w:rPr>
          <w:noProof/>
          <w:color w:val="FFFFFF"/>
          <w:sz w:val="72"/>
          <w:szCs w:val="72"/>
          <w:lang w:eastAsia="fr-FR"/>
        </w:rPr>
        <w:t>luation socio-économique</w:t>
      </w:r>
      <w:r w:rsidR="003D0219">
        <w:rPr>
          <w:noProof/>
          <w:color w:val="FFFFFF"/>
          <w:sz w:val="72"/>
          <w:szCs w:val="72"/>
          <w:lang w:eastAsia="fr-FR"/>
        </w:rPr>
        <w:t xml:space="preserve"> </w:t>
      </w:r>
      <w:r w:rsidR="00A51C82" w:rsidRPr="00A51C82">
        <w:rPr>
          <w:noProof/>
          <w:color w:val="FFFFFF"/>
          <w:sz w:val="56"/>
          <w:szCs w:val="56"/>
          <w:lang w:eastAsia="fr-FR"/>
        </w:rPr>
        <w:t>aris Express</w:t>
      </w:r>
    </w:p>
    <w:p w14:paraId="2E670C9B" w14:textId="77777777" w:rsidR="00A51C82" w:rsidRPr="00A51C82" w:rsidRDefault="00A51C82" w:rsidP="004C4CA3">
      <w:pPr>
        <w:ind w:left="2702"/>
        <w:jc w:val="both"/>
        <w:sectPr w:rsidR="00A51C82" w:rsidRPr="00A51C82" w:rsidSect="00A51C82">
          <w:headerReference w:type="default" r:id="rId11"/>
          <w:footerReference w:type="default" r:id="rId12"/>
          <w:pgSz w:w="23818" w:h="16838" w:orient="landscape" w:code="8"/>
          <w:pgMar w:top="1418" w:right="854" w:bottom="1418" w:left="1418" w:header="709" w:footer="709" w:gutter="0"/>
          <w:cols w:space="708"/>
        </w:sectPr>
      </w:pPr>
    </w:p>
    <w:p w14:paraId="425B6C1A" w14:textId="77777777" w:rsidR="00A51C82" w:rsidRPr="00A51C82" w:rsidRDefault="00A51C82" w:rsidP="0083506E">
      <w:pPr>
        <w:keepNext/>
        <w:keepLines/>
        <w:numPr>
          <w:ilvl w:val="0"/>
          <w:numId w:val="2"/>
        </w:numPr>
        <w:pBdr>
          <w:bottom w:val="single" w:sz="12" w:space="1" w:color="943634"/>
        </w:pBdr>
        <w:spacing w:before="100" w:beforeAutospacing="1" w:after="100" w:afterAutospacing="1"/>
        <w:jc w:val="both"/>
        <w:outlineLvl w:val="0"/>
        <w:rPr>
          <w:rFonts w:eastAsia="Times New Roman"/>
          <w:b/>
          <w:bCs/>
          <w:color w:val="931638"/>
          <w:sz w:val="56"/>
          <w:szCs w:val="32"/>
        </w:rPr>
        <w:sectPr w:rsidR="00A51C82" w:rsidRPr="00A51C82" w:rsidSect="00822CCC">
          <w:headerReference w:type="default" r:id="rId13"/>
          <w:footerReference w:type="default" r:id="rId14"/>
          <w:pgSz w:w="23818" w:h="16838" w:orient="landscape" w:code="8"/>
          <w:pgMar w:top="1418" w:right="1418" w:bottom="1418" w:left="1418" w:header="709" w:footer="709" w:gutter="0"/>
          <w:cols w:space="708"/>
          <w:vAlign w:val="center"/>
          <w:docGrid w:linePitch="272"/>
        </w:sectPr>
      </w:pPr>
    </w:p>
    <w:p w14:paraId="484EFA76" w14:textId="77777777" w:rsidR="00A51C82" w:rsidRPr="00A51C82" w:rsidRDefault="00A51C82" w:rsidP="004C4CA3">
      <w:pPr>
        <w:jc w:val="both"/>
        <w:rPr>
          <w:b/>
          <w:color w:val="931638"/>
          <w:sz w:val="56"/>
        </w:rPr>
      </w:pPr>
      <w:r w:rsidRPr="00A51C82">
        <w:rPr>
          <w:b/>
          <w:color w:val="931638"/>
          <w:sz w:val="56"/>
        </w:rPr>
        <w:lastRenderedPageBreak/>
        <w:t>Sommaire</w:t>
      </w:r>
    </w:p>
    <w:p w14:paraId="18EB529E" w14:textId="77777777" w:rsidR="00A51C82" w:rsidRPr="00A51C82" w:rsidRDefault="00A51C82" w:rsidP="004C4CA3">
      <w:pPr>
        <w:spacing w:after="480"/>
        <w:jc w:val="both"/>
        <w:rPr>
          <w:b/>
          <w:color w:val="931638"/>
          <w:sz w:val="56"/>
        </w:rPr>
      </w:pPr>
      <w:r w:rsidRPr="00A51C82">
        <w:rPr>
          <w:b/>
          <w:noProof/>
          <w:color w:val="931638"/>
          <w:sz w:val="56"/>
          <w:lang w:eastAsia="fr-FR"/>
        </w:rPr>
        <w:drawing>
          <wp:inline distT="0" distB="0" distL="0" distR="0" wp14:anchorId="7A7A45AA" wp14:editId="3FCF8112">
            <wp:extent cx="5752465" cy="287020"/>
            <wp:effectExtent l="0" t="0" r="635" b="0"/>
            <wp:docPr id="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2465" cy="287020"/>
                    </a:xfrm>
                    <a:prstGeom prst="rect">
                      <a:avLst/>
                    </a:prstGeom>
                    <a:noFill/>
                    <a:ln>
                      <a:noFill/>
                    </a:ln>
                  </pic:spPr>
                </pic:pic>
              </a:graphicData>
            </a:graphic>
          </wp:inline>
        </w:drawing>
      </w:r>
    </w:p>
    <w:sdt>
      <w:sdtPr>
        <w:rPr>
          <w:noProof w:val="0"/>
          <w:color w:val="auto"/>
        </w:rPr>
        <w:id w:val="-2127383943"/>
        <w:docPartObj>
          <w:docPartGallery w:val="Table of Contents"/>
          <w:docPartUnique/>
        </w:docPartObj>
      </w:sdtPr>
      <w:sdtEndPr>
        <w:rPr>
          <w:bCs/>
          <w:noProof/>
          <w:color w:val="931638"/>
        </w:rPr>
      </w:sdtEndPr>
      <w:sdtContent>
        <w:p w14:paraId="644E144F" w14:textId="5CDBC769" w:rsidR="004B30EF" w:rsidRPr="00280069" w:rsidRDefault="007F64E8" w:rsidP="00140417">
          <w:pPr>
            <w:pStyle w:val="TM1"/>
            <w:rPr>
              <w:rFonts w:asciiTheme="minorHAnsi" w:eastAsiaTheme="minorEastAsia" w:hAnsiTheme="minorHAnsi" w:cstheme="minorBidi"/>
              <w:color w:val="auto"/>
              <w:sz w:val="22"/>
              <w:szCs w:val="22"/>
              <w:lang w:eastAsia="fr-FR"/>
            </w:rPr>
          </w:pPr>
          <w:r>
            <w:rPr>
              <w:color w:val="auto"/>
            </w:rPr>
            <w:fldChar w:fldCharType="begin"/>
          </w:r>
          <w:r>
            <w:rPr>
              <w:color w:val="auto"/>
            </w:rPr>
            <w:instrText xml:space="preserve"> TOC \o "1-3" \h \z \u </w:instrText>
          </w:r>
          <w:r>
            <w:rPr>
              <w:color w:val="auto"/>
            </w:rPr>
            <w:fldChar w:fldCharType="separate"/>
          </w:r>
          <w:hyperlink w:anchor="_Toc63352117" w:history="1">
            <w:r w:rsidR="004B30EF" w:rsidRPr="00280069">
              <w:rPr>
                <w:rStyle w:val="Lienhypertexte"/>
                <w:sz w:val="22"/>
                <w:szCs w:val="22"/>
              </w:rPr>
              <w:t>1.</w:t>
            </w:r>
            <w:r w:rsidR="004B30EF" w:rsidRPr="00280069">
              <w:rPr>
                <w:rFonts w:asciiTheme="minorHAnsi" w:eastAsiaTheme="minorEastAsia" w:hAnsiTheme="minorHAnsi" w:cstheme="minorBidi"/>
                <w:color w:val="auto"/>
                <w:sz w:val="22"/>
                <w:szCs w:val="22"/>
                <w:lang w:eastAsia="fr-FR"/>
              </w:rPr>
              <w:tab/>
            </w:r>
            <w:r w:rsidR="004B30EF" w:rsidRPr="00280069">
              <w:rPr>
                <w:rStyle w:val="Lienhypertexte"/>
                <w:sz w:val="22"/>
                <w:szCs w:val="22"/>
              </w:rPr>
              <w:t>Présentation générale</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_Toc63352117 \h </w:instrText>
            </w:r>
            <w:r w:rsidR="004B30EF" w:rsidRPr="00280069">
              <w:rPr>
                <w:webHidden/>
                <w:sz w:val="22"/>
                <w:szCs w:val="22"/>
              </w:rPr>
            </w:r>
            <w:r w:rsidR="004B30EF" w:rsidRPr="00280069">
              <w:rPr>
                <w:webHidden/>
                <w:sz w:val="22"/>
                <w:szCs w:val="22"/>
              </w:rPr>
              <w:fldChar w:fldCharType="separate"/>
            </w:r>
            <w:r w:rsidR="002802BE">
              <w:rPr>
                <w:webHidden/>
                <w:sz w:val="22"/>
                <w:szCs w:val="22"/>
              </w:rPr>
              <w:t>4</w:t>
            </w:r>
            <w:r w:rsidR="004B30EF" w:rsidRPr="00280069">
              <w:rPr>
                <w:webHidden/>
                <w:sz w:val="22"/>
                <w:szCs w:val="22"/>
              </w:rPr>
              <w:fldChar w:fldCharType="end"/>
            </w:r>
          </w:hyperlink>
        </w:p>
        <w:p w14:paraId="226E0446" w14:textId="3EF01725"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18" w:history="1">
            <w:r w:rsidR="004B30EF" w:rsidRPr="00280069">
              <w:rPr>
                <w:rStyle w:val="Lienhypertexte"/>
                <w:szCs w:val="22"/>
              </w:rPr>
              <w:t>Avertissement</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_Toc63352118 \h </w:instrText>
            </w:r>
            <w:r w:rsidR="004B30EF" w:rsidRPr="00280069">
              <w:rPr>
                <w:webHidden/>
                <w:szCs w:val="22"/>
              </w:rPr>
            </w:r>
            <w:r w:rsidR="004B30EF" w:rsidRPr="00280069">
              <w:rPr>
                <w:webHidden/>
                <w:szCs w:val="22"/>
              </w:rPr>
              <w:fldChar w:fldCharType="separate"/>
            </w:r>
            <w:r w:rsidR="002802BE">
              <w:rPr>
                <w:webHidden/>
                <w:szCs w:val="22"/>
              </w:rPr>
              <w:t>6</w:t>
            </w:r>
            <w:r w:rsidR="004B30EF" w:rsidRPr="00280069">
              <w:rPr>
                <w:webHidden/>
                <w:szCs w:val="22"/>
              </w:rPr>
              <w:fldChar w:fldCharType="end"/>
            </w:r>
          </w:hyperlink>
        </w:p>
        <w:p w14:paraId="71A6C8A5" w14:textId="62BE0262"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19" w:history="1">
            <w:r w:rsidR="004B30EF" w:rsidRPr="00280069">
              <w:rPr>
                <w:rStyle w:val="Lienhypertexte"/>
                <w:szCs w:val="22"/>
                <w14:scene3d>
                  <w14:camera w14:prst="orthographicFront"/>
                  <w14:lightRig w14:rig="threePt" w14:dir="t">
                    <w14:rot w14:lat="0" w14:lon="0" w14:rev="0"/>
                  </w14:lightRig>
                </w14:scene3d>
              </w:rPr>
              <w:t>1.</w:t>
            </w:r>
            <w:r w:rsidR="004B30EF" w:rsidRPr="00280069">
              <w:rPr>
                <w:rFonts w:asciiTheme="minorHAnsi" w:eastAsiaTheme="minorEastAsia" w:hAnsiTheme="minorHAnsi" w:cstheme="minorBidi"/>
                <w:b w:val="0"/>
                <w:szCs w:val="22"/>
                <w:lang w:eastAsia="fr-FR"/>
              </w:rPr>
              <w:tab/>
            </w:r>
            <w:r w:rsidR="004B30EF" w:rsidRPr="00280069">
              <w:rPr>
                <w:rStyle w:val="Lienhypertexte"/>
                <w:szCs w:val="22"/>
              </w:rPr>
              <w:t>Présentation générale des caractéristiques et des objectifs de l’opération</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_Toc63352119 \h </w:instrText>
            </w:r>
            <w:r w:rsidR="004B30EF" w:rsidRPr="00280069">
              <w:rPr>
                <w:webHidden/>
                <w:szCs w:val="22"/>
              </w:rPr>
            </w:r>
            <w:r w:rsidR="004B30EF" w:rsidRPr="00280069">
              <w:rPr>
                <w:webHidden/>
                <w:szCs w:val="22"/>
              </w:rPr>
              <w:fldChar w:fldCharType="separate"/>
            </w:r>
            <w:r w:rsidR="002802BE">
              <w:rPr>
                <w:webHidden/>
                <w:szCs w:val="22"/>
              </w:rPr>
              <w:t>8</w:t>
            </w:r>
            <w:r w:rsidR="004B30EF" w:rsidRPr="00280069">
              <w:rPr>
                <w:webHidden/>
                <w:szCs w:val="22"/>
              </w:rPr>
              <w:fldChar w:fldCharType="end"/>
            </w:r>
          </w:hyperlink>
        </w:p>
        <w:p w14:paraId="266C4C44" w14:textId="7B1D097A"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20" w:history="1">
            <w:r w:rsidR="004B30EF" w:rsidRPr="00280069">
              <w:rPr>
                <w:rStyle w:val="Lienhypertexte"/>
                <w:szCs w:val="22"/>
                <w14:scene3d>
                  <w14:camera w14:prst="orthographicFront"/>
                  <w14:lightRig w14:rig="threePt" w14:dir="t">
                    <w14:rot w14:lat="0" w14:lon="0" w14:rev="0"/>
                  </w14:lightRig>
                </w14:scene3d>
              </w:rPr>
              <w:t>2.</w:t>
            </w:r>
            <w:r w:rsidR="004B30EF" w:rsidRPr="00280069">
              <w:rPr>
                <w:rFonts w:asciiTheme="minorHAnsi" w:eastAsiaTheme="minorEastAsia" w:hAnsiTheme="minorHAnsi" w:cstheme="minorBidi"/>
                <w:b w:val="0"/>
                <w:szCs w:val="22"/>
                <w:lang w:eastAsia="fr-FR"/>
              </w:rPr>
              <w:tab/>
            </w:r>
            <w:r w:rsidR="004B30EF" w:rsidRPr="00280069">
              <w:rPr>
                <w:rStyle w:val="Lienhypertexte"/>
                <w:szCs w:val="22"/>
              </w:rPr>
              <w:t>L’ambition économique du réseau du Grand Paris</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_Toc63352120 \h </w:instrText>
            </w:r>
            <w:r w:rsidR="004B30EF" w:rsidRPr="00280069">
              <w:rPr>
                <w:webHidden/>
                <w:szCs w:val="22"/>
              </w:rPr>
            </w:r>
            <w:r w:rsidR="004B30EF" w:rsidRPr="00280069">
              <w:rPr>
                <w:webHidden/>
                <w:szCs w:val="22"/>
              </w:rPr>
              <w:fldChar w:fldCharType="separate"/>
            </w:r>
            <w:r w:rsidR="002802BE">
              <w:rPr>
                <w:webHidden/>
                <w:szCs w:val="22"/>
              </w:rPr>
              <w:t>10</w:t>
            </w:r>
            <w:r w:rsidR="004B30EF" w:rsidRPr="00280069">
              <w:rPr>
                <w:webHidden/>
                <w:szCs w:val="22"/>
              </w:rPr>
              <w:fldChar w:fldCharType="end"/>
            </w:r>
          </w:hyperlink>
        </w:p>
        <w:p w14:paraId="23B69CF4" w14:textId="64457767"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21" w:history="1">
            <w:r w:rsidR="004B30EF" w:rsidRPr="00280069">
              <w:rPr>
                <w:rStyle w:val="Lienhypertexte"/>
                <w:szCs w:val="22"/>
                <w14:scene3d>
                  <w14:camera w14:prst="orthographicFront"/>
                  <w14:lightRig w14:rig="threePt" w14:dir="t">
                    <w14:rot w14:lat="0" w14:lon="0" w14:rev="0"/>
                  </w14:lightRig>
                </w14:scene3d>
              </w:rPr>
              <w:t>3.</w:t>
            </w:r>
            <w:r w:rsidR="004B30EF" w:rsidRPr="00280069">
              <w:rPr>
                <w:rFonts w:asciiTheme="minorHAnsi" w:eastAsiaTheme="minorEastAsia" w:hAnsiTheme="minorHAnsi" w:cstheme="minorBidi"/>
                <w:b w:val="0"/>
                <w:szCs w:val="22"/>
                <w:lang w:eastAsia="fr-FR"/>
              </w:rPr>
              <w:tab/>
            </w:r>
            <w:r w:rsidR="004B30EF" w:rsidRPr="00280069">
              <w:rPr>
                <w:rStyle w:val="Lienhypertexte"/>
                <w:szCs w:val="22"/>
              </w:rPr>
              <w:t>Construire une métropole durable</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_Toc63352121 \h </w:instrText>
            </w:r>
            <w:r w:rsidR="004B30EF" w:rsidRPr="00280069">
              <w:rPr>
                <w:webHidden/>
                <w:szCs w:val="22"/>
              </w:rPr>
            </w:r>
            <w:r w:rsidR="004B30EF" w:rsidRPr="00280069">
              <w:rPr>
                <w:webHidden/>
                <w:szCs w:val="22"/>
              </w:rPr>
              <w:fldChar w:fldCharType="separate"/>
            </w:r>
            <w:r w:rsidR="002802BE">
              <w:rPr>
                <w:webHidden/>
                <w:szCs w:val="22"/>
              </w:rPr>
              <w:t>11</w:t>
            </w:r>
            <w:r w:rsidR="004B30EF" w:rsidRPr="00280069">
              <w:rPr>
                <w:webHidden/>
                <w:szCs w:val="22"/>
              </w:rPr>
              <w:fldChar w:fldCharType="end"/>
            </w:r>
          </w:hyperlink>
        </w:p>
        <w:p w14:paraId="2FB004B9" w14:textId="4E58B14A" w:rsidR="004B30EF" w:rsidRPr="00280069" w:rsidRDefault="00E76396" w:rsidP="00140417">
          <w:pPr>
            <w:pStyle w:val="TM1"/>
            <w:rPr>
              <w:rFonts w:asciiTheme="minorHAnsi" w:eastAsiaTheme="minorEastAsia" w:hAnsiTheme="minorHAnsi" w:cstheme="minorBidi"/>
              <w:color w:val="auto"/>
              <w:sz w:val="22"/>
              <w:szCs w:val="22"/>
              <w:lang w:eastAsia="fr-FR"/>
            </w:rPr>
          </w:pPr>
          <w:hyperlink w:anchor="_Toc63352122" w:history="1">
            <w:r w:rsidR="004B30EF" w:rsidRPr="00280069">
              <w:rPr>
                <w:rStyle w:val="Lienhypertexte"/>
                <w:sz w:val="22"/>
                <w:szCs w:val="22"/>
              </w:rPr>
              <w:t>2.</w:t>
            </w:r>
            <w:r w:rsidR="004B30EF" w:rsidRPr="00280069">
              <w:rPr>
                <w:rFonts w:asciiTheme="minorHAnsi" w:eastAsiaTheme="minorEastAsia" w:hAnsiTheme="minorHAnsi" w:cstheme="minorBidi"/>
                <w:color w:val="auto"/>
                <w:sz w:val="22"/>
                <w:szCs w:val="22"/>
                <w:lang w:eastAsia="fr-FR"/>
              </w:rPr>
              <w:tab/>
            </w:r>
            <w:r w:rsidR="004B30EF" w:rsidRPr="00280069">
              <w:rPr>
                <w:rStyle w:val="Lienhypertexte"/>
                <w:sz w:val="22"/>
                <w:szCs w:val="22"/>
              </w:rPr>
              <w:t>Évaluation socio-économique selon l’instruction de juin 2014</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_Toc63352122 \h </w:instrText>
            </w:r>
            <w:r w:rsidR="004B30EF" w:rsidRPr="00280069">
              <w:rPr>
                <w:webHidden/>
                <w:sz w:val="22"/>
                <w:szCs w:val="22"/>
              </w:rPr>
            </w:r>
            <w:r w:rsidR="004B30EF" w:rsidRPr="00280069">
              <w:rPr>
                <w:webHidden/>
                <w:sz w:val="22"/>
                <w:szCs w:val="22"/>
              </w:rPr>
              <w:fldChar w:fldCharType="separate"/>
            </w:r>
            <w:r w:rsidR="002802BE">
              <w:rPr>
                <w:webHidden/>
                <w:sz w:val="22"/>
                <w:szCs w:val="22"/>
              </w:rPr>
              <w:t>12</w:t>
            </w:r>
            <w:r w:rsidR="004B30EF" w:rsidRPr="00280069">
              <w:rPr>
                <w:webHidden/>
                <w:sz w:val="22"/>
                <w:szCs w:val="22"/>
              </w:rPr>
              <w:fldChar w:fldCharType="end"/>
            </w:r>
          </w:hyperlink>
        </w:p>
        <w:p w14:paraId="0EB1FD02" w14:textId="184DC1F4"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23" w:history="1">
            <w:r w:rsidR="004B30EF" w:rsidRPr="00280069">
              <w:rPr>
                <w:rStyle w:val="Lienhypertexte"/>
                <w:szCs w:val="22"/>
                <w14:scene3d>
                  <w14:camera w14:prst="orthographicFront"/>
                  <w14:lightRig w14:rig="threePt" w14:dir="t">
                    <w14:rot w14:lat="0" w14:lon="0" w14:rev="0"/>
                  </w14:lightRig>
                </w14:scene3d>
              </w:rPr>
              <w:t>1.</w:t>
            </w:r>
            <w:r w:rsidR="004B30EF" w:rsidRPr="00280069">
              <w:rPr>
                <w:rFonts w:asciiTheme="minorHAnsi" w:eastAsiaTheme="minorEastAsia" w:hAnsiTheme="minorHAnsi" w:cstheme="minorBidi"/>
                <w:b w:val="0"/>
                <w:szCs w:val="22"/>
                <w:lang w:eastAsia="fr-FR"/>
              </w:rPr>
              <w:tab/>
            </w:r>
            <w:r w:rsidR="004B30EF" w:rsidRPr="00280069">
              <w:rPr>
                <w:rStyle w:val="Lienhypertexte"/>
                <w:szCs w:val="22"/>
              </w:rPr>
              <w:t>Les finalités et principes de l’évaluation socio-économique</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_Toc63352123 \h </w:instrText>
            </w:r>
            <w:r w:rsidR="004B30EF" w:rsidRPr="00280069">
              <w:rPr>
                <w:webHidden/>
                <w:szCs w:val="22"/>
              </w:rPr>
            </w:r>
            <w:r w:rsidR="004B30EF" w:rsidRPr="00280069">
              <w:rPr>
                <w:webHidden/>
                <w:szCs w:val="22"/>
              </w:rPr>
              <w:fldChar w:fldCharType="separate"/>
            </w:r>
            <w:r w:rsidR="002802BE">
              <w:rPr>
                <w:webHidden/>
                <w:szCs w:val="22"/>
              </w:rPr>
              <w:t>14</w:t>
            </w:r>
            <w:r w:rsidR="004B30EF" w:rsidRPr="00280069">
              <w:rPr>
                <w:webHidden/>
                <w:szCs w:val="22"/>
              </w:rPr>
              <w:fldChar w:fldCharType="end"/>
            </w:r>
          </w:hyperlink>
        </w:p>
        <w:p w14:paraId="5D43FA5C" w14:textId="57C51787" w:rsidR="004B30EF" w:rsidRPr="00280069" w:rsidRDefault="00E76396" w:rsidP="00280069">
          <w:pPr>
            <w:pStyle w:val="TM3"/>
            <w:rPr>
              <w:rFonts w:asciiTheme="minorHAnsi" w:eastAsiaTheme="minorEastAsia" w:hAnsiTheme="minorHAnsi" w:cstheme="minorBidi"/>
              <w:sz w:val="22"/>
              <w:szCs w:val="22"/>
              <w:lang w:eastAsia="fr-FR"/>
            </w:rPr>
          </w:pPr>
          <w:hyperlink w:anchor="_Toc63352124" w:history="1">
            <w:r w:rsidR="004B30EF" w:rsidRPr="00280069">
              <w:rPr>
                <w:rStyle w:val="Lienhypertexte"/>
                <w:sz w:val="22"/>
                <w:szCs w:val="22"/>
              </w:rPr>
              <w:t>1.1</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Les principes de l’évaluation socio-économique</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_Toc63352124 \h </w:instrText>
            </w:r>
            <w:r w:rsidR="004B30EF" w:rsidRPr="00280069">
              <w:rPr>
                <w:webHidden/>
                <w:sz w:val="22"/>
                <w:szCs w:val="22"/>
              </w:rPr>
            </w:r>
            <w:r w:rsidR="004B30EF" w:rsidRPr="00280069">
              <w:rPr>
                <w:webHidden/>
                <w:sz w:val="22"/>
                <w:szCs w:val="22"/>
              </w:rPr>
              <w:fldChar w:fldCharType="separate"/>
            </w:r>
            <w:r w:rsidR="002802BE">
              <w:rPr>
                <w:webHidden/>
                <w:sz w:val="22"/>
                <w:szCs w:val="22"/>
              </w:rPr>
              <w:t>14</w:t>
            </w:r>
            <w:r w:rsidR="004B30EF" w:rsidRPr="00280069">
              <w:rPr>
                <w:webHidden/>
                <w:sz w:val="22"/>
                <w:szCs w:val="22"/>
              </w:rPr>
              <w:fldChar w:fldCharType="end"/>
            </w:r>
          </w:hyperlink>
        </w:p>
        <w:p w14:paraId="13E883F3" w14:textId="4F60BE2D" w:rsidR="004B30EF" w:rsidRPr="00280069" w:rsidRDefault="00E76396" w:rsidP="00280069">
          <w:pPr>
            <w:pStyle w:val="TM3"/>
            <w:rPr>
              <w:rFonts w:asciiTheme="minorHAnsi" w:eastAsiaTheme="minorEastAsia" w:hAnsiTheme="minorHAnsi" w:cstheme="minorBidi"/>
              <w:sz w:val="22"/>
              <w:szCs w:val="22"/>
              <w:lang w:eastAsia="fr-FR"/>
            </w:rPr>
          </w:pPr>
          <w:hyperlink w:anchor="_Toc63352125" w:history="1">
            <w:r w:rsidR="004B30EF" w:rsidRPr="00280069">
              <w:rPr>
                <w:rStyle w:val="Lienhypertexte"/>
                <w:sz w:val="22"/>
                <w:szCs w:val="22"/>
              </w:rPr>
              <w:t>1.2</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Les éléments pris en compte dans l’évaluation socio-économique</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_Toc63352125 \h </w:instrText>
            </w:r>
            <w:r w:rsidR="004B30EF" w:rsidRPr="00280069">
              <w:rPr>
                <w:webHidden/>
                <w:sz w:val="22"/>
                <w:szCs w:val="22"/>
              </w:rPr>
            </w:r>
            <w:r w:rsidR="004B30EF" w:rsidRPr="00280069">
              <w:rPr>
                <w:webHidden/>
                <w:sz w:val="22"/>
                <w:szCs w:val="22"/>
              </w:rPr>
              <w:fldChar w:fldCharType="separate"/>
            </w:r>
            <w:r w:rsidR="002802BE">
              <w:rPr>
                <w:webHidden/>
                <w:sz w:val="22"/>
                <w:szCs w:val="22"/>
              </w:rPr>
              <w:t>15</w:t>
            </w:r>
            <w:r w:rsidR="004B30EF" w:rsidRPr="00280069">
              <w:rPr>
                <w:webHidden/>
                <w:sz w:val="22"/>
                <w:szCs w:val="22"/>
              </w:rPr>
              <w:fldChar w:fldCharType="end"/>
            </w:r>
          </w:hyperlink>
        </w:p>
        <w:p w14:paraId="5A1AC3AA" w14:textId="198255D0"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26" w:history="1">
            <w:r w:rsidR="004B30EF" w:rsidRPr="00280069">
              <w:rPr>
                <w:rStyle w:val="Lienhypertexte"/>
                <w:szCs w:val="22"/>
                <w14:scene3d>
                  <w14:camera w14:prst="orthographicFront"/>
                  <w14:lightRig w14:rig="threePt" w14:dir="t">
                    <w14:rot w14:lat="0" w14:lon="0" w14:rev="0"/>
                  </w14:lightRig>
                </w14:scene3d>
              </w:rPr>
              <w:t>2.</w:t>
            </w:r>
            <w:r w:rsidR="004B30EF" w:rsidRPr="00280069">
              <w:rPr>
                <w:rFonts w:asciiTheme="minorHAnsi" w:eastAsiaTheme="minorEastAsia" w:hAnsiTheme="minorHAnsi" w:cstheme="minorBidi"/>
                <w:b w:val="0"/>
                <w:szCs w:val="22"/>
                <w:lang w:eastAsia="fr-FR"/>
              </w:rPr>
              <w:tab/>
            </w:r>
            <w:r w:rsidR="004B30EF" w:rsidRPr="00280069">
              <w:rPr>
                <w:rStyle w:val="Lienhypertexte"/>
                <w:szCs w:val="22"/>
              </w:rPr>
              <w:t>Les prévisions de trafic</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_Toc63352126 \h </w:instrText>
            </w:r>
            <w:r w:rsidR="004B30EF" w:rsidRPr="00280069">
              <w:rPr>
                <w:webHidden/>
                <w:szCs w:val="22"/>
              </w:rPr>
            </w:r>
            <w:r w:rsidR="004B30EF" w:rsidRPr="00280069">
              <w:rPr>
                <w:webHidden/>
                <w:szCs w:val="22"/>
              </w:rPr>
              <w:fldChar w:fldCharType="separate"/>
            </w:r>
            <w:r w:rsidR="002802BE">
              <w:rPr>
                <w:webHidden/>
                <w:szCs w:val="22"/>
              </w:rPr>
              <w:t>18</w:t>
            </w:r>
            <w:r w:rsidR="004B30EF" w:rsidRPr="00280069">
              <w:rPr>
                <w:webHidden/>
                <w:szCs w:val="22"/>
              </w:rPr>
              <w:fldChar w:fldCharType="end"/>
            </w:r>
          </w:hyperlink>
        </w:p>
        <w:p w14:paraId="4FD1280C" w14:textId="70891BEE" w:rsidR="004B30EF" w:rsidRPr="00280069" w:rsidRDefault="00E76396" w:rsidP="00140417">
          <w:pPr>
            <w:pStyle w:val="TM1"/>
            <w:rPr>
              <w:rFonts w:asciiTheme="minorHAnsi" w:eastAsiaTheme="minorEastAsia" w:hAnsiTheme="minorHAnsi" w:cstheme="minorBidi"/>
              <w:color w:val="auto"/>
              <w:sz w:val="22"/>
              <w:szCs w:val="22"/>
              <w:lang w:eastAsia="fr-FR"/>
            </w:rPr>
          </w:pPr>
          <w:hyperlink w:anchor="_Toc63352127" w:history="1">
            <w:r w:rsidR="004B30EF" w:rsidRPr="00280069">
              <w:rPr>
                <w:rStyle w:val="Lienhypertexte"/>
                <w:sz w:val="22"/>
                <w:szCs w:val="22"/>
              </w:rPr>
              <w:t>3.</w:t>
            </w:r>
            <w:r w:rsidR="004B30EF" w:rsidRPr="00280069">
              <w:rPr>
                <w:rFonts w:asciiTheme="minorHAnsi" w:eastAsiaTheme="minorEastAsia" w:hAnsiTheme="minorHAnsi" w:cstheme="minorBidi"/>
                <w:color w:val="auto"/>
                <w:sz w:val="22"/>
                <w:szCs w:val="22"/>
                <w:lang w:eastAsia="fr-FR"/>
              </w:rPr>
              <w:tab/>
            </w:r>
            <w:r w:rsidR="004B30EF" w:rsidRPr="00280069">
              <w:rPr>
                <w:rStyle w:val="Lienhypertexte"/>
                <w:sz w:val="22"/>
                <w:szCs w:val="22"/>
              </w:rPr>
              <w:t>Évaluation socio-économique à l’échelle du Grand Paris Express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_Toc63352127 \h </w:instrText>
            </w:r>
            <w:r w:rsidR="004B30EF" w:rsidRPr="00280069">
              <w:rPr>
                <w:webHidden/>
                <w:sz w:val="22"/>
                <w:szCs w:val="22"/>
              </w:rPr>
            </w:r>
            <w:r w:rsidR="004B30EF" w:rsidRPr="00280069">
              <w:rPr>
                <w:webHidden/>
                <w:sz w:val="22"/>
                <w:szCs w:val="22"/>
              </w:rPr>
              <w:fldChar w:fldCharType="separate"/>
            </w:r>
            <w:r w:rsidR="002802BE">
              <w:rPr>
                <w:webHidden/>
                <w:sz w:val="22"/>
                <w:szCs w:val="22"/>
              </w:rPr>
              <w:t>20</w:t>
            </w:r>
            <w:r w:rsidR="004B30EF" w:rsidRPr="00280069">
              <w:rPr>
                <w:webHidden/>
                <w:sz w:val="22"/>
                <w:szCs w:val="22"/>
              </w:rPr>
              <w:fldChar w:fldCharType="end"/>
            </w:r>
          </w:hyperlink>
        </w:p>
        <w:p w14:paraId="25FA45A7" w14:textId="021A8A31"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28" w:history="1">
            <w:r w:rsidR="004B30EF" w:rsidRPr="00280069">
              <w:rPr>
                <w:rStyle w:val="Lienhypertexte"/>
                <w:szCs w:val="22"/>
                <w14:scene3d>
                  <w14:camera w14:prst="orthographicFront"/>
                  <w14:lightRig w14:rig="threePt" w14:dir="t">
                    <w14:rot w14:lat="0" w14:lon="0" w14:rev="0"/>
                  </w14:lightRig>
                </w14:scene3d>
              </w:rPr>
              <w:t>1.</w:t>
            </w:r>
            <w:r w:rsidR="004B30EF" w:rsidRPr="00280069">
              <w:rPr>
                <w:rFonts w:asciiTheme="minorHAnsi" w:eastAsiaTheme="minorEastAsia" w:hAnsiTheme="minorHAnsi" w:cstheme="minorBidi"/>
                <w:b w:val="0"/>
                <w:szCs w:val="22"/>
                <w:lang w:eastAsia="fr-FR"/>
              </w:rPr>
              <w:tab/>
            </w:r>
            <w:r w:rsidR="004B30EF" w:rsidRPr="00280069">
              <w:rPr>
                <w:rStyle w:val="Lienhypertexte"/>
                <w:szCs w:val="22"/>
              </w:rPr>
              <w:t>L’analyse stratégique et les variantes</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_Toc63352128 \h </w:instrText>
            </w:r>
            <w:r w:rsidR="004B30EF" w:rsidRPr="00280069">
              <w:rPr>
                <w:webHidden/>
                <w:szCs w:val="22"/>
              </w:rPr>
            </w:r>
            <w:r w:rsidR="004B30EF" w:rsidRPr="00280069">
              <w:rPr>
                <w:webHidden/>
                <w:szCs w:val="22"/>
              </w:rPr>
              <w:fldChar w:fldCharType="separate"/>
            </w:r>
            <w:r w:rsidR="002802BE">
              <w:rPr>
                <w:webHidden/>
                <w:szCs w:val="22"/>
              </w:rPr>
              <w:t>22</w:t>
            </w:r>
            <w:r w:rsidR="004B30EF" w:rsidRPr="00280069">
              <w:rPr>
                <w:webHidden/>
                <w:szCs w:val="22"/>
              </w:rPr>
              <w:fldChar w:fldCharType="end"/>
            </w:r>
          </w:hyperlink>
        </w:p>
        <w:p w14:paraId="0D4EE3B9" w14:textId="307DEF6F" w:rsidR="004B30EF" w:rsidRPr="00280069" w:rsidRDefault="00E76396" w:rsidP="00280069">
          <w:pPr>
            <w:pStyle w:val="TM3"/>
            <w:rPr>
              <w:rFonts w:asciiTheme="minorHAnsi" w:eastAsiaTheme="minorEastAsia" w:hAnsiTheme="minorHAnsi" w:cstheme="minorBidi"/>
              <w:sz w:val="22"/>
              <w:szCs w:val="22"/>
              <w:lang w:eastAsia="fr-FR"/>
            </w:rPr>
          </w:pPr>
          <w:hyperlink w:anchor="_Toc63352129" w:history="1">
            <w:r w:rsidR="004B30EF" w:rsidRPr="00280069">
              <w:rPr>
                <w:rStyle w:val="Lienhypertexte"/>
                <w:sz w:val="22"/>
                <w:szCs w:val="22"/>
              </w:rPr>
              <w:t>1.1</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 caractère itératif de l’analyse stratégique</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_Toc63352129 \h </w:instrText>
            </w:r>
            <w:r w:rsidR="004B30EF" w:rsidRPr="00280069">
              <w:rPr>
                <w:webHidden/>
                <w:sz w:val="22"/>
                <w:szCs w:val="22"/>
              </w:rPr>
            </w:r>
            <w:r w:rsidR="004B30EF" w:rsidRPr="00280069">
              <w:rPr>
                <w:webHidden/>
                <w:sz w:val="22"/>
                <w:szCs w:val="22"/>
              </w:rPr>
              <w:fldChar w:fldCharType="separate"/>
            </w:r>
            <w:r w:rsidR="002802BE">
              <w:rPr>
                <w:webHidden/>
                <w:sz w:val="22"/>
                <w:szCs w:val="22"/>
              </w:rPr>
              <w:t>22</w:t>
            </w:r>
            <w:r w:rsidR="004B30EF" w:rsidRPr="00280069">
              <w:rPr>
                <w:webHidden/>
                <w:sz w:val="22"/>
                <w:szCs w:val="22"/>
              </w:rPr>
              <w:fldChar w:fldCharType="end"/>
            </w:r>
          </w:hyperlink>
        </w:p>
        <w:p w14:paraId="2682F1B2" w14:textId="388BF817" w:rsidR="004B30EF" w:rsidRPr="00280069" w:rsidRDefault="00E76396" w:rsidP="00280069">
          <w:pPr>
            <w:pStyle w:val="TM3"/>
            <w:rPr>
              <w:rFonts w:asciiTheme="minorHAnsi" w:eastAsiaTheme="minorEastAsia" w:hAnsiTheme="minorHAnsi" w:cstheme="minorBidi"/>
              <w:sz w:val="22"/>
              <w:szCs w:val="22"/>
              <w:lang w:eastAsia="fr-FR"/>
            </w:rPr>
          </w:pPr>
          <w:hyperlink w:anchor="_Toc63352130" w:history="1">
            <w:r w:rsidR="004B30EF" w:rsidRPr="00280069">
              <w:rPr>
                <w:rStyle w:val="Lienhypertexte"/>
                <w:sz w:val="22"/>
                <w:szCs w:val="22"/>
              </w:rPr>
              <w:t>1.2</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Des premières études d’opportunité sur le réseau de transport public du Grand Paris au débat public conjoint avec Arc Express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_Toc63352130 \h </w:instrText>
            </w:r>
            <w:r w:rsidR="004B30EF" w:rsidRPr="00280069">
              <w:rPr>
                <w:webHidden/>
                <w:sz w:val="22"/>
                <w:szCs w:val="22"/>
              </w:rPr>
            </w:r>
            <w:r w:rsidR="004B30EF" w:rsidRPr="00280069">
              <w:rPr>
                <w:webHidden/>
                <w:sz w:val="22"/>
                <w:szCs w:val="22"/>
              </w:rPr>
              <w:fldChar w:fldCharType="separate"/>
            </w:r>
            <w:r w:rsidR="002802BE">
              <w:rPr>
                <w:webHidden/>
                <w:sz w:val="22"/>
                <w:szCs w:val="22"/>
              </w:rPr>
              <w:t>22</w:t>
            </w:r>
            <w:r w:rsidR="004B30EF" w:rsidRPr="00280069">
              <w:rPr>
                <w:webHidden/>
                <w:sz w:val="22"/>
                <w:szCs w:val="22"/>
              </w:rPr>
              <w:fldChar w:fldCharType="end"/>
            </w:r>
          </w:hyperlink>
        </w:p>
        <w:p w14:paraId="087F0A11" w14:textId="6D6FA367" w:rsidR="004B30EF" w:rsidRPr="00280069" w:rsidRDefault="00E76396" w:rsidP="00280069">
          <w:pPr>
            <w:pStyle w:val="TM3"/>
            <w:rPr>
              <w:rFonts w:asciiTheme="minorHAnsi" w:eastAsiaTheme="minorEastAsia" w:hAnsiTheme="minorHAnsi" w:cstheme="minorBidi"/>
              <w:sz w:val="22"/>
              <w:szCs w:val="22"/>
              <w:lang w:eastAsia="fr-FR"/>
            </w:rPr>
          </w:pPr>
          <w:hyperlink w:anchor="_Toc63352131" w:history="1">
            <w:r w:rsidR="004B30EF" w:rsidRPr="00280069">
              <w:rPr>
                <w:rStyle w:val="Lienhypertexte"/>
                <w:sz w:val="22"/>
                <w:szCs w:val="22"/>
              </w:rPr>
              <w:t>1.3</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L’émergence d’un projet partagé et la naissance du Grand Paris Express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_Toc63352131 \h </w:instrText>
            </w:r>
            <w:r w:rsidR="004B30EF" w:rsidRPr="00280069">
              <w:rPr>
                <w:webHidden/>
                <w:sz w:val="22"/>
                <w:szCs w:val="22"/>
              </w:rPr>
            </w:r>
            <w:r w:rsidR="004B30EF" w:rsidRPr="00280069">
              <w:rPr>
                <w:webHidden/>
                <w:sz w:val="22"/>
                <w:szCs w:val="22"/>
              </w:rPr>
              <w:fldChar w:fldCharType="separate"/>
            </w:r>
            <w:r w:rsidR="002802BE">
              <w:rPr>
                <w:webHidden/>
                <w:sz w:val="22"/>
                <w:szCs w:val="22"/>
              </w:rPr>
              <w:t>23</w:t>
            </w:r>
            <w:r w:rsidR="004B30EF" w:rsidRPr="00280069">
              <w:rPr>
                <w:webHidden/>
                <w:sz w:val="22"/>
                <w:szCs w:val="22"/>
              </w:rPr>
              <w:fldChar w:fldCharType="end"/>
            </w:r>
          </w:hyperlink>
        </w:p>
        <w:p w14:paraId="0CB1DDD5" w14:textId="2A5A2B52" w:rsidR="004B30EF" w:rsidRPr="00280069" w:rsidRDefault="00E76396" w:rsidP="00280069">
          <w:pPr>
            <w:pStyle w:val="TM3"/>
            <w:rPr>
              <w:rFonts w:asciiTheme="minorHAnsi" w:eastAsiaTheme="minorEastAsia" w:hAnsiTheme="minorHAnsi" w:cstheme="minorBidi"/>
              <w:sz w:val="22"/>
              <w:szCs w:val="22"/>
              <w:lang w:eastAsia="fr-FR"/>
            </w:rPr>
          </w:pPr>
          <w:hyperlink w:anchor="_Toc63352132" w:history="1">
            <w:r w:rsidR="004B30EF" w:rsidRPr="00280069">
              <w:rPr>
                <w:rStyle w:val="Lienhypertexte"/>
                <w:sz w:val="22"/>
                <w:szCs w:val="22"/>
              </w:rPr>
              <w:t>1.4</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 Nouveau Grand Paris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_Toc63352132 \h </w:instrText>
            </w:r>
            <w:r w:rsidR="004B30EF" w:rsidRPr="00280069">
              <w:rPr>
                <w:webHidden/>
                <w:sz w:val="22"/>
                <w:szCs w:val="22"/>
              </w:rPr>
            </w:r>
            <w:r w:rsidR="004B30EF" w:rsidRPr="00280069">
              <w:rPr>
                <w:webHidden/>
                <w:sz w:val="22"/>
                <w:szCs w:val="22"/>
              </w:rPr>
              <w:fldChar w:fldCharType="separate"/>
            </w:r>
            <w:r w:rsidR="002802BE">
              <w:rPr>
                <w:webHidden/>
                <w:sz w:val="22"/>
                <w:szCs w:val="22"/>
              </w:rPr>
              <w:t>24</w:t>
            </w:r>
            <w:r w:rsidR="004B30EF" w:rsidRPr="00280069">
              <w:rPr>
                <w:webHidden/>
                <w:sz w:val="22"/>
                <w:szCs w:val="22"/>
              </w:rPr>
              <w:fldChar w:fldCharType="end"/>
            </w:r>
          </w:hyperlink>
        </w:p>
        <w:p w14:paraId="1E97FBF0" w14:textId="6FC0F110" w:rsidR="004B30EF" w:rsidRPr="00280069" w:rsidRDefault="00E76396" w:rsidP="00280069">
          <w:pPr>
            <w:pStyle w:val="TM3"/>
            <w:rPr>
              <w:rFonts w:asciiTheme="minorHAnsi" w:eastAsiaTheme="minorEastAsia" w:hAnsiTheme="minorHAnsi" w:cstheme="minorBidi"/>
              <w:sz w:val="22"/>
              <w:szCs w:val="22"/>
              <w:lang w:eastAsia="fr-FR"/>
            </w:rPr>
          </w:pPr>
          <w:hyperlink w:anchor="_Toc63352133" w:history="1">
            <w:r w:rsidR="004B30EF" w:rsidRPr="00280069">
              <w:rPr>
                <w:rStyle w:val="Lienhypertexte"/>
                <w:sz w:val="22"/>
                <w:szCs w:val="22"/>
              </w:rPr>
              <w:t>1.5</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Les décisions de février 2018</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_Toc63352133 \h </w:instrText>
            </w:r>
            <w:r w:rsidR="004B30EF" w:rsidRPr="00280069">
              <w:rPr>
                <w:webHidden/>
                <w:sz w:val="22"/>
                <w:szCs w:val="22"/>
              </w:rPr>
            </w:r>
            <w:r w:rsidR="004B30EF" w:rsidRPr="00280069">
              <w:rPr>
                <w:webHidden/>
                <w:sz w:val="22"/>
                <w:szCs w:val="22"/>
              </w:rPr>
              <w:fldChar w:fldCharType="separate"/>
            </w:r>
            <w:r w:rsidR="002802BE">
              <w:rPr>
                <w:webHidden/>
                <w:sz w:val="22"/>
                <w:szCs w:val="22"/>
              </w:rPr>
              <w:t>25</w:t>
            </w:r>
            <w:r w:rsidR="004B30EF" w:rsidRPr="00280069">
              <w:rPr>
                <w:webHidden/>
                <w:sz w:val="22"/>
                <w:szCs w:val="22"/>
              </w:rPr>
              <w:fldChar w:fldCharType="end"/>
            </w:r>
          </w:hyperlink>
        </w:p>
        <w:p w14:paraId="47A8EB92" w14:textId="41FBC3D3"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34" w:history="1">
            <w:r w:rsidR="004B30EF" w:rsidRPr="00280069">
              <w:rPr>
                <w:rStyle w:val="Lienhypertexte"/>
                <w:szCs w:val="22"/>
                <w14:scene3d>
                  <w14:camera w14:prst="orthographicFront"/>
                  <w14:lightRig w14:rig="threePt" w14:dir="t">
                    <w14:rot w14:lat="0" w14:lon="0" w14:rev="0"/>
                  </w14:lightRig>
                </w14:scene3d>
              </w:rPr>
              <w:t>2.</w:t>
            </w:r>
            <w:r w:rsidR="004B30EF" w:rsidRPr="00280069">
              <w:rPr>
                <w:rFonts w:asciiTheme="minorHAnsi" w:eastAsiaTheme="minorEastAsia" w:hAnsiTheme="minorHAnsi" w:cstheme="minorBidi"/>
                <w:b w:val="0"/>
                <w:szCs w:val="22"/>
                <w:lang w:eastAsia="fr-FR"/>
              </w:rPr>
              <w:tab/>
            </w:r>
            <w:r w:rsidR="004B30EF" w:rsidRPr="00280069">
              <w:rPr>
                <w:rStyle w:val="Lienhypertexte"/>
                <w:szCs w:val="22"/>
              </w:rPr>
              <w:t>Les prévisions de trafic</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_Toc63352134 \h </w:instrText>
            </w:r>
            <w:r w:rsidR="004B30EF" w:rsidRPr="00280069">
              <w:rPr>
                <w:webHidden/>
                <w:szCs w:val="22"/>
              </w:rPr>
            </w:r>
            <w:r w:rsidR="004B30EF" w:rsidRPr="00280069">
              <w:rPr>
                <w:webHidden/>
                <w:szCs w:val="22"/>
              </w:rPr>
              <w:fldChar w:fldCharType="separate"/>
            </w:r>
            <w:r w:rsidR="002802BE">
              <w:rPr>
                <w:webHidden/>
                <w:szCs w:val="22"/>
              </w:rPr>
              <w:t>26</w:t>
            </w:r>
            <w:r w:rsidR="004B30EF" w:rsidRPr="00280069">
              <w:rPr>
                <w:webHidden/>
                <w:szCs w:val="22"/>
              </w:rPr>
              <w:fldChar w:fldCharType="end"/>
            </w:r>
          </w:hyperlink>
        </w:p>
        <w:p w14:paraId="36622186" w14:textId="68B80874" w:rsidR="004B30EF" w:rsidRPr="00280069" w:rsidRDefault="00E76396" w:rsidP="00280069">
          <w:pPr>
            <w:pStyle w:val="TM3"/>
            <w:rPr>
              <w:rFonts w:asciiTheme="minorHAnsi" w:eastAsiaTheme="minorEastAsia" w:hAnsiTheme="minorHAnsi" w:cstheme="minorBidi"/>
              <w:sz w:val="22"/>
              <w:szCs w:val="22"/>
              <w:lang w:eastAsia="fr-FR"/>
            </w:rPr>
          </w:pPr>
          <w:hyperlink w:anchor="_Toc63352135" w:history="1">
            <w:r w:rsidR="004B30EF" w:rsidRPr="00280069">
              <w:rPr>
                <w:rStyle w:val="Lienhypertexte"/>
                <w:sz w:val="22"/>
                <w:szCs w:val="22"/>
              </w:rPr>
              <w:t>2.1</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Hypothèses prises en compte</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_Toc63352135 \h </w:instrText>
            </w:r>
            <w:r w:rsidR="004B30EF" w:rsidRPr="00280069">
              <w:rPr>
                <w:webHidden/>
                <w:sz w:val="22"/>
                <w:szCs w:val="22"/>
              </w:rPr>
            </w:r>
            <w:r w:rsidR="004B30EF" w:rsidRPr="00280069">
              <w:rPr>
                <w:webHidden/>
                <w:sz w:val="22"/>
                <w:szCs w:val="22"/>
              </w:rPr>
              <w:fldChar w:fldCharType="separate"/>
            </w:r>
            <w:r w:rsidR="002802BE">
              <w:rPr>
                <w:webHidden/>
                <w:sz w:val="22"/>
                <w:szCs w:val="22"/>
              </w:rPr>
              <w:t>26</w:t>
            </w:r>
            <w:r w:rsidR="004B30EF" w:rsidRPr="00280069">
              <w:rPr>
                <w:webHidden/>
                <w:sz w:val="22"/>
                <w:szCs w:val="22"/>
              </w:rPr>
              <w:fldChar w:fldCharType="end"/>
            </w:r>
          </w:hyperlink>
        </w:p>
        <w:p w14:paraId="6DACD137" w14:textId="14B7C948" w:rsidR="004B30EF" w:rsidRPr="00280069" w:rsidRDefault="00E76396" w:rsidP="00280069">
          <w:pPr>
            <w:pStyle w:val="TM3"/>
            <w:rPr>
              <w:rFonts w:asciiTheme="minorHAnsi" w:eastAsiaTheme="minorEastAsia" w:hAnsiTheme="minorHAnsi" w:cstheme="minorBidi"/>
              <w:sz w:val="22"/>
              <w:szCs w:val="22"/>
              <w:lang w:eastAsia="fr-FR"/>
            </w:rPr>
          </w:pPr>
          <w:hyperlink w:anchor="_Toc63352136" w:history="1">
            <w:r w:rsidR="004B30EF" w:rsidRPr="00280069">
              <w:rPr>
                <w:rStyle w:val="Lienhypertexte"/>
                <w:sz w:val="22"/>
                <w:szCs w:val="22"/>
              </w:rPr>
              <w:t>2.2</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Principaux résultats des études de trafic sur l’ensemble du réseau du Grand Paris Express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_Toc63352136 \h </w:instrText>
            </w:r>
            <w:r w:rsidR="004B30EF" w:rsidRPr="00280069">
              <w:rPr>
                <w:webHidden/>
                <w:sz w:val="22"/>
                <w:szCs w:val="22"/>
              </w:rPr>
            </w:r>
            <w:r w:rsidR="004B30EF" w:rsidRPr="00280069">
              <w:rPr>
                <w:webHidden/>
                <w:sz w:val="22"/>
                <w:szCs w:val="22"/>
              </w:rPr>
              <w:fldChar w:fldCharType="separate"/>
            </w:r>
            <w:r w:rsidR="002802BE">
              <w:rPr>
                <w:webHidden/>
                <w:sz w:val="22"/>
                <w:szCs w:val="22"/>
              </w:rPr>
              <w:t>29</w:t>
            </w:r>
            <w:r w:rsidR="004B30EF" w:rsidRPr="00280069">
              <w:rPr>
                <w:webHidden/>
                <w:sz w:val="22"/>
                <w:szCs w:val="22"/>
              </w:rPr>
              <w:fldChar w:fldCharType="end"/>
            </w:r>
          </w:hyperlink>
        </w:p>
        <w:p w14:paraId="19E32C62" w14:textId="5F168D05" w:rsidR="004B30EF" w:rsidRPr="00280069" w:rsidRDefault="00E76396" w:rsidP="00280069">
          <w:pPr>
            <w:pStyle w:val="TM3"/>
            <w:rPr>
              <w:rFonts w:asciiTheme="minorHAnsi" w:eastAsiaTheme="minorEastAsia" w:hAnsiTheme="minorHAnsi" w:cstheme="minorBidi"/>
              <w:sz w:val="22"/>
              <w:szCs w:val="22"/>
              <w:lang w:eastAsia="fr-FR"/>
            </w:rPr>
          </w:pPr>
          <w:hyperlink w:anchor="_Toc63352137" w:history="1">
            <w:r w:rsidR="004B30EF" w:rsidRPr="00280069">
              <w:rPr>
                <w:rStyle w:val="Lienhypertexte"/>
                <w:sz w:val="22"/>
                <w:szCs w:val="22"/>
              </w:rPr>
              <w:t>2.3</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Les trafics des lignes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_Toc63352137 \h </w:instrText>
            </w:r>
            <w:r w:rsidR="004B30EF" w:rsidRPr="00280069">
              <w:rPr>
                <w:webHidden/>
                <w:sz w:val="22"/>
                <w:szCs w:val="22"/>
              </w:rPr>
            </w:r>
            <w:r w:rsidR="004B30EF" w:rsidRPr="00280069">
              <w:rPr>
                <w:webHidden/>
                <w:sz w:val="22"/>
                <w:szCs w:val="22"/>
              </w:rPr>
              <w:fldChar w:fldCharType="separate"/>
            </w:r>
            <w:r w:rsidR="002802BE">
              <w:rPr>
                <w:webHidden/>
                <w:sz w:val="22"/>
                <w:szCs w:val="22"/>
              </w:rPr>
              <w:t>31</w:t>
            </w:r>
            <w:r w:rsidR="004B30EF" w:rsidRPr="00280069">
              <w:rPr>
                <w:webHidden/>
                <w:sz w:val="22"/>
                <w:szCs w:val="22"/>
              </w:rPr>
              <w:fldChar w:fldCharType="end"/>
            </w:r>
          </w:hyperlink>
        </w:p>
        <w:p w14:paraId="3B2A79C1" w14:textId="5BF3CE82"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38" w:history="1">
            <w:r w:rsidR="004B30EF" w:rsidRPr="00280069">
              <w:rPr>
                <w:rStyle w:val="Lienhypertexte"/>
                <w:szCs w:val="22"/>
                <w14:scene3d>
                  <w14:camera w14:prst="orthographicFront"/>
                  <w14:lightRig w14:rig="threePt" w14:dir="t">
                    <w14:rot w14:lat="0" w14:lon="0" w14:rev="0"/>
                  </w14:lightRig>
                </w14:scene3d>
              </w:rPr>
              <w:t>3.</w:t>
            </w:r>
            <w:r w:rsidR="004B30EF" w:rsidRPr="00280069">
              <w:rPr>
                <w:rFonts w:asciiTheme="minorHAnsi" w:eastAsiaTheme="minorEastAsia" w:hAnsiTheme="minorHAnsi" w:cstheme="minorBidi"/>
                <w:b w:val="0"/>
                <w:szCs w:val="22"/>
                <w:lang w:eastAsia="fr-FR"/>
              </w:rPr>
              <w:tab/>
            </w:r>
            <w:r w:rsidR="004B30EF" w:rsidRPr="00280069">
              <w:rPr>
                <w:rStyle w:val="Lienhypertexte"/>
                <w:szCs w:val="22"/>
              </w:rPr>
              <w:t>Création de valeur par fonctionnalité</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_Toc63352138 \h </w:instrText>
            </w:r>
            <w:r w:rsidR="004B30EF" w:rsidRPr="00280069">
              <w:rPr>
                <w:webHidden/>
                <w:szCs w:val="22"/>
              </w:rPr>
            </w:r>
            <w:r w:rsidR="004B30EF" w:rsidRPr="00280069">
              <w:rPr>
                <w:webHidden/>
                <w:szCs w:val="22"/>
              </w:rPr>
              <w:fldChar w:fldCharType="separate"/>
            </w:r>
            <w:r w:rsidR="002802BE">
              <w:rPr>
                <w:webHidden/>
                <w:szCs w:val="22"/>
              </w:rPr>
              <w:t>36</w:t>
            </w:r>
            <w:r w:rsidR="004B30EF" w:rsidRPr="00280069">
              <w:rPr>
                <w:webHidden/>
                <w:szCs w:val="22"/>
              </w:rPr>
              <w:fldChar w:fldCharType="end"/>
            </w:r>
          </w:hyperlink>
        </w:p>
        <w:p w14:paraId="678DA5E5" w14:textId="11B2C9A9" w:rsidR="004B30EF" w:rsidRPr="00280069" w:rsidRDefault="00E76396" w:rsidP="00280069">
          <w:pPr>
            <w:pStyle w:val="TM3"/>
            <w:rPr>
              <w:rFonts w:asciiTheme="minorHAnsi" w:eastAsiaTheme="minorEastAsia" w:hAnsiTheme="minorHAnsi" w:cstheme="minorBidi"/>
              <w:sz w:val="22"/>
              <w:szCs w:val="22"/>
              <w:lang w:eastAsia="fr-FR"/>
            </w:rPr>
          </w:pPr>
          <w:hyperlink w:anchor="_Toc63352139" w:history="1">
            <w:r w:rsidR="004B30EF" w:rsidRPr="00280069">
              <w:rPr>
                <w:rStyle w:val="Lienhypertexte"/>
                <w:sz w:val="22"/>
                <w:szCs w:val="22"/>
              </w:rPr>
              <w:t>3.1</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Les gains de temps pour les usagers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_Toc63352139 \h </w:instrText>
            </w:r>
            <w:r w:rsidR="004B30EF" w:rsidRPr="00280069">
              <w:rPr>
                <w:webHidden/>
                <w:sz w:val="22"/>
                <w:szCs w:val="22"/>
              </w:rPr>
            </w:r>
            <w:r w:rsidR="004B30EF" w:rsidRPr="00280069">
              <w:rPr>
                <w:webHidden/>
                <w:sz w:val="22"/>
                <w:szCs w:val="22"/>
              </w:rPr>
              <w:fldChar w:fldCharType="separate"/>
            </w:r>
            <w:r w:rsidR="002802BE">
              <w:rPr>
                <w:webHidden/>
                <w:sz w:val="22"/>
                <w:szCs w:val="22"/>
              </w:rPr>
              <w:t>36</w:t>
            </w:r>
            <w:r w:rsidR="004B30EF" w:rsidRPr="00280069">
              <w:rPr>
                <w:webHidden/>
                <w:sz w:val="22"/>
                <w:szCs w:val="22"/>
              </w:rPr>
              <w:fldChar w:fldCharType="end"/>
            </w:r>
          </w:hyperlink>
        </w:p>
        <w:p w14:paraId="402238A7" w14:textId="38568A1B" w:rsidR="004B30EF" w:rsidRPr="00280069" w:rsidRDefault="00E76396" w:rsidP="00280069">
          <w:pPr>
            <w:pStyle w:val="TM3"/>
            <w:rPr>
              <w:rFonts w:asciiTheme="minorHAnsi" w:eastAsiaTheme="minorEastAsia" w:hAnsiTheme="minorHAnsi" w:cstheme="minorBidi"/>
              <w:sz w:val="22"/>
              <w:szCs w:val="22"/>
              <w:lang w:eastAsia="fr-FR"/>
            </w:rPr>
          </w:pPr>
          <w:hyperlink w:anchor="_Toc63352140" w:history="1">
            <w:r w:rsidR="004B30EF" w:rsidRPr="00280069">
              <w:rPr>
                <w:rStyle w:val="Lienhypertexte"/>
                <w:sz w:val="22"/>
                <w:szCs w:val="22"/>
              </w:rPr>
              <w:t>3.2</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L’amélioration de l’accessibilité régionale</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_Toc63352140 \h </w:instrText>
            </w:r>
            <w:r w:rsidR="004B30EF" w:rsidRPr="00280069">
              <w:rPr>
                <w:webHidden/>
                <w:sz w:val="22"/>
                <w:szCs w:val="22"/>
              </w:rPr>
            </w:r>
            <w:r w:rsidR="004B30EF" w:rsidRPr="00280069">
              <w:rPr>
                <w:webHidden/>
                <w:sz w:val="22"/>
                <w:szCs w:val="22"/>
              </w:rPr>
              <w:fldChar w:fldCharType="separate"/>
            </w:r>
            <w:r w:rsidR="002802BE">
              <w:rPr>
                <w:webHidden/>
                <w:sz w:val="22"/>
                <w:szCs w:val="22"/>
              </w:rPr>
              <w:t>36</w:t>
            </w:r>
            <w:r w:rsidR="004B30EF" w:rsidRPr="00280069">
              <w:rPr>
                <w:webHidden/>
                <w:sz w:val="22"/>
                <w:szCs w:val="22"/>
              </w:rPr>
              <w:fldChar w:fldCharType="end"/>
            </w:r>
          </w:hyperlink>
        </w:p>
        <w:p w14:paraId="7BE43F2C" w14:textId="4D4AFBCB"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41" w:history="1">
            <w:r w:rsidR="004B30EF" w:rsidRPr="00280069">
              <w:rPr>
                <w:rStyle w:val="Lienhypertexte"/>
                <w:szCs w:val="22"/>
                <w14:scene3d>
                  <w14:camera w14:prst="orthographicFront"/>
                  <w14:lightRig w14:rig="threePt" w14:dir="t">
                    <w14:rot w14:lat="0" w14:lon="0" w14:rev="0"/>
                  </w14:lightRig>
                </w14:scene3d>
              </w:rPr>
              <w:t>4.</w:t>
            </w:r>
            <w:r w:rsidR="004B30EF" w:rsidRPr="00280069">
              <w:rPr>
                <w:rFonts w:asciiTheme="minorHAnsi" w:eastAsiaTheme="minorEastAsia" w:hAnsiTheme="minorHAnsi" w:cstheme="minorBidi"/>
                <w:b w:val="0"/>
                <w:szCs w:val="22"/>
                <w:lang w:eastAsia="fr-FR"/>
              </w:rPr>
              <w:tab/>
            </w:r>
            <w:r w:rsidR="004B30EF" w:rsidRPr="00280069">
              <w:rPr>
                <w:rStyle w:val="Lienhypertexte"/>
                <w:szCs w:val="22"/>
              </w:rPr>
              <w:t>Coûts du programme</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_Toc63352141 \h </w:instrText>
            </w:r>
            <w:r w:rsidR="004B30EF" w:rsidRPr="00280069">
              <w:rPr>
                <w:webHidden/>
                <w:szCs w:val="22"/>
              </w:rPr>
            </w:r>
            <w:r w:rsidR="004B30EF" w:rsidRPr="00280069">
              <w:rPr>
                <w:webHidden/>
                <w:szCs w:val="22"/>
              </w:rPr>
              <w:fldChar w:fldCharType="separate"/>
            </w:r>
            <w:r w:rsidR="002802BE">
              <w:rPr>
                <w:webHidden/>
                <w:szCs w:val="22"/>
              </w:rPr>
              <w:t>38</w:t>
            </w:r>
            <w:r w:rsidR="004B30EF" w:rsidRPr="00280069">
              <w:rPr>
                <w:webHidden/>
                <w:szCs w:val="22"/>
              </w:rPr>
              <w:fldChar w:fldCharType="end"/>
            </w:r>
          </w:hyperlink>
        </w:p>
        <w:p w14:paraId="7E587963" w14:textId="5F7CCC73" w:rsidR="004B30EF" w:rsidRPr="00280069" w:rsidRDefault="00E76396" w:rsidP="00280069">
          <w:pPr>
            <w:pStyle w:val="TM3"/>
            <w:rPr>
              <w:rFonts w:asciiTheme="minorHAnsi" w:eastAsiaTheme="minorEastAsia" w:hAnsiTheme="minorHAnsi" w:cstheme="minorBidi"/>
              <w:sz w:val="22"/>
              <w:szCs w:val="22"/>
              <w:lang w:eastAsia="fr-FR"/>
            </w:rPr>
          </w:pPr>
          <w:hyperlink w:anchor="_Toc63352142" w:history="1">
            <w:r w:rsidR="004B30EF" w:rsidRPr="00280069">
              <w:rPr>
                <w:rStyle w:val="Lienhypertexte"/>
                <w:sz w:val="22"/>
                <w:szCs w:val="22"/>
              </w:rPr>
              <w:t>4.1</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Coûts d’investissement</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_Toc63352142 \h </w:instrText>
            </w:r>
            <w:r w:rsidR="004B30EF" w:rsidRPr="00280069">
              <w:rPr>
                <w:webHidden/>
                <w:sz w:val="22"/>
                <w:szCs w:val="22"/>
              </w:rPr>
            </w:r>
            <w:r w:rsidR="004B30EF" w:rsidRPr="00280069">
              <w:rPr>
                <w:webHidden/>
                <w:sz w:val="22"/>
                <w:szCs w:val="22"/>
              </w:rPr>
              <w:fldChar w:fldCharType="separate"/>
            </w:r>
            <w:r w:rsidR="002802BE">
              <w:rPr>
                <w:webHidden/>
                <w:sz w:val="22"/>
                <w:szCs w:val="22"/>
              </w:rPr>
              <w:t>38</w:t>
            </w:r>
            <w:r w:rsidR="004B30EF" w:rsidRPr="00280069">
              <w:rPr>
                <w:webHidden/>
                <w:sz w:val="22"/>
                <w:szCs w:val="22"/>
              </w:rPr>
              <w:fldChar w:fldCharType="end"/>
            </w:r>
          </w:hyperlink>
        </w:p>
        <w:p w14:paraId="2335B54A" w14:textId="75D319E0" w:rsidR="004B30EF" w:rsidRPr="00280069" w:rsidRDefault="00E76396" w:rsidP="00280069">
          <w:pPr>
            <w:pStyle w:val="TM3"/>
            <w:rPr>
              <w:rFonts w:asciiTheme="minorHAnsi" w:eastAsiaTheme="minorEastAsia" w:hAnsiTheme="minorHAnsi" w:cstheme="minorBidi"/>
              <w:sz w:val="22"/>
              <w:szCs w:val="22"/>
              <w:lang w:eastAsia="fr-FR"/>
            </w:rPr>
          </w:pPr>
          <w:hyperlink w:anchor="_Toc63352143" w:history="1">
            <w:r w:rsidR="004B30EF" w:rsidRPr="00280069">
              <w:rPr>
                <w:rStyle w:val="Lienhypertexte"/>
                <w:sz w:val="22"/>
                <w:szCs w:val="22"/>
              </w:rPr>
              <w:t>4.2</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Coûts d’exploitation</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_Toc63352143 \h </w:instrText>
            </w:r>
            <w:r w:rsidR="004B30EF" w:rsidRPr="00280069">
              <w:rPr>
                <w:webHidden/>
                <w:sz w:val="22"/>
                <w:szCs w:val="22"/>
              </w:rPr>
            </w:r>
            <w:r w:rsidR="004B30EF" w:rsidRPr="00280069">
              <w:rPr>
                <w:webHidden/>
                <w:sz w:val="22"/>
                <w:szCs w:val="22"/>
              </w:rPr>
              <w:fldChar w:fldCharType="separate"/>
            </w:r>
            <w:r w:rsidR="002802BE">
              <w:rPr>
                <w:webHidden/>
                <w:sz w:val="22"/>
                <w:szCs w:val="22"/>
              </w:rPr>
              <w:t>38</w:t>
            </w:r>
            <w:r w:rsidR="004B30EF" w:rsidRPr="00280069">
              <w:rPr>
                <w:webHidden/>
                <w:sz w:val="22"/>
                <w:szCs w:val="22"/>
              </w:rPr>
              <w:fldChar w:fldCharType="end"/>
            </w:r>
          </w:hyperlink>
        </w:p>
        <w:p w14:paraId="5E78A821" w14:textId="7F6CDFB7"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44" w:history="1">
            <w:r w:rsidR="004B30EF" w:rsidRPr="00280069">
              <w:rPr>
                <w:rStyle w:val="Lienhypertexte"/>
                <w:szCs w:val="22"/>
                <w14:scene3d>
                  <w14:camera w14:prst="orthographicFront"/>
                  <w14:lightRig w14:rig="threePt" w14:dir="t">
                    <w14:rot w14:lat="0" w14:lon="0" w14:rev="0"/>
                  </w14:lightRig>
                </w14:scene3d>
              </w:rPr>
              <w:t>5.</w:t>
            </w:r>
            <w:r w:rsidR="004B30EF" w:rsidRPr="00280069">
              <w:rPr>
                <w:rFonts w:asciiTheme="minorHAnsi" w:eastAsiaTheme="minorEastAsia" w:hAnsiTheme="minorHAnsi" w:cstheme="minorBidi"/>
                <w:b w:val="0"/>
                <w:szCs w:val="22"/>
                <w:lang w:eastAsia="fr-FR"/>
              </w:rPr>
              <w:tab/>
            </w:r>
            <w:r w:rsidR="004B30EF" w:rsidRPr="00280069">
              <w:rPr>
                <w:rStyle w:val="Lienhypertexte"/>
                <w:szCs w:val="22"/>
              </w:rPr>
              <w:t>Bilan quantitatif des effets socio-économiques du programme Grand Paris Express</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_Toc63352144 \h </w:instrText>
            </w:r>
            <w:r w:rsidR="004B30EF" w:rsidRPr="00280069">
              <w:rPr>
                <w:webHidden/>
                <w:szCs w:val="22"/>
              </w:rPr>
            </w:r>
            <w:r w:rsidR="004B30EF" w:rsidRPr="00280069">
              <w:rPr>
                <w:webHidden/>
                <w:szCs w:val="22"/>
              </w:rPr>
              <w:fldChar w:fldCharType="separate"/>
            </w:r>
            <w:r w:rsidR="002802BE">
              <w:rPr>
                <w:webHidden/>
                <w:szCs w:val="22"/>
              </w:rPr>
              <w:t>39</w:t>
            </w:r>
            <w:r w:rsidR="004B30EF" w:rsidRPr="00280069">
              <w:rPr>
                <w:webHidden/>
                <w:szCs w:val="22"/>
              </w:rPr>
              <w:fldChar w:fldCharType="end"/>
            </w:r>
          </w:hyperlink>
        </w:p>
        <w:p w14:paraId="55D6E86E" w14:textId="1F7C8A4F" w:rsidR="004B30EF" w:rsidRPr="00280069" w:rsidRDefault="00E76396" w:rsidP="00280069">
          <w:pPr>
            <w:pStyle w:val="TM3"/>
            <w:rPr>
              <w:rFonts w:asciiTheme="minorHAnsi" w:eastAsiaTheme="minorEastAsia" w:hAnsiTheme="minorHAnsi" w:cstheme="minorBidi"/>
              <w:sz w:val="22"/>
              <w:szCs w:val="22"/>
              <w:lang w:eastAsia="fr-FR"/>
            </w:rPr>
          </w:pPr>
          <w:hyperlink w:anchor="_Toc63352145" w:history="1">
            <w:r w:rsidR="004B30EF" w:rsidRPr="00280069">
              <w:rPr>
                <w:rStyle w:val="Lienhypertexte"/>
                <w:sz w:val="22"/>
                <w:szCs w:val="22"/>
              </w:rPr>
              <w:t>5.1</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La méthodologie</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_Toc63352145 \h </w:instrText>
            </w:r>
            <w:r w:rsidR="004B30EF" w:rsidRPr="00280069">
              <w:rPr>
                <w:webHidden/>
                <w:sz w:val="22"/>
                <w:szCs w:val="22"/>
              </w:rPr>
            </w:r>
            <w:r w:rsidR="004B30EF" w:rsidRPr="00280069">
              <w:rPr>
                <w:webHidden/>
                <w:sz w:val="22"/>
                <w:szCs w:val="22"/>
              </w:rPr>
              <w:fldChar w:fldCharType="separate"/>
            </w:r>
            <w:r w:rsidR="002802BE">
              <w:rPr>
                <w:webHidden/>
                <w:sz w:val="22"/>
                <w:szCs w:val="22"/>
              </w:rPr>
              <w:t>39</w:t>
            </w:r>
            <w:r w:rsidR="004B30EF" w:rsidRPr="00280069">
              <w:rPr>
                <w:webHidden/>
                <w:sz w:val="22"/>
                <w:szCs w:val="22"/>
              </w:rPr>
              <w:fldChar w:fldCharType="end"/>
            </w:r>
          </w:hyperlink>
        </w:p>
        <w:p w14:paraId="309FBA20" w14:textId="3BF13AF7" w:rsidR="004B30EF" w:rsidRPr="00280069" w:rsidRDefault="00E76396" w:rsidP="00280069">
          <w:pPr>
            <w:pStyle w:val="TM3"/>
            <w:rPr>
              <w:rFonts w:asciiTheme="minorHAnsi" w:eastAsiaTheme="minorEastAsia" w:hAnsiTheme="minorHAnsi" w:cstheme="minorBidi"/>
              <w:sz w:val="22"/>
              <w:szCs w:val="22"/>
              <w:lang w:eastAsia="fr-FR"/>
            </w:rPr>
          </w:pPr>
          <w:hyperlink w:anchor="_Toc63352146" w:history="1">
            <w:r w:rsidR="004B30EF" w:rsidRPr="00280069">
              <w:rPr>
                <w:rStyle w:val="Lienhypertexte"/>
                <w:sz w:val="22"/>
                <w:szCs w:val="22"/>
              </w:rPr>
              <w:t>5.2</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Les options étudiées et le cadre de référence macroéconomique</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_Toc63352146 \h </w:instrText>
            </w:r>
            <w:r w:rsidR="004B30EF" w:rsidRPr="00280069">
              <w:rPr>
                <w:webHidden/>
                <w:sz w:val="22"/>
                <w:szCs w:val="22"/>
              </w:rPr>
            </w:r>
            <w:r w:rsidR="004B30EF" w:rsidRPr="00280069">
              <w:rPr>
                <w:webHidden/>
                <w:sz w:val="22"/>
                <w:szCs w:val="22"/>
              </w:rPr>
              <w:fldChar w:fldCharType="separate"/>
            </w:r>
            <w:r w:rsidR="002802BE">
              <w:rPr>
                <w:webHidden/>
                <w:sz w:val="22"/>
                <w:szCs w:val="22"/>
              </w:rPr>
              <w:t>41</w:t>
            </w:r>
            <w:r w:rsidR="004B30EF" w:rsidRPr="00280069">
              <w:rPr>
                <w:webHidden/>
                <w:sz w:val="22"/>
                <w:szCs w:val="22"/>
              </w:rPr>
              <w:fldChar w:fldCharType="end"/>
            </w:r>
          </w:hyperlink>
        </w:p>
        <w:p w14:paraId="7AB42242" w14:textId="254B2036" w:rsidR="004B30EF" w:rsidRPr="00280069" w:rsidRDefault="00E76396" w:rsidP="00280069">
          <w:pPr>
            <w:pStyle w:val="TM3"/>
            <w:rPr>
              <w:rFonts w:asciiTheme="minorHAnsi" w:eastAsiaTheme="minorEastAsia" w:hAnsiTheme="minorHAnsi" w:cstheme="minorBidi"/>
              <w:sz w:val="22"/>
              <w:szCs w:val="22"/>
              <w:lang w:eastAsia="fr-FR"/>
            </w:rPr>
          </w:pPr>
          <w:hyperlink w:anchor="_Toc63352147" w:history="1">
            <w:r w:rsidR="004B30EF" w:rsidRPr="00280069">
              <w:rPr>
                <w:rStyle w:val="Lienhypertexte"/>
                <w:sz w:val="22"/>
                <w:szCs w:val="22"/>
              </w:rPr>
              <w:t>5.3</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Les résultats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_Toc63352147 \h </w:instrText>
            </w:r>
            <w:r w:rsidR="004B30EF" w:rsidRPr="00280069">
              <w:rPr>
                <w:webHidden/>
                <w:sz w:val="22"/>
                <w:szCs w:val="22"/>
              </w:rPr>
            </w:r>
            <w:r w:rsidR="004B30EF" w:rsidRPr="00280069">
              <w:rPr>
                <w:webHidden/>
                <w:sz w:val="22"/>
                <w:szCs w:val="22"/>
              </w:rPr>
              <w:fldChar w:fldCharType="separate"/>
            </w:r>
            <w:r w:rsidR="002802BE">
              <w:rPr>
                <w:webHidden/>
                <w:sz w:val="22"/>
                <w:szCs w:val="22"/>
              </w:rPr>
              <w:t>46</w:t>
            </w:r>
            <w:r w:rsidR="004B30EF" w:rsidRPr="00280069">
              <w:rPr>
                <w:webHidden/>
                <w:sz w:val="22"/>
                <w:szCs w:val="22"/>
              </w:rPr>
              <w:fldChar w:fldCharType="end"/>
            </w:r>
          </w:hyperlink>
        </w:p>
        <w:p w14:paraId="6B932680" w14:textId="408B7434" w:rsidR="004B30EF" w:rsidRPr="00280069" w:rsidRDefault="00E76396" w:rsidP="00280069">
          <w:pPr>
            <w:pStyle w:val="TM3"/>
            <w:rPr>
              <w:rFonts w:asciiTheme="minorHAnsi" w:eastAsiaTheme="minorEastAsia" w:hAnsiTheme="minorHAnsi" w:cstheme="minorBidi"/>
              <w:sz w:val="22"/>
              <w:szCs w:val="22"/>
              <w:lang w:eastAsia="fr-FR"/>
            </w:rPr>
          </w:pPr>
          <w:hyperlink w:anchor="_Toc63352148" w:history="1">
            <w:r w:rsidR="004B30EF" w:rsidRPr="00280069">
              <w:rPr>
                <w:rStyle w:val="Lienhypertexte"/>
                <w:sz w:val="22"/>
                <w:szCs w:val="22"/>
              </w:rPr>
              <w:t>5.4</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L’analyse de la rentabilité globale du projet</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_Toc63352148 \h </w:instrText>
            </w:r>
            <w:r w:rsidR="004B30EF" w:rsidRPr="00280069">
              <w:rPr>
                <w:webHidden/>
                <w:sz w:val="22"/>
                <w:szCs w:val="22"/>
              </w:rPr>
            </w:r>
            <w:r w:rsidR="004B30EF" w:rsidRPr="00280069">
              <w:rPr>
                <w:webHidden/>
                <w:sz w:val="22"/>
                <w:szCs w:val="22"/>
              </w:rPr>
              <w:fldChar w:fldCharType="separate"/>
            </w:r>
            <w:r w:rsidR="002802BE">
              <w:rPr>
                <w:webHidden/>
                <w:sz w:val="22"/>
                <w:szCs w:val="22"/>
              </w:rPr>
              <w:t>55</w:t>
            </w:r>
            <w:r w:rsidR="004B30EF" w:rsidRPr="00280069">
              <w:rPr>
                <w:webHidden/>
                <w:sz w:val="22"/>
                <w:szCs w:val="22"/>
              </w:rPr>
              <w:fldChar w:fldCharType="end"/>
            </w:r>
          </w:hyperlink>
        </w:p>
        <w:p w14:paraId="0738E554" w14:textId="4DF47900" w:rsidR="004B30EF" w:rsidRPr="00280069" w:rsidRDefault="00E76396" w:rsidP="00280069">
          <w:pPr>
            <w:pStyle w:val="TM3"/>
            <w:rPr>
              <w:rFonts w:asciiTheme="minorHAnsi" w:eastAsiaTheme="minorEastAsia" w:hAnsiTheme="minorHAnsi" w:cstheme="minorBidi"/>
              <w:sz w:val="22"/>
              <w:szCs w:val="22"/>
              <w:lang w:eastAsia="fr-FR"/>
            </w:rPr>
          </w:pPr>
          <w:hyperlink w:anchor="_Toc63352149" w:history="1">
            <w:r w:rsidR="004B30EF" w:rsidRPr="00280069">
              <w:rPr>
                <w:rStyle w:val="Lienhypertexte"/>
                <w:sz w:val="22"/>
                <w:szCs w:val="22"/>
              </w:rPr>
              <w:t>5.5</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 bilan socio-économique par acteur</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_Toc63352149 \h </w:instrText>
            </w:r>
            <w:r w:rsidR="004B30EF" w:rsidRPr="00280069">
              <w:rPr>
                <w:webHidden/>
                <w:sz w:val="22"/>
                <w:szCs w:val="22"/>
              </w:rPr>
            </w:r>
            <w:r w:rsidR="004B30EF" w:rsidRPr="00280069">
              <w:rPr>
                <w:webHidden/>
                <w:sz w:val="22"/>
                <w:szCs w:val="22"/>
              </w:rPr>
              <w:fldChar w:fldCharType="separate"/>
            </w:r>
            <w:r w:rsidR="002802BE">
              <w:rPr>
                <w:webHidden/>
                <w:sz w:val="22"/>
                <w:szCs w:val="22"/>
              </w:rPr>
              <w:t>55</w:t>
            </w:r>
            <w:r w:rsidR="004B30EF" w:rsidRPr="00280069">
              <w:rPr>
                <w:webHidden/>
                <w:sz w:val="22"/>
                <w:szCs w:val="22"/>
              </w:rPr>
              <w:fldChar w:fldCharType="end"/>
            </w:r>
          </w:hyperlink>
        </w:p>
        <w:p w14:paraId="2CC27F7D" w14:textId="2D28151E" w:rsidR="004B30EF" w:rsidRPr="00280069" w:rsidRDefault="00E76396" w:rsidP="00280069">
          <w:pPr>
            <w:pStyle w:val="TM3"/>
            <w:rPr>
              <w:rFonts w:asciiTheme="minorHAnsi" w:eastAsiaTheme="minorEastAsia" w:hAnsiTheme="minorHAnsi" w:cstheme="minorBidi"/>
              <w:sz w:val="22"/>
              <w:szCs w:val="22"/>
              <w:lang w:eastAsia="fr-FR"/>
            </w:rPr>
          </w:pPr>
          <w:hyperlink w:anchor="_Toc63352150" w:history="1">
            <w:r w:rsidR="004B30EF" w:rsidRPr="00280069">
              <w:rPr>
                <w:rStyle w:val="Lienhypertexte"/>
                <w:sz w:val="22"/>
                <w:szCs w:val="22"/>
              </w:rPr>
              <w:t>5.6</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 bilan social et territorial</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_Toc63352150 \h </w:instrText>
            </w:r>
            <w:r w:rsidR="004B30EF" w:rsidRPr="00280069">
              <w:rPr>
                <w:webHidden/>
                <w:sz w:val="22"/>
                <w:szCs w:val="22"/>
              </w:rPr>
            </w:r>
            <w:r w:rsidR="004B30EF" w:rsidRPr="00280069">
              <w:rPr>
                <w:webHidden/>
                <w:sz w:val="22"/>
                <w:szCs w:val="22"/>
              </w:rPr>
              <w:fldChar w:fldCharType="separate"/>
            </w:r>
            <w:r w:rsidR="002802BE">
              <w:rPr>
                <w:webHidden/>
                <w:sz w:val="22"/>
                <w:szCs w:val="22"/>
              </w:rPr>
              <w:t>56</w:t>
            </w:r>
            <w:r w:rsidR="004B30EF" w:rsidRPr="00280069">
              <w:rPr>
                <w:webHidden/>
                <w:sz w:val="22"/>
                <w:szCs w:val="22"/>
              </w:rPr>
              <w:fldChar w:fldCharType="end"/>
            </w:r>
          </w:hyperlink>
        </w:p>
        <w:p w14:paraId="3CA1AC30" w14:textId="46D2D679" w:rsidR="004B30EF" w:rsidRPr="00280069" w:rsidRDefault="00E76396" w:rsidP="00280069">
          <w:pPr>
            <w:pStyle w:val="TM3"/>
            <w:rPr>
              <w:rFonts w:asciiTheme="minorHAnsi" w:eastAsiaTheme="minorEastAsia" w:hAnsiTheme="minorHAnsi" w:cstheme="minorBidi"/>
              <w:sz w:val="22"/>
              <w:szCs w:val="22"/>
              <w:lang w:eastAsia="fr-FR"/>
            </w:rPr>
          </w:pPr>
          <w:hyperlink w:anchor="_Toc63352151" w:history="1">
            <w:r w:rsidR="004B30EF" w:rsidRPr="00280069">
              <w:rPr>
                <w:rStyle w:val="Lienhypertexte"/>
                <w:sz w:val="22"/>
                <w:szCs w:val="22"/>
              </w:rPr>
              <w:t>5.7</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Les variantes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_Toc63352151 \h </w:instrText>
            </w:r>
            <w:r w:rsidR="004B30EF" w:rsidRPr="00280069">
              <w:rPr>
                <w:webHidden/>
                <w:sz w:val="22"/>
                <w:szCs w:val="22"/>
              </w:rPr>
            </w:r>
            <w:r w:rsidR="004B30EF" w:rsidRPr="00280069">
              <w:rPr>
                <w:webHidden/>
                <w:sz w:val="22"/>
                <w:szCs w:val="22"/>
              </w:rPr>
              <w:fldChar w:fldCharType="separate"/>
            </w:r>
            <w:r w:rsidR="002802BE">
              <w:rPr>
                <w:webHidden/>
                <w:sz w:val="22"/>
                <w:szCs w:val="22"/>
              </w:rPr>
              <w:t>57</w:t>
            </w:r>
            <w:r w:rsidR="004B30EF" w:rsidRPr="00280069">
              <w:rPr>
                <w:webHidden/>
                <w:sz w:val="22"/>
                <w:szCs w:val="22"/>
              </w:rPr>
              <w:fldChar w:fldCharType="end"/>
            </w:r>
          </w:hyperlink>
        </w:p>
        <w:p w14:paraId="215775BF" w14:textId="2C491488" w:rsidR="004B30EF" w:rsidRPr="00280069" w:rsidRDefault="00E76396" w:rsidP="00280069">
          <w:pPr>
            <w:pStyle w:val="TM3"/>
            <w:rPr>
              <w:rFonts w:asciiTheme="minorHAnsi" w:eastAsiaTheme="minorEastAsia" w:hAnsiTheme="minorHAnsi" w:cstheme="minorBidi"/>
              <w:sz w:val="22"/>
              <w:szCs w:val="22"/>
              <w:lang w:eastAsia="fr-FR"/>
            </w:rPr>
          </w:pPr>
          <w:hyperlink w:anchor="_Toc63352152" w:history="1">
            <w:r w:rsidR="004B30EF" w:rsidRPr="00280069">
              <w:rPr>
                <w:rStyle w:val="Lienhypertexte"/>
                <w:color w:val="00B050"/>
                <w:sz w:val="22"/>
                <w:szCs w:val="22"/>
              </w:rPr>
              <w:t>5.8</w:t>
            </w:r>
            <w:r w:rsidR="004B30EF" w:rsidRPr="00280069">
              <w:rPr>
                <w:rFonts w:asciiTheme="minorHAnsi" w:eastAsiaTheme="minorEastAsia" w:hAnsiTheme="minorHAnsi" w:cstheme="minorBidi"/>
                <w:sz w:val="22"/>
                <w:szCs w:val="22"/>
                <w:lang w:eastAsia="fr-FR"/>
              </w:rPr>
              <w:tab/>
            </w:r>
            <w:r w:rsidR="004B30EF" w:rsidRPr="00280069">
              <w:rPr>
                <w:rStyle w:val="Lienhypertexte"/>
                <w:color w:val="00B050"/>
                <w:sz w:val="22"/>
                <w:szCs w:val="22"/>
              </w:rPr>
              <w:t>Les perspectives « post COVID »</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_Toc63352152 \h </w:instrText>
            </w:r>
            <w:r w:rsidR="004B30EF" w:rsidRPr="00280069">
              <w:rPr>
                <w:webHidden/>
                <w:sz w:val="22"/>
                <w:szCs w:val="22"/>
              </w:rPr>
            </w:r>
            <w:r w:rsidR="004B30EF" w:rsidRPr="00280069">
              <w:rPr>
                <w:webHidden/>
                <w:sz w:val="22"/>
                <w:szCs w:val="22"/>
              </w:rPr>
              <w:fldChar w:fldCharType="separate"/>
            </w:r>
            <w:r w:rsidR="002802BE">
              <w:rPr>
                <w:webHidden/>
                <w:sz w:val="22"/>
                <w:szCs w:val="22"/>
              </w:rPr>
              <w:t>58</w:t>
            </w:r>
            <w:r w:rsidR="004B30EF" w:rsidRPr="00280069">
              <w:rPr>
                <w:webHidden/>
                <w:sz w:val="22"/>
                <w:szCs w:val="22"/>
              </w:rPr>
              <w:fldChar w:fldCharType="end"/>
            </w:r>
          </w:hyperlink>
        </w:p>
        <w:p w14:paraId="334CDEBA" w14:textId="78B30FB2" w:rsidR="004B30EF" w:rsidRPr="00280069" w:rsidRDefault="00E76396" w:rsidP="00280069">
          <w:pPr>
            <w:pStyle w:val="TM3"/>
            <w:rPr>
              <w:rFonts w:asciiTheme="minorHAnsi" w:eastAsiaTheme="minorEastAsia" w:hAnsiTheme="minorHAnsi" w:cstheme="minorBidi"/>
              <w:sz w:val="22"/>
              <w:szCs w:val="22"/>
              <w:lang w:eastAsia="fr-FR"/>
            </w:rPr>
          </w:pPr>
          <w:hyperlink w:anchor="_Toc63352153" w:history="1">
            <w:r w:rsidR="004B30EF" w:rsidRPr="00280069">
              <w:rPr>
                <w:rStyle w:val="Lienhypertexte"/>
                <w:sz w:val="22"/>
                <w:szCs w:val="22"/>
              </w:rPr>
              <w:t>5.9</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L’analyse des risques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_Toc63352153 \h </w:instrText>
            </w:r>
            <w:r w:rsidR="004B30EF" w:rsidRPr="00280069">
              <w:rPr>
                <w:webHidden/>
                <w:sz w:val="22"/>
                <w:szCs w:val="22"/>
              </w:rPr>
            </w:r>
            <w:r w:rsidR="004B30EF" w:rsidRPr="00280069">
              <w:rPr>
                <w:webHidden/>
                <w:sz w:val="22"/>
                <w:szCs w:val="22"/>
              </w:rPr>
              <w:fldChar w:fldCharType="separate"/>
            </w:r>
            <w:r w:rsidR="002802BE">
              <w:rPr>
                <w:webHidden/>
                <w:sz w:val="22"/>
                <w:szCs w:val="22"/>
              </w:rPr>
              <w:t>60</w:t>
            </w:r>
            <w:r w:rsidR="004B30EF" w:rsidRPr="00280069">
              <w:rPr>
                <w:webHidden/>
                <w:sz w:val="22"/>
                <w:szCs w:val="22"/>
              </w:rPr>
              <w:fldChar w:fldCharType="end"/>
            </w:r>
          </w:hyperlink>
        </w:p>
        <w:p w14:paraId="27096435" w14:textId="6E08F002" w:rsidR="004B30EF" w:rsidRPr="00280069" w:rsidRDefault="00E76396" w:rsidP="00280069">
          <w:pPr>
            <w:pStyle w:val="TM3"/>
            <w:rPr>
              <w:rFonts w:asciiTheme="minorHAnsi" w:eastAsiaTheme="minorEastAsia" w:hAnsiTheme="minorHAnsi" w:cstheme="minorBidi"/>
              <w:sz w:val="22"/>
              <w:szCs w:val="22"/>
              <w:lang w:eastAsia="fr-FR"/>
            </w:rPr>
          </w:pPr>
          <w:hyperlink w:anchor="_Toc63352154" w:history="1">
            <w:r w:rsidR="004B30EF" w:rsidRPr="00280069">
              <w:rPr>
                <w:rStyle w:val="Lienhypertexte"/>
                <w:sz w:val="22"/>
                <w:szCs w:val="22"/>
              </w:rPr>
              <w:t>5.10</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Le calcul de la date optimale de mise en service</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_Toc63352154 \h </w:instrText>
            </w:r>
            <w:r w:rsidR="004B30EF" w:rsidRPr="00280069">
              <w:rPr>
                <w:webHidden/>
                <w:sz w:val="22"/>
                <w:szCs w:val="22"/>
              </w:rPr>
            </w:r>
            <w:r w:rsidR="004B30EF" w:rsidRPr="00280069">
              <w:rPr>
                <w:webHidden/>
                <w:sz w:val="22"/>
                <w:szCs w:val="22"/>
              </w:rPr>
              <w:fldChar w:fldCharType="separate"/>
            </w:r>
            <w:r w:rsidR="002802BE">
              <w:rPr>
                <w:webHidden/>
                <w:sz w:val="22"/>
                <w:szCs w:val="22"/>
              </w:rPr>
              <w:t>61</w:t>
            </w:r>
            <w:r w:rsidR="004B30EF" w:rsidRPr="00280069">
              <w:rPr>
                <w:webHidden/>
                <w:sz w:val="22"/>
                <w:szCs w:val="22"/>
              </w:rPr>
              <w:fldChar w:fldCharType="end"/>
            </w:r>
          </w:hyperlink>
        </w:p>
        <w:p w14:paraId="2E56088A" w14:textId="5EC3ABB2" w:rsidR="004B30EF" w:rsidRPr="00280069" w:rsidRDefault="00E76396" w:rsidP="00280069">
          <w:pPr>
            <w:pStyle w:val="TM3"/>
            <w:rPr>
              <w:rFonts w:asciiTheme="minorHAnsi" w:eastAsiaTheme="minorEastAsia" w:hAnsiTheme="minorHAnsi" w:cstheme="minorBidi"/>
              <w:sz w:val="22"/>
              <w:szCs w:val="22"/>
              <w:lang w:eastAsia="fr-FR"/>
            </w:rPr>
          </w:pPr>
          <w:hyperlink w:anchor="_Toc63352155" w:history="1">
            <w:r w:rsidR="004B30EF" w:rsidRPr="00280069">
              <w:rPr>
                <w:rStyle w:val="Lienhypertexte"/>
                <w:sz w:val="22"/>
                <w:szCs w:val="22"/>
              </w:rPr>
              <w:t>5.11</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La rentabilité des différentes lignes du Grand Paris Express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_Toc63352155 \h </w:instrText>
            </w:r>
            <w:r w:rsidR="004B30EF" w:rsidRPr="00280069">
              <w:rPr>
                <w:webHidden/>
                <w:sz w:val="22"/>
                <w:szCs w:val="22"/>
              </w:rPr>
            </w:r>
            <w:r w:rsidR="004B30EF" w:rsidRPr="00280069">
              <w:rPr>
                <w:webHidden/>
                <w:sz w:val="22"/>
                <w:szCs w:val="22"/>
              </w:rPr>
              <w:fldChar w:fldCharType="separate"/>
            </w:r>
            <w:r w:rsidR="002802BE">
              <w:rPr>
                <w:webHidden/>
                <w:sz w:val="22"/>
                <w:szCs w:val="22"/>
              </w:rPr>
              <w:t>61</w:t>
            </w:r>
            <w:r w:rsidR="004B30EF" w:rsidRPr="00280069">
              <w:rPr>
                <w:webHidden/>
                <w:sz w:val="22"/>
                <w:szCs w:val="22"/>
              </w:rPr>
              <w:fldChar w:fldCharType="end"/>
            </w:r>
          </w:hyperlink>
        </w:p>
        <w:p w14:paraId="35927452" w14:textId="7CBE719B" w:rsidR="004B30EF" w:rsidRPr="00280069" w:rsidRDefault="00E76396" w:rsidP="00280069">
          <w:pPr>
            <w:pStyle w:val="TM3"/>
            <w:rPr>
              <w:rFonts w:asciiTheme="minorHAnsi" w:eastAsiaTheme="minorEastAsia" w:hAnsiTheme="minorHAnsi" w:cstheme="minorBidi"/>
              <w:sz w:val="22"/>
              <w:szCs w:val="22"/>
              <w:lang w:eastAsia="fr-FR"/>
            </w:rPr>
          </w:pPr>
          <w:hyperlink w:anchor="_Toc63352156" w:history="1">
            <w:r w:rsidR="004B30EF" w:rsidRPr="00280069">
              <w:rPr>
                <w:rStyle w:val="Lienhypertexte"/>
                <w:sz w:val="22"/>
                <w:szCs w:val="22"/>
              </w:rPr>
              <w:t>5.12</w:t>
            </w:r>
            <w:r w:rsidR="004B30EF" w:rsidRPr="00280069">
              <w:rPr>
                <w:rFonts w:asciiTheme="minorHAnsi" w:eastAsiaTheme="minorEastAsia" w:hAnsiTheme="minorHAnsi" w:cstheme="minorBidi"/>
                <w:sz w:val="22"/>
                <w:szCs w:val="22"/>
                <w:lang w:eastAsia="fr-FR"/>
              </w:rPr>
              <w:tab/>
            </w:r>
            <w:r w:rsidR="004B30EF" w:rsidRPr="00280069">
              <w:rPr>
                <w:rStyle w:val="Lienhypertexte"/>
                <w:sz w:val="22"/>
                <w:szCs w:val="22"/>
              </w:rPr>
              <w:t>Conclusions générales de l’évaluation de l’incidence socio-économique du réseau Grand Paris Express</w:t>
            </w:r>
            <w:r w:rsidR="004B30EF" w:rsidRPr="00280069">
              <w:rPr>
                <w:webHidden/>
                <w:sz w:val="22"/>
                <w:szCs w:val="22"/>
              </w:rPr>
              <w:tab/>
            </w:r>
            <w:r w:rsidR="004B30EF" w:rsidRPr="00280069">
              <w:rPr>
                <w:webHidden/>
                <w:sz w:val="22"/>
                <w:szCs w:val="22"/>
              </w:rPr>
              <w:fldChar w:fldCharType="begin"/>
            </w:r>
            <w:r w:rsidR="004B30EF" w:rsidRPr="00280069">
              <w:rPr>
                <w:webHidden/>
                <w:sz w:val="22"/>
                <w:szCs w:val="22"/>
              </w:rPr>
              <w:instrText xml:space="preserve"> PAGEREF _Toc63352156 \h </w:instrText>
            </w:r>
            <w:r w:rsidR="004B30EF" w:rsidRPr="00280069">
              <w:rPr>
                <w:webHidden/>
                <w:sz w:val="22"/>
                <w:szCs w:val="22"/>
              </w:rPr>
            </w:r>
            <w:r w:rsidR="004B30EF" w:rsidRPr="00280069">
              <w:rPr>
                <w:webHidden/>
                <w:sz w:val="22"/>
                <w:szCs w:val="22"/>
              </w:rPr>
              <w:fldChar w:fldCharType="separate"/>
            </w:r>
            <w:r w:rsidR="002802BE">
              <w:rPr>
                <w:webHidden/>
                <w:sz w:val="22"/>
                <w:szCs w:val="22"/>
              </w:rPr>
              <w:t>64</w:t>
            </w:r>
            <w:r w:rsidR="004B30EF" w:rsidRPr="00280069">
              <w:rPr>
                <w:webHidden/>
                <w:sz w:val="22"/>
                <w:szCs w:val="22"/>
              </w:rPr>
              <w:fldChar w:fldCharType="end"/>
            </w:r>
          </w:hyperlink>
        </w:p>
        <w:p w14:paraId="4E852DA1" w14:textId="25AE7FDE" w:rsidR="004B30EF" w:rsidRPr="00280069"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57" w:history="1">
            <w:r w:rsidR="004B30EF" w:rsidRPr="00280069">
              <w:rPr>
                <w:rStyle w:val="Lienhypertexte"/>
                <w:szCs w:val="22"/>
                <w:lang w:eastAsia="fr-FR"/>
              </w:rPr>
              <w:t>Annexe 1 : Synthèse des hypothèses et des résultats</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_Toc63352157 \h </w:instrText>
            </w:r>
            <w:r w:rsidR="004B30EF" w:rsidRPr="00280069">
              <w:rPr>
                <w:webHidden/>
                <w:szCs w:val="22"/>
              </w:rPr>
            </w:r>
            <w:r w:rsidR="004B30EF" w:rsidRPr="00280069">
              <w:rPr>
                <w:webHidden/>
                <w:szCs w:val="22"/>
              </w:rPr>
              <w:fldChar w:fldCharType="separate"/>
            </w:r>
            <w:r w:rsidR="002802BE">
              <w:rPr>
                <w:webHidden/>
                <w:szCs w:val="22"/>
              </w:rPr>
              <w:t>65</w:t>
            </w:r>
            <w:r w:rsidR="004B30EF" w:rsidRPr="00280069">
              <w:rPr>
                <w:webHidden/>
                <w:szCs w:val="22"/>
              </w:rPr>
              <w:fldChar w:fldCharType="end"/>
            </w:r>
          </w:hyperlink>
        </w:p>
        <w:p w14:paraId="66344A09" w14:textId="5BFA5AAA" w:rsidR="004B30EF" w:rsidRDefault="00E76396" w:rsidP="00140417">
          <w:pPr>
            <w:pStyle w:val="TM2"/>
            <w:spacing w:before="0" w:after="0" w:line="240" w:lineRule="auto"/>
            <w:rPr>
              <w:rFonts w:asciiTheme="minorHAnsi" w:eastAsiaTheme="minorEastAsia" w:hAnsiTheme="minorHAnsi" w:cstheme="minorBidi"/>
              <w:b w:val="0"/>
              <w:szCs w:val="22"/>
              <w:lang w:eastAsia="fr-FR"/>
            </w:rPr>
          </w:pPr>
          <w:hyperlink w:anchor="_Toc63352158" w:history="1">
            <w:r w:rsidR="004B30EF" w:rsidRPr="00280069">
              <w:rPr>
                <w:rStyle w:val="Lienhypertexte"/>
                <w:szCs w:val="22"/>
                <w:lang w:eastAsia="fr-FR"/>
              </w:rPr>
              <w:t>Annexe 2 : Analyse des risques</w:t>
            </w:r>
            <w:r w:rsidR="004B30EF" w:rsidRPr="00280069">
              <w:rPr>
                <w:webHidden/>
                <w:szCs w:val="22"/>
              </w:rPr>
              <w:tab/>
            </w:r>
            <w:r w:rsidR="004B30EF" w:rsidRPr="00280069">
              <w:rPr>
                <w:webHidden/>
                <w:szCs w:val="22"/>
              </w:rPr>
              <w:fldChar w:fldCharType="begin"/>
            </w:r>
            <w:r w:rsidR="004B30EF" w:rsidRPr="00280069">
              <w:rPr>
                <w:webHidden/>
                <w:szCs w:val="22"/>
              </w:rPr>
              <w:instrText xml:space="preserve"> PAGEREF _Toc63352158 \h </w:instrText>
            </w:r>
            <w:r w:rsidR="004B30EF" w:rsidRPr="00280069">
              <w:rPr>
                <w:webHidden/>
                <w:szCs w:val="22"/>
              </w:rPr>
            </w:r>
            <w:r w:rsidR="004B30EF" w:rsidRPr="00280069">
              <w:rPr>
                <w:webHidden/>
                <w:szCs w:val="22"/>
              </w:rPr>
              <w:fldChar w:fldCharType="separate"/>
            </w:r>
            <w:r w:rsidR="002802BE">
              <w:rPr>
                <w:webHidden/>
                <w:szCs w:val="22"/>
              </w:rPr>
              <w:t>67</w:t>
            </w:r>
            <w:r w:rsidR="004B30EF" w:rsidRPr="00280069">
              <w:rPr>
                <w:webHidden/>
                <w:szCs w:val="22"/>
              </w:rPr>
              <w:fldChar w:fldCharType="end"/>
            </w:r>
          </w:hyperlink>
        </w:p>
        <w:p w14:paraId="0C8746F2" w14:textId="7F091F38" w:rsidR="00A13130" w:rsidRPr="007843DB" w:rsidRDefault="007F64E8" w:rsidP="00140417">
          <w:pPr>
            <w:pStyle w:val="TM1"/>
            <w:sectPr w:rsidR="00A13130" w:rsidRPr="007843DB" w:rsidSect="00491EFD">
              <w:pgSz w:w="23818" w:h="16838" w:orient="landscape"/>
              <w:pgMar w:top="1418" w:right="1418" w:bottom="1418" w:left="1418" w:header="709" w:footer="709" w:gutter="0"/>
              <w:pgNumType w:start="3"/>
              <w:cols w:num="2" w:space="708"/>
            </w:sectPr>
          </w:pPr>
          <w:r>
            <w:rPr>
              <w:color w:val="auto"/>
            </w:rPr>
            <w:fldChar w:fldCharType="end"/>
          </w:r>
        </w:p>
      </w:sdtContent>
    </w:sdt>
    <w:p w14:paraId="7EE864D6" w14:textId="77777777" w:rsidR="00A51C82" w:rsidRPr="00A51C82" w:rsidRDefault="00A51C82" w:rsidP="004C4CA3">
      <w:pPr>
        <w:jc w:val="both"/>
        <w:sectPr w:rsidR="00A51C82" w:rsidRPr="00A51C82" w:rsidSect="00491EFD">
          <w:pgSz w:w="23818" w:h="16838" w:orient="landscape"/>
          <w:pgMar w:top="1418" w:right="1418" w:bottom="1418" w:left="1418" w:header="709" w:footer="709" w:gutter="0"/>
          <w:pgNumType w:start="3"/>
          <w:cols w:num="2" w:space="708"/>
        </w:sectPr>
      </w:pPr>
    </w:p>
    <w:p w14:paraId="1966DC4A" w14:textId="77777777" w:rsidR="007843DB" w:rsidRDefault="007843DB" w:rsidP="007843DB">
      <w:pPr>
        <w:pStyle w:val="Titre1"/>
        <w:numPr>
          <w:ilvl w:val="0"/>
          <w:numId w:val="0"/>
        </w:numPr>
      </w:pPr>
      <w:bookmarkStart w:id="0" w:name="_Toc326502083"/>
      <w:bookmarkStart w:id="1" w:name="_Toc46917046"/>
    </w:p>
    <w:p w14:paraId="34715264" w14:textId="354E56DB" w:rsidR="00A51C82" w:rsidRPr="00A51C82" w:rsidRDefault="00A51C82" w:rsidP="00412C10">
      <w:pPr>
        <w:pStyle w:val="Titre1"/>
        <w:numPr>
          <w:ilvl w:val="0"/>
          <w:numId w:val="31"/>
        </w:numPr>
        <w:sectPr w:rsidR="00A51C82" w:rsidRPr="00A51C82" w:rsidSect="00822CCC">
          <w:headerReference w:type="default" r:id="rId16"/>
          <w:footerReference w:type="default" r:id="rId17"/>
          <w:pgSz w:w="23818" w:h="16838" w:orient="landscape"/>
          <w:pgMar w:top="1418" w:right="1418" w:bottom="1418" w:left="1418" w:header="709" w:footer="709" w:gutter="0"/>
          <w:cols w:space="708"/>
          <w:vAlign w:val="center"/>
        </w:sectPr>
      </w:pPr>
      <w:bookmarkStart w:id="2" w:name="_Toc63352117"/>
      <w:r w:rsidRPr="0058243C">
        <w:t>Présentation</w:t>
      </w:r>
      <w:r w:rsidRPr="00A51C82">
        <w:t xml:space="preserve"> </w:t>
      </w:r>
      <w:bookmarkEnd w:id="0"/>
      <w:r w:rsidR="00491EFD">
        <w:t>générale</w:t>
      </w:r>
      <w:bookmarkEnd w:id="1"/>
      <w:bookmarkEnd w:id="2"/>
    </w:p>
    <w:p w14:paraId="7A72887D" w14:textId="77777777" w:rsidR="00A51C82" w:rsidRPr="00A51C82" w:rsidRDefault="00A51C82" w:rsidP="004C4CA3">
      <w:pPr>
        <w:jc w:val="both"/>
      </w:pPr>
    </w:p>
    <w:p w14:paraId="16EB0C2A" w14:textId="77777777" w:rsidR="00A51C82" w:rsidRPr="00A51C82" w:rsidRDefault="00A51C82" w:rsidP="004C4CA3">
      <w:pPr>
        <w:jc w:val="both"/>
      </w:pPr>
    </w:p>
    <w:p w14:paraId="523E5856" w14:textId="77777777" w:rsidR="00A51C82" w:rsidRPr="00A51C82" w:rsidRDefault="00A51C82" w:rsidP="004C4CA3">
      <w:pPr>
        <w:jc w:val="both"/>
      </w:pPr>
    </w:p>
    <w:p w14:paraId="3CCFB41C" w14:textId="77777777" w:rsidR="00A51C82" w:rsidRPr="00A51C82" w:rsidRDefault="00A51C82" w:rsidP="004C4CA3">
      <w:pPr>
        <w:jc w:val="both"/>
      </w:pPr>
    </w:p>
    <w:p w14:paraId="073D59FC" w14:textId="77777777" w:rsidR="00A51C82" w:rsidRPr="00A51C82" w:rsidRDefault="00A51C82" w:rsidP="004C4CA3">
      <w:pPr>
        <w:jc w:val="both"/>
      </w:pPr>
    </w:p>
    <w:p w14:paraId="57B1DAC8" w14:textId="77777777" w:rsidR="00A51C82" w:rsidRPr="00A51C82" w:rsidRDefault="00A51C82" w:rsidP="004C4CA3">
      <w:pPr>
        <w:jc w:val="both"/>
      </w:pPr>
    </w:p>
    <w:p w14:paraId="5D231A5F" w14:textId="77777777" w:rsidR="00A51C82" w:rsidRPr="00A51C82" w:rsidRDefault="00A51C82" w:rsidP="004C4CA3">
      <w:pPr>
        <w:jc w:val="both"/>
      </w:pPr>
    </w:p>
    <w:p w14:paraId="26B7A80C" w14:textId="77777777" w:rsidR="00A51C82" w:rsidRPr="00A51C82" w:rsidRDefault="00A51C82" w:rsidP="004C4CA3">
      <w:pPr>
        <w:jc w:val="both"/>
      </w:pPr>
    </w:p>
    <w:p w14:paraId="6EB69FA9" w14:textId="77777777" w:rsidR="00A51C82" w:rsidRPr="00A51C82" w:rsidRDefault="00A51C82" w:rsidP="004C4CA3">
      <w:pPr>
        <w:jc w:val="both"/>
      </w:pPr>
    </w:p>
    <w:p w14:paraId="6F180549" w14:textId="77777777" w:rsidR="00A51C82" w:rsidRPr="00A51C82" w:rsidRDefault="00A51C82" w:rsidP="004C4CA3">
      <w:pPr>
        <w:jc w:val="both"/>
      </w:pPr>
    </w:p>
    <w:p w14:paraId="078FBB22" w14:textId="77777777" w:rsidR="00A51C82" w:rsidRPr="00A51C82" w:rsidRDefault="00A51C82" w:rsidP="004C4CA3">
      <w:pPr>
        <w:jc w:val="both"/>
      </w:pPr>
    </w:p>
    <w:p w14:paraId="300AB356" w14:textId="77777777" w:rsidR="00A51C82" w:rsidRPr="00A51C82" w:rsidRDefault="00A51C82" w:rsidP="004C4CA3">
      <w:pPr>
        <w:jc w:val="both"/>
      </w:pPr>
    </w:p>
    <w:p w14:paraId="258EB59F" w14:textId="77777777" w:rsidR="00A51C82" w:rsidRPr="00A51C82" w:rsidRDefault="00A51C82" w:rsidP="004C4CA3">
      <w:pPr>
        <w:jc w:val="both"/>
      </w:pPr>
    </w:p>
    <w:p w14:paraId="6EDA6442" w14:textId="77777777" w:rsidR="00A51C82" w:rsidRPr="00A51C82" w:rsidRDefault="00A51C82" w:rsidP="004C4CA3">
      <w:pPr>
        <w:jc w:val="both"/>
      </w:pPr>
    </w:p>
    <w:p w14:paraId="4B452D77" w14:textId="77777777" w:rsidR="00A51C82" w:rsidRPr="00A51C82" w:rsidRDefault="00A51C82" w:rsidP="004C4CA3">
      <w:pPr>
        <w:tabs>
          <w:tab w:val="left" w:pos="14688"/>
        </w:tabs>
        <w:jc w:val="both"/>
      </w:pPr>
      <w:r w:rsidRPr="00A51C82">
        <w:tab/>
      </w:r>
    </w:p>
    <w:p w14:paraId="37EE00E1" w14:textId="77777777" w:rsidR="00A51C82" w:rsidRPr="00A51C82" w:rsidRDefault="00A51C82" w:rsidP="004C4CA3">
      <w:pPr>
        <w:jc w:val="both"/>
      </w:pPr>
    </w:p>
    <w:p w14:paraId="40A478A0" w14:textId="77777777" w:rsidR="00A51C82" w:rsidRPr="00A51C82" w:rsidRDefault="00A51C82" w:rsidP="004C4CA3">
      <w:pPr>
        <w:jc w:val="both"/>
        <w:sectPr w:rsidR="00A51C82" w:rsidRPr="00A51C82" w:rsidSect="00822CCC">
          <w:headerReference w:type="default" r:id="rId18"/>
          <w:footerReference w:type="default" r:id="rId19"/>
          <w:pgSz w:w="23818" w:h="16838" w:orient="landscape"/>
          <w:pgMar w:top="1418" w:right="1418" w:bottom="1418" w:left="1418" w:header="709" w:footer="709" w:gutter="0"/>
          <w:cols w:space="708"/>
        </w:sectPr>
      </w:pPr>
    </w:p>
    <w:p w14:paraId="00B47782" w14:textId="77777777" w:rsidR="00A51C82" w:rsidRPr="00A51C82" w:rsidRDefault="00A51C82" w:rsidP="004C4CA3">
      <w:pPr>
        <w:jc w:val="both"/>
      </w:pPr>
      <w:bookmarkStart w:id="3" w:name="_Toc330932597"/>
    </w:p>
    <w:p w14:paraId="2659607D" w14:textId="77777777" w:rsidR="00A51C82" w:rsidRPr="00A51C82" w:rsidRDefault="00A51C82" w:rsidP="004C4CA3">
      <w:pPr>
        <w:jc w:val="both"/>
      </w:pPr>
    </w:p>
    <w:p w14:paraId="4DD75FF8" w14:textId="77777777" w:rsidR="00A51C82" w:rsidRPr="00A51C82" w:rsidRDefault="00A51C82" w:rsidP="004C4CA3">
      <w:pPr>
        <w:pStyle w:val="Titre2"/>
        <w:numPr>
          <w:ilvl w:val="0"/>
          <w:numId w:val="0"/>
        </w:numPr>
        <w:ind w:left="720" w:hanging="720"/>
        <w:jc w:val="both"/>
      </w:pPr>
      <w:bookmarkStart w:id="4" w:name="_Toc46917047"/>
      <w:bookmarkStart w:id="5" w:name="_Toc63352118"/>
      <w:r w:rsidRPr="00A51C82">
        <w:t>Avertissement</w:t>
      </w:r>
      <w:bookmarkEnd w:id="4"/>
      <w:bookmarkEnd w:id="5"/>
      <w:r w:rsidRPr="00A51C82">
        <w:t xml:space="preserve"> </w:t>
      </w:r>
    </w:p>
    <w:p w14:paraId="5A899A27" w14:textId="77777777" w:rsidR="006A04B3" w:rsidRDefault="006A04B3" w:rsidP="004C4CA3">
      <w:pPr>
        <w:jc w:val="both"/>
        <w:rPr>
          <w:b/>
        </w:rPr>
      </w:pPr>
    </w:p>
    <w:p w14:paraId="3B4DC6CA" w14:textId="1D228DEF" w:rsidR="00491EFD" w:rsidRDefault="00A51C82" w:rsidP="004C4CA3">
      <w:pPr>
        <w:jc w:val="both"/>
        <w:rPr>
          <w:b/>
        </w:rPr>
      </w:pPr>
      <w:r w:rsidRPr="00491EFD">
        <w:rPr>
          <w:b/>
        </w:rPr>
        <w:t xml:space="preserve">Ce </w:t>
      </w:r>
      <w:r w:rsidR="00217871">
        <w:rPr>
          <w:b/>
        </w:rPr>
        <w:t>document</w:t>
      </w:r>
      <w:r w:rsidRPr="00491EFD">
        <w:rPr>
          <w:b/>
        </w:rPr>
        <w:t xml:space="preserve"> </w:t>
      </w:r>
      <w:r w:rsidR="00CB6FBF" w:rsidRPr="00491EFD">
        <w:rPr>
          <w:b/>
        </w:rPr>
        <w:t>présente</w:t>
      </w:r>
      <w:r w:rsidRPr="00491EFD">
        <w:rPr>
          <w:b/>
        </w:rPr>
        <w:t xml:space="preserve"> </w:t>
      </w:r>
      <w:r w:rsidR="002F250B" w:rsidRPr="00491EFD">
        <w:rPr>
          <w:b/>
        </w:rPr>
        <w:t xml:space="preserve">la dernière </w:t>
      </w:r>
      <w:r w:rsidR="00CB6FBF" w:rsidRPr="00491EFD">
        <w:rPr>
          <w:b/>
        </w:rPr>
        <w:t>évaluation</w:t>
      </w:r>
      <w:r w:rsidRPr="00491EFD">
        <w:rPr>
          <w:b/>
        </w:rPr>
        <w:t xml:space="preserve"> </w:t>
      </w:r>
      <w:r w:rsidR="002F250B" w:rsidRPr="00491EFD">
        <w:rPr>
          <w:b/>
        </w:rPr>
        <w:t xml:space="preserve">disponible </w:t>
      </w:r>
      <w:r w:rsidRPr="00491EFD">
        <w:rPr>
          <w:b/>
        </w:rPr>
        <w:t xml:space="preserve">de l’impact socioéconomique </w:t>
      </w:r>
      <w:r w:rsidR="002F250B" w:rsidRPr="00491EFD">
        <w:rPr>
          <w:b/>
        </w:rPr>
        <w:t xml:space="preserve">du Grand Paris Express, actualisée </w:t>
      </w:r>
      <w:r w:rsidR="00CB6FBF" w:rsidRPr="00491EFD">
        <w:rPr>
          <w:b/>
        </w:rPr>
        <w:t>par rapport aux données figurant dans l</w:t>
      </w:r>
      <w:r w:rsidR="002F250B" w:rsidRPr="00491EFD">
        <w:rPr>
          <w:b/>
        </w:rPr>
        <w:t>e</w:t>
      </w:r>
      <w:r w:rsidR="00CB6FBF" w:rsidRPr="00491EFD">
        <w:rPr>
          <w:b/>
        </w:rPr>
        <w:t xml:space="preserve"> dossier préparatoire à</w:t>
      </w:r>
      <w:r w:rsidRPr="00491EFD">
        <w:rPr>
          <w:b/>
        </w:rPr>
        <w:t xml:space="preserve"> la </w:t>
      </w:r>
      <w:r w:rsidR="002F250B" w:rsidRPr="00491EFD">
        <w:rPr>
          <w:b/>
        </w:rPr>
        <w:t xml:space="preserve">demande de </w:t>
      </w:r>
      <w:r w:rsidRPr="00491EFD">
        <w:rPr>
          <w:b/>
        </w:rPr>
        <w:t xml:space="preserve">déclaration d’utilité publique </w:t>
      </w:r>
      <w:r w:rsidR="002F250B" w:rsidRPr="00491EFD">
        <w:rPr>
          <w:b/>
        </w:rPr>
        <w:t xml:space="preserve">modificative de la ligne 18 soumise à l’enquête </w:t>
      </w:r>
      <w:r w:rsidR="00424BB7" w:rsidRPr="00491EFD">
        <w:rPr>
          <w:b/>
        </w:rPr>
        <w:t xml:space="preserve">publique </w:t>
      </w:r>
      <w:r w:rsidR="002F250B" w:rsidRPr="00491EFD">
        <w:rPr>
          <w:b/>
        </w:rPr>
        <w:t>au printemps 2020</w:t>
      </w:r>
      <w:r w:rsidR="00CB6FBF" w:rsidRPr="00491EFD">
        <w:rPr>
          <w:b/>
        </w:rPr>
        <w:t xml:space="preserve">. </w:t>
      </w:r>
      <w:r w:rsidR="00491EFD" w:rsidRPr="00491EFD">
        <w:rPr>
          <w:b/>
        </w:rPr>
        <w:t xml:space="preserve">Les éléments nouveaux viennent essentiellement </w:t>
      </w:r>
      <w:r w:rsidR="0000781E">
        <w:rPr>
          <w:b/>
        </w:rPr>
        <w:t xml:space="preserve">de l’application des textes sur la prise en compte de la Stratégie Nationale Bas Carbone (SNBC), </w:t>
      </w:r>
      <w:r w:rsidR="00491EFD" w:rsidRPr="00491EFD">
        <w:rPr>
          <w:b/>
        </w:rPr>
        <w:t>de</w:t>
      </w:r>
      <w:r w:rsidR="002F250B" w:rsidRPr="00491EFD">
        <w:rPr>
          <w:b/>
        </w:rPr>
        <w:t xml:space="preserve"> </w:t>
      </w:r>
      <w:r w:rsidR="0000781E">
        <w:rPr>
          <w:b/>
        </w:rPr>
        <w:t>l’utilisation</w:t>
      </w:r>
      <w:r w:rsidR="002F250B" w:rsidRPr="00491EFD">
        <w:rPr>
          <w:b/>
        </w:rPr>
        <w:t xml:space="preserve"> des </w:t>
      </w:r>
      <w:r w:rsidR="0000781E">
        <w:rPr>
          <w:b/>
        </w:rPr>
        <w:t xml:space="preserve">premiers </w:t>
      </w:r>
      <w:r w:rsidR="002F250B" w:rsidRPr="00491EFD">
        <w:rPr>
          <w:b/>
        </w:rPr>
        <w:t xml:space="preserve">résultats </w:t>
      </w:r>
      <w:r w:rsidR="00424BB7" w:rsidRPr="00491EFD">
        <w:rPr>
          <w:b/>
        </w:rPr>
        <w:t xml:space="preserve">du modèle de trafic </w:t>
      </w:r>
      <w:r w:rsidR="00E24907" w:rsidRPr="00491EFD">
        <w:rPr>
          <w:b/>
        </w:rPr>
        <w:t xml:space="preserve">MODUS-3.1 </w:t>
      </w:r>
      <w:r w:rsidR="002F250B" w:rsidRPr="00491EFD">
        <w:rPr>
          <w:b/>
        </w:rPr>
        <w:t>disponibles</w:t>
      </w:r>
      <w:r w:rsidR="0000781E">
        <w:rPr>
          <w:b/>
        </w:rPr>
        <w:t xml:space="preserve"> depuis l’année 2020</w:t>
      </w:r>
      <w:r w:rsidR="00424BB7" w:rsidRPr="00491EFD">
        <w:rPr>
          <w:b/>
        </w:rPr>
        <w:t xml:space="preserve">, de la mise à jour du modèle Urbansim sur la base des derniers résultats démographiques et économiques disponibles, ainsi que de diverses </w:t>
      </w:r>
      <w:r w:rsidRPr="00491EFD">
        <w:rPr>
          <w:b/>
        </w:rPr>
        <w:t>modifica</w:t>
      </w:r>
      <w:r w:rsidR="00CB6FBF" w:rsidRPr="00491EFD">
        <w:rPr>
          <w:b/>
        </w:rPr>
        <w:t>tions</w:t>
      </w:r>
      <w:r w:rsidR="00424BB7" w:rsidRPr="00491EFD">
        <w:rPr>
          <w:b/>
        </w:rPr>
        <w:t xml:space="preserve"> mineures</w:t>
      </w:r>
      <w:r w:rsidR="00CB6FBF" w:rsidRPr="00491EFD">
        <w:rPr>
          <w:b/>
        </w:rPr>
        <w:t xml:space="preserve"> envisagées dans la définition de l’opération</w:t>
      </w:r>
      <w:r w:rsidR="00424BB7" w:rsidRPr="00491EFD">
        <w:rPr>
          <w:b/>
        </w:rPr>
        <w:t xml:space="preserve">. </w:t>
      </w:r>
      <w:r w:rsidR="0000781E">
        <w:rPr>
          <w:b/>
        </w:rPr>
        <w:t>C</w:t>
      </w:r>
      <w:r w:rsidR="0000781E" w:rsidRPr="00491EFD">
        <w:rPr>
          <w:b/>
        </w:rPr>
        <w:t>onformément aux instructions actuelles sur les évaluations socioéconomiques, l’année de référence des calculs est désormais l’année 2015 et non plus l’année 2010 comme cela a</w:t>
      </w:r>
      <w:r w:rsidR="00217871">
        <w:rPr>
          <w:b/>
        </w:rPr>
        <w:t>vait</w:t>
      </w:r>
      <w:r w:rsidR="0000781E" w:rsidRPr="00491EFD">
        <w:rPr>
          <w:b/>
        </w:rPr>
        <w:t xml:space="preserve"> été le cas de tous les dossiers déposés entre 2012 et 2019</w:t>
      </w:r>
      <w:r w:rsidR="0000781E">
        <w:rPr>
          <w:b/>
        </w:rPr>
        <w:t xml:space="preserve">. Il n’y a donc pas de différence </w:t>
      </w:r>
      <w:r w:rsidR="00BC7A6E">
        <w:rPr>
          <w:b/>
        </w:rPr>
        <w:t xml:space="preserve">de méthode ni d’écarts </w:t>
      </w:r>
      <w:r w:rsidR="0000781E">
        <w:rPr>
          <w:b/>
        </w:rPr>
        <w:t>sensible</w:t>
      </w:r>
      <w:r w:rsidR="00BC7A6E">
        <w:rPr>
          <w:b/>
        </w:rPr>
        <w:t>s</w:t>
      </w:r>
      <w:r w:rsidR="0000781E">
        <w:rPr>
          <w:b/>
        </w:rPr>
        <w:t xml:space="preserve"> entre les résultats présentés dans cette évaluation et ceux des documents précédents</w:t>
      </w:r>
      <w:r w:rsidR="00BC7A6E">
        <w:rPr>
          <w:b/>
        </w:rPr>
        <w:t>, pas plus que de différence</w:t>
      </w:r>
      <w:r w:rsidR="0000781E">
        <w:rPr>
          <w:b/>
        </w:rPr>
        <w:t>.</w:t>
      </w:r>
      <w:r w:rsidR="00424BB7" w:rsidRPr="00491EFD">
        <w:rPr>
          <w:b/>
        </w:rPr>
        <w:t xml:space="preserve"> Il faut souligner que tous </w:t>
      </w:r>
      <w:r w:rsidR="0000781E">
        <w:rPr>
          <w:b/>
        </w:rPr>
        <w:t>l</w:t>
      </w:r>
      <w:r w:rsidR="00424BB7" w:rsidRPr="00491EFD">
        <w:rPr>
          <w:b/>
        </w:rPr>
        <w:t xml:space="preserve">es dossiers </w:t>
      </w:r>
      <w:r w:rsidR="00217871">
        <w:rPr>
          <w:b/>
        </w:rPr>
        <w:t>publiés jusqu’à ce jour pour les</w:t>
      </w:r>
      <w:r w:rsidR="0000781E">
        <w:rPr>
          <w:b/>
        </w:rPr>
        <w:t xml:space="preserve"> différentes lignes ont déjà </w:t>
      </w:r>
      <w:r w:rsidR="00424BB7" w:rsidRPr="00491EFD">
        <w:rPr>
          <w:b/>
        </w:rPr>
        <w:t xml:space="preserve">fait l’objet </w:t>
      </w:r>
      <w:r w:rsidR="00217871">
        <w:rPr>
          <w:b/>
        </w:rPr>
        <w:t xml:space="preserve">chacun </w:t>
      </w:r>
      <w:r w:rsidR="00424BB7" w:rsidRPr="00491EFD">
        <w:rPr>
          <w:b/>
        </w:rPr>
        <w:t>d’une contre-expertise organisée sous l’égide du Commissariat général à l’investissement, devenu en 2017 le Secrétariat général pour l’investissement</w:t>
      </w:r>
      <w:r w:rsidR="0000781E">
        <w:rPr>
          <w:b/>
        </w:rPr>
        <w:t>,</w:t>
      </w:r>
      <w:r w:rsidR="00424BB7" w:rsidRPr="00491EFD">
        <w:rPr>
          <w:b/>
        </w:rPr>
        <w:t xml:space="preserve"> et d’un avis favorable de cet organisme. La rentabilité socioéconomique du Grand Paris Express </w:t>
      </w:r>
      <w:r w:rsidR="0000781E">
        <w:rPr>
          <w:b/>
        </w:rPr>
        <w:t>est</w:t>
      </w:r>
      <w:r w:rsidR="00424BB7" w:rsidRPr="00491EFD">
        <w:rPr>
          <w:b/>
        </w:rPr>
        <w:t xml:space="preserve"> donc</w:t>
      </w:r>
      <w:r w:rsidR="00BC7A6E">
        <w:rPr>
          <w:b/>
        </w:rPr>
        <w:t xml:space="preserve"> à nouveau </w:t>
      </w:r>
      <w:r w:rsidR="00424BB7" w:rsidRPr="00491EFD">
        <w:rPr>
          <w:b/>
        </w:rPr>
        <w:t xml:space="preserve">largement </w:t>
      </w:r>
      <w:r w:rsidR="00BC7A6E">
        <w:rPr>
          <w:b/>
        </w:rPr>
        <w:t>établie</w:t>
      </w:r>
      <w:r w:rsidR="00424BB7" w:rsidRPr="00491EFD">
        <w:rPr>
          <w:b/>
        </w:rPr>
        <w:t xml:space="preserve"> ; </w:t>
      </w:r>
      <w:r w:rsidR="00217871">
        <w:rPr>
          <w:b/>
        </w:rPr>
        <w:t>le présent</w:t>
      </w:r>
      <w:r w:rsidR="00424BB7" w:rsidRPr="00491EFD">
        <w:rPr>
          <w:b/>
        </w:rPr>
        <w:t xml:space="preserve"> dossier se limite donc à présenter les calculs qui </w:t>
      </w:r>
      <w:r w:rsidR="00491EFD" w:rsidRPr="00491EFD">
        <w:rPr>
          <w:b/>
        </w:rPr>
        <w:t>mettent à jour</w:t>
      </w:r>
      <w:r w:rsidR="00424BB7" w:rsidRPr="00491EFD">
        <w:rPr>
          <w:b/>
        </w:rPr>
        <w:t xml:space="preserve"> </w:t>
      </w:r>
      <w:r w:rsidR="00217871">
        <w:rPr>
          <w:b/>
        </w:rPr>
        <w:t xml:space="preserve">les éléments de </w:t>
      </w:r>
      <w:r w:rsidR="00424BB7" w:rsidRPr="00491EFD">
        <w:rPr>
          <w:b/>
        </w:rPr>
        <w:t xml:space="preserve">cette rentabilité sur la base des données les plus récentes. </w:t>
      </w:r>
      <w:r w:rsidR="0000781E">
        <w:rPr>
          <w:b/>
        </w:rPr>
        <w:t>Il convient de souligner que des travaux complémentaires ont été lancés pour apprécier les incidences de toutes natures de la crise du COVID-19 sur l’évaluation de l’impact socioéconomique du Grand Paris Express</w:t>
      </w:r>
      <w:r w:rsidR="00DB46DA">
        <w:rPr>
          <w:b/>
        </w:rPr>
        <w:t xml:space="preserve">. La </w:t>
      </w:r>
      <w:r w:rsidR="00217871">
        <w:rPr>
          <w:b/>
        </w:rPr>
        <w:t xml:space="preserve">nécessité d’assurer une certaine </w:t>
      </w:r>
      <w:r w:rsidR="00DB46DA">
        <w:rPr>
          <w:b/>
        </w:rPr>
        <w:t>solidité</w:t>
      </w:r>
      <w:r w:rsidR="002627DD">
        <w:rPr>
          <w:b/>
        </w:rPr>
        <w:t xml:space="preserve"> des hypothèses </w:t>
      </w:r>
      <w:r w:rsidR="00217871">
        <w:rPr>
          <w:b/>
        </w:rPr>
        <w:t xml:space="preserve">et raisonnements </w:t>
      </w:r>
      <w:r w:rsidR="002627DD">
        <w:rPr>
          <w:b/>
        </w:rPr>
        <w:t xml:space="preserve">à introduire pour l’appréciation </w:t>
      </w:r>
      <w:r w:rsidR="00BC7A6E">
        <w:rPr>
          <w:b/>
        </w:rPr>
        <w:t xml:space="preserve">quantitative </w:t>
      </w:r>
      <w:r w:rsidR="002627DD">
        <w:rPr>
          <w:b/>
        </w:rPr>
        <w:t>de ces conséquences demande</w:t>
      </w:r>
      <w:r w:rsidR="00BC7A6E">
        <w:rPr>
          <w:b/>
        </w:rPr>
        <w:t>ra</w:t>
      </w:r>
      <w:r w:rsidR="002627DD">
        <w:rPr>
          <w:b/>
        </w:rPr>
        <w:t xml:space="preserve"> cependant des études approfondies et un certain recul dans le temps pour ne pas se laisser entraîner dans des </w:t>
      </w:r>
      <w:r w:rsidR="00BC7A6E">
        <w:rPr>
          <w:b/>
        </w:rPr>
        <w:t xml:space="preserve">conclusions </w:t>
      </w:r>
      <w:r w:rsidR="002627DD">
        <w:rPr>
          <w:b/>
        </w:rPr>
        <w:t>circonstanciel</w:t>
      </w:r>
      <w:r w:rsidR="00217871">
        <w:rPr>
          <w:b/>
        </w:rPr>
        <w:t>le</w:t>
      </w:r>
      <w:r w:rsidR="002627DD">
        <w:rPr>
          <w:b/>
        </w:rPr>
        <w:t>s et hasardeu</w:t>
      </w:r>
      <w:r w:rsidR="00217871">
        <w:rPr>
          <w:b/>
        </w:rPr>
        <w:t>ses</w:t>
      </w:r>
      <w:r w:rsidR="002627DD">
        <w:rPr>
          <w:b/>
        </w:rPr>
        <w:t xml:space="preserve">. </w:t>
      </w:r>
    </w:p>
    <w:p w14:paraId="51ABD0B5" w14:textId="47728326" w:rsidR="0069226C" w:rsidRDefault="0069226C" w:rsidP="004C4CA3">
      <w:pPr>
        <w:jc w:val="both"/>
        <w:rPr>
          <w:b/>
        </w:rPr>
      </w:pPr>
    </w:p>
    <w:p w14:paraId="0F1E2904" w14:textId="77777777" w:rsidR="0069226C" w:rsidRDefault="0069226C" w:rsidP="004C4CA3">
      <w:pPr>
        <w:jc w:val="both"/>
        <w:rPr>
          <w:b/>
        </w:rPr>
      </w:pPr>
    </w:p>
    <w:p w14:paraId="178C3EE1" w14:textId="7A54FC9A" w:rsidR="00491EFD" w:rsidRDefault="00491EFD" w:rsidP="004C4CA3">
      <w:pPr>
        <w:jc w:val="both"/>
        <w:rPr>
          <w:b/>
        </w:rPr>
      </w:pPr>
    </w:p>
    <w:p w14:paraId="296B88FF" w14:textId="1D736B97" w:rsidR="00491EFD" w:rsidRDefault="00491EFD" w:rsidP="004C4CA3">
      <w:pPr>
        <w:jc w:val="both"/>
        <w:rPr>
          <w:b/>
        </w:rPr>
      </w:pPr>
    </w:p>
    <w:p w14:paraId="6FF3483C" w14:textId="63271178" w:rsidR="00491EFD" w:rsidRDefault="00491EFD" w:rsidP="004C4CA3">
      <w:pPr>
        <w:jc w:val="both"/>
        <w:rPr>
          <w:b/>
        </w:rPr>
      </w:pPr>
    </w:p>
    <w:p w14:paraId="6CD6032E" w14:textId="6944ECB3" w:rsidR="00491EFD" w:rsidRDefault="00491EFD" w:rsidP="004C4CA3">
      <w:pPr>
        <w:jc w:val="both"/>
        <w:rPr>
          <w:b/>
        </w:rPr>
      </w:pPr>
    </w:p>
    <w:p w14:paraId="14398BF0" w14:textId="7EBA21CB" w:rsidR="00491EFD" w:rsidRDefault="00491EFD" w:rsidP="004C4CA3">
      <w:pPr>
        <w:jc w:val="both"/>
        <w:rPr>
          <w:b/>
        </w:rPr>
      </w:pPr>
    </w:p>
    <w:p w14:paraId="45AF5E02" w14:textId="73B656E7" w:rsidR="00491EFD" w:rsidRDefault="00491EFD" w:rsidP="004C4CA3">
      <w:pPr>
        <w:jc w:val="both"/>
        <w:rPr>
          <w:b/>
        </w:rPr>
      </w:pPr>
    </w:p>
    <w:p w14:paraId="3530D680" w14:textId="2DA1CCA2" w:rsidR="00491EFD" w:rsidRDefault="00491EFD" w:rsidP="004C4CA3">
      <w:pPr>
        <w:jc w:val="both"/>
        <w:rPr>
          <w:b/>
        </w:rPr>
      </w:pPr>
    </w:p>
    <w:p w14:paraId="33343E6A" w14:textId="764B40FF" w:rsidR="00491EFD" w:rsidRDefault="00491EFD" w:rsidP="004C4CA3">
      <w:pPr>
        <w:jc w:val="both"/>
        <w:rPr>
          <w:b/>
        </w:rPr>
      </w:pPr>
    </w:p>
    <w:p w14:paraId="40096455" w14:textId="435AE7B9" w:rsidR="00491EFD" w:rsidRDefault="00491EFD" w:rsidP="004C4CA3">
      <w:pPr>
        <w:jc w:val="both"/>
        <w:rPr>
          <w:b/>
        </w:rPr>
      </w:pPr>
    </w:p>
    <w:p w14:paraId="22B7BA8E" w14:textId="77777777" w:rsidR="00A13130" w:rsidRDefault="00A13130" w:rsidP="004C4CA3">
      <w:pPr>
        <w:jc w:val="both"/>
        <w:rPr>
          <w:b/>
        </w:rPr>
        <w:sectPr w:rsidR="00A13130" w:rsidSect="00822CCC">
          <w:pgSz w:w="23818" w:h="16838" w:orient="landscape"/>
          <w:pgMar w:top="1418" w:right="1418" w:bottom="1418" w:left="1418" w:header="709" w:footer="709" w:gutter="0"/>
          <w:cols w:num="2" w:space="708"/>
        </w:sectPr>
      </w:pPr>
    </w:p>
    <w:p w14:paraId="11786BB1" w14:textId="0A66BEF0" w:rsidR="00491EFD" w:rsidRDefault="00491EFD" w:rsidP="004C4CA3">
      <w:pPr>
        <w:jc w:val="both"/>
        <w:rPr>
          <w:b/>
        </w:rPr>
      </w:pPr>
    </w:p>
    <w:p w14:paraId="400F0915" w14:textId="1BDC5029" w:rsidR="00491EFD" w:rsidRDefault="00491EFD" w:rsidP="004C4CA3">
      <w:pPr>
        <w:jc w:val="both"/>
        <w:rPr>
          <w:b/>
        </w:rPr>
      </w:pPr>
    </w:p>
    <w:p w14:paraId="6DFBED17" w14:textId="74C36E08" w:rsidR="00491EFD" w:rsidRDefault="00491EFD" w:rsidP="004C4CA3">
      <w:pPr>
        <w:jc w:val="both"/>
        <w:rPr>
          <w:b/>
        </w:rPr>
      </w:pPr>
    </w:p>
    <w:p w14:paraId="086131A7" w14:textId="13BA9A2E" w:rsidR="00491EFD" w:rsidRDefault="00491EFD" w:rsidP="004C4CA3">
      <w:pPr>
        <w:jc w:val="both"/>
        <w:rPr>
          <w:b/>
        </w:rPr>
      </w:pPr>
    </w:p>
    <w:p w14:paraId="232E9FD9" w14:textId="4EB6FD1B" w:rsidR="00491EFD" w:rsidRDefault="00491EFD" w:rsidP="004C4CA3">
      <w:pPr>
        <w:jc w:val="both"/>
        <w:rPr>
          <w:b/>
        </w:rPr>
      </w:pPr>
    </w:p>
    <w:p w14:paraId="5D18D444" w14:textId="77777777" w:rsidR="00491EFD" w:rsidRPr="00491EFD" w:rsidRDefault="00491EFD" w:rsidP="004C4CA3">
      <w:pPr>
        <w:jc w:val="both"/>
        <w:rPr>
          <w:b/>
        </w:rPr>
      </w:pPr>
    </w:p>
    <w:p w14:paraId="494A9A8C" w14:textId="77777777" w:rsidR="006A04B3" w:rsidRDefault="006A04B3" w:rsidP="004C4CA3">
      <w:pPr>
        <w:jc w:val="both"/>
        <w:rPr>
          <w:b/>
        </w:rPr>
      </w:pPr>
    </w:p>
    <w:p w14:paraId="2D4D67D2" w14:textId="498078D4" w:rsidR="00A51C82" w:rsidRPr="00270E05" w:rsidRDefault="00A51C82" w:rsidP="004C4CA3">
      <w:pPr>
        <w:jc w:val="both"/>
        <w:rPr>
          <w:b/>
        </w:rPr>
      </w:pPr>
      <w:r w:rsidRPr="00270E05">
        <w:rPr>
          <w:b/>
        </w:rPr>
        <w:br w:type="page"/>
      </w:r>
    </w:p>
    <w:p w14:paraId="0D94BBB5" w14:textId="56CC34DE" w:rsidR="00A51C82" w:rsidRPr="00E752F8" w:rsidRDefault="00A51C82" w:rsidP="00102EDC">
      <w:pPr>
        <w:pStyle w:val="Titre2"/>
      </w:pPr>
      <w:bookmarkStart w:id="6" w:name="_Toc46917048"/>
      <w:bookmarkStart w:id="7" w:name="_Toc63352119"/>
      <w:r w:rsidRPr="00E752F8">
        <w:lastRenderedPageBreak/>
        <w:t>Présentation générale des caractéristiques et des objectifs de l’opération</w:t>
      </w:r>
      <w:bookmarkEnd w:id="3"/>
      <w:bookmarkEnd w:id="6"/>
      <w:bookmarkEnd w:id="7"/>
    </w:p>
    <w:p w14:paraId="14D88E39" w14:textId="77777777" w:rsidR="001E31CB" w:rsidRDefault="001E31CB" w:rsidP="004C4CA3">
      <w:pPr>
        <w:keepNext/>
        <w:keepLines/>
        <w:spacing w:after="280"/>
        <w:jc w:val="both"/>
        <w:rPr>
          <w:rFonts w:eastAsia="MS PGothic"/>
          <w:szCs w:val="20"/>
          <w:lang w:eastAsia="ja-JP"/>
        </w:rPr>
      </w:pPr>
    </w:p>
    <w:p w14:paraId="60A38CDC" w14:textId="77A52064" w:rsidR="00A51C82" w:rsidRPr="00A51C82" w:rsidRDefault="00A51C82" w:rsidP="004C4CA3">
      <w:pPr>
        <w:keepNext/>
        <w:keepLines/>
        <w:spacing w:after="280"/>
        <w:jc w:val="both"/>
        <w:rPr>
          <w:rFonts w:eastAsia="MS PGothic"/>
          <w:szCs w:val="20"/>
          <w:lang w:eastAsia="ja-JP"/>
        </w:rPr>
      </w:pPr>
      <w:r w:rsidRPr="00A51C82">
        <w:rPr>
          <w:rFonts w:eastAsia="MS PGothic"/>
          <w:szCs w:val="20"/>
          <w:lang w:eastAsia="ja-JP"/>
        </w:rPr>
        <w:t>Le projet Grand Paris Express constitue un programme de travaux qui vise à répondre aux enjeux de développement et de transport dans la région capitale, rappelés dans la loi du 3 juin 2010 relative au Grand Paris, et respecte les objectifs et les grandes caractéristiques établis par celle-ci :</w:t>
      </w:r>
    </w:p>
    <w:p w14:paraId="7D5FC164" w14:textId="77777777" w:rsidR="00A51C82" w:rsidRPr="00A51C82" w:rsidRDefault="00A51C82" w:rsidP="004C4CA3">
      <w:pPr>
        <w:jc w:val="both"/>
        <w:rPr>
          <w:lang w:eastAsia="ja-JP"/>
        </w:rPr>
      </w:pPr>
    </w:p>
    <w:p w14:paraId="5D8B01A0" w14:textId="77777777" w:rsidR="00A51C82" w:rsidRPr="00A51C82" w:rsidRDefault="00A51C82" w:rsidP="004C4CA3">
      <w:pPr>
        <w:spacing w:before="60" w:after="60"/>
        <w:jc w:val="both"/>
        <w:rPr>
          <w:b/>
          <w:i/>
        </w:rPr>
      </w:pPr>
      <w:r w:rsidRPr="00A51C82">
        <w:rPr>
          <w:b/>
          <w:i/>
        </w:rPr>
        <w:t>Article 1 :</w:t>
      </w:r>
    </w:p>
    <w:p w14:paraId="38CA5155" w14:textId="77777777" w:rsidR="00A51C82" w:rsidRPr="00A51C82" w:rsidRDefault="00A51C82" w:rsidP="004C4CA3">
      <w:pPr>
        <w:keepNext/>
        <w:keepLines/>
        <w:spacing w:before="60" w:after="60"/>
        <w:jc w:val="both"/>
        <w:rPr>
          <w:rFonts w:eastAsia="MS PGothic"/>
          <w:i/>
          <w:szCs w:val="20"/>
          <w:lang w:eastAsia="ja-JP"/>
        </w:rPr>
      </w:pPr>
    </w:p>
    <w:p w14:paraId="449F0D89" w14:textId="77777777" w:rsidR="00A51C82" w:rsidRPr="00A51C82" w:rsidRDefault="00A51C82" w:rsidP="004C4CA3">
      <w:pPr>
        <w:keepNext/>
        <w:keepLines/>
        <w:spacing w:before="60" w:after="60"/>
        <w:jc w:val="both"/>
        <w:rPr>
          <w:rFonts w:eastAsia="MS PGothic"/>
          <w:i/>
          <w:szCs w:val="20"/>
          <w:lang w:eastAsia="ja-JP"/>
        </w:rPr>
      </w:pPr>
      <w:r w:rsidRPr="00A51C82">
        <w:rPr>
          <w:rFonts w:eastAsia="MS PGothic"/>
          <w:i/>
          <w:szCs w:val="20"/>
          <w:lang w:eastAsia="ja-JP"/>
        </w:rPr>
        <w:t>Le Grand Paris est un projet urbain, social et économique d'intérêt national qui unit les grands territoires stratégiques de la région d'Île-de-France, au premier rang desquels Paris et le cœur de l'agglomération parisienne, et promeut le développement économique durable, solidaire et créateur d'emplois de la région capitale. Il vise à réduire les déséquilibres sociaux, territoriaux et fiscaux au bénéfice de l'ensemble du territoire national. (…)</w:t>
      </w:r>
    </w:p>
    <w:p w14:paraId="24D70A93" w14:textId="77777777" w:rsidR="00A51C82" w:rsidRPr="00A51C82" w:rsidRDefault="00A51C82" w:rsidP="004C4CA3">
      <w:pPr>
        <w:keepNext/>
        <w:keepLines/>
        <w:spacing w:before="60" w:after="60"/>
        <w:jc w:val="both"/>
        <w:rPr>
          <w:rFonts w:eastAsia="MS PGothic"/>
          <w:i/>
          <w:szCs w:val="20"/>
          <w:lang w:eastAsia="ja-JP"/>
        </w:rPr>
      </w:pPr>
      <w:r w:rsidRPr="00A51C82">
        <w:rPr>
          <w:rFonts w:eastAsia="MS PGothic"/>
          <w:i/>
          <w:szCs w:val="20"/>
          <w:lang w:eastAsia="ja-JP"/>
        </w:rPr>
        <w:t>Ce projet s'appuie sur la création d'un réseau de transport public de voyageurs dont le financement des infrastructures est assuré par l'Etat.</w:t>
      </w:r>
    </w:p>
    <w:p w14:paraId="48E518C2" w14:textId="69E61B21" w:rsidR="00A51C82" w:rsidRPr="00A51C82" w:rsidRDefault="00A51C82" w:rsidP="004C4CA3">
      <w:pPr>
        <w:keepNext/>
        <w:keepLines/>
        <w:spacing w:before="60" w:after="60"/>
        <w:jc w:val="both"/>
        <w:rPr>
          <w:rFonts w:eastAsia="MS PGothic"/>
          <w:i/>
          <w:szCs w:val="20"/>
          <w:lang w:eastAsia="ja-JP"/>
        </w:rPr>
      </w:pPr>
      <w:r w:rsidRPr="00A51C82">
        <w:rPr>
          <w:rFonts w:eastAsia="MS PGothic"/>
          <w:i/>
          <w:szCs w:val="20"/>
          <w:lang w:eastAsia="ja-JP"/>
        </w:rPr>
        <w:t>Ce réseau s'articule autour de contrats de développement territorial définis et réalisés conjointement par l'Etat, les communes et leurs groupements. Ces contrats participent à l'objectif de construire chaque année 70 000 logements géographiquement et socialement adaptés en Île-de-France et contribuent à la maîtrise de l'étalement urbain.</w:t>
      </w:r>
      <w:r w:rsidR="0088647D">
        <w:rPr>
          <w:rFonts w:eastAsia="MS PGothic"/>
          <w:i/>
          <w:szCs w:val="20"/>
          <w:lang w:eastAsia="ja-JP"/>
        </w:rPr>
        <w:t xml:space="preserve"> </w:t>
      </w:r>
      <w:r w:rsidRPr="00A51C82">
        <w:rPr>
          <w:rFonts w:eastAsia="MS PGothic"/>
          <w:i/>
          <w:szCs w:val="20"/>
          <w:lang w:eastAsia="ja-JP"/>
        </w:rPr>
        <w:t>(…)</w:t>
      </w:r>
    </w:p>
    <w:p w14:paraId="17F39542" w14:textId="77777777" w:rsidR="00A51C82" w:rsidRPr="00A51C82" w:rsidRDefault="00A51C82" w:rsidP="004C4CA3">
      <w:pPr>
        <w:keepNext/>
        <w:keepLines/>
        <w:spacing w:before="60" w:after="60"/>
        <w:jc w:val="both"/>
        <w:rPr>
          <w:rFonts w:eastAsia="MS PGothic"/>
          <w:i/>
          <w:szCs w:val="20"/>
          <w:lang w:eastAsia="ja-JP"/>
        </w:rPr>
      </w:pPr>
      <w:r w:rsidRPr="00A51C82">
        <w:rPr>
          <w:rFonts w:eastAsia="MS PGothic"/>
          <w:i/>
          <w:szCs w:val="20"/>
          <w:lang w:eastAsia="ja-JP"/>
        </w:rPr>
        <w:t>Le réseau de transport du Grand Paris est étroitement interconnecté avec le réseau préexistant en Île-de-France. Il s'inscrit dans le maillage du réseau ferroviaire, fluvial et routier national afin de réduire les déséquilibres territoriaux. Il doit permettre des liaisons plus rapides et plus fiables avec chacune des régions de la France continentale et éviter les engorgements que constituent les transits par la région d'Île-de-France.</w:t>
      </w:r>
    </w:p>
    <w:p w14:paraId="76B1C317" w14:textId="77777777" w:rsidR="00A51C82" w:rsidRPr="00A51C82" w:rsidRDefault="00A51C82" w:rsidP="004C4CA3">
      <w:pPr>
        <w:keepNext/>
        <w:keepLines/>
        <w:spacing w:after="280"/>
        <w:jc w:val="both"/>
        <w:rPr>
          <w:rFonts w:eastAsia="MS PGothic"/>
          <w:szCs w:val="20"/>
          <w:lang w:eastAsia="ja-JP"/>
        </w:rPr>
      </w:pPr>
    </w:p>
    <w:p w14:paraId="1C963973" w14:textId="77777777" w:rsidR="00A51C82" w:rsidRPr="00A51C82" w:rsidRDefault="00A51C82" w:rsidP="004C4CA3">
      <w:pPr>
        <w:spacing w:before="60" w:after="60"/>
        <w:jc w:val="both"/>
        <w:rPr>
          <w:b/>
          <w:i/>
        </w:rPr>
      </w:pPr>
      <w:r w:rsidRPr="00A51C82">
        <w:rPr>
          <w:b/>
          <w:i/>
        </w:rPr>
        <w:t>Article 2 :</w:t>
      </w:r>
    </w:p>
    <w:p w14:paraId="4A26C06D" w14:textId="77777777" w:rsidR="00A51C82" w:rsidRPr="00A51C82" w:rsidRDefault="00A51C82" w:rsidP="004C4CA3">
      <w:pPr>
        <w:keepNext/>
        <w:keepLines/>
        <w:spacing w:before="60" w:after="60"/>
        <w:jc w:val="both"/>
        <w:rPr>
          <w:rFonts w:eastAsia="MS PGothic"/>
          <w:i/>
          <w:szCs w:val="20"/>
          <w:lang w:eastAsia="ja-JP"/>
        </w:rPr>
      </w:pPr>
    </w:p>
    <w:p w14:paraId="5E5A07CC" w14:textId="09C89574" w:rsidR="00A51C82" w:rsidRPr="00A51C82" w:rsidRDefault="00A51C82" w:rsidP="004C4CA3">
      <w:pPr>
        <w:spacing w:before="60" w:after="60"/>
        <w:jc w:val="both"/>
        <w:rPr>
          <w:i/>
        </w:rPr>
      </w:pPr>
      <w:r w:rsidRPr="00A51C82">
        <w:rPr>
          <w:i/>
        </w:rPr>
        <w:t>I. ― Le réseau de transport public du Grand Paris est constitué des infrastructures affectées au transport public urbain de voyageurs, au moyen d'un métro automatique de grande capacité en rocade qui, en participant au désenclavement de certains territoires, relie le centre de l'agglomération parisienne, les principaux pôles urbains, scientifiques, technologiques, économiques, sportifs et culturels de la région d'Île-de-France, le réseau ferroviaire à grande vitesse et les aéroports internationaux, et qui contribue à l'objectif de développement d'intérêt national fixé par l'article 1er.</w:t>
      </w:r>
      <w:r w:rsidR="00F12890">
        <w:rPr>
          <w:i/>
        </w:rPr>
        <w:t xml:space="preserve"> </w:t>
      </w:r>
      <w:r w:rsidRPr="00A51C82">
        <w:rPr>
          <w:i/>
        </w:rPr>
        <w:t>(…)</w:t>
      </w:r>
    </w:p>
    <w:p w14:paraId="3EEA051C" w14:textId="77777777" w:rsidR="00A51C82" w:rsidRPr="00A51C82" w:rsidRDefault="00A51C82" w:rsidP="004C4CA3">
      <w:pPr>
        <w:spacing w:before="60" w:after="60"/>
        <w:jc w:val="both"/>
        <w:rPr>
          <w:i/>
        </w:rPr>
      </w:pPr>
    </w:p>
    <w:p w14:paraId="32D2E182" w14:textId="65D5605A" w:rsidR="00A51C82" w:rsidRDefault="00A51C82" w:rsidP="004C4CA3">
      <w:pPr>
        <w:spacing w:before="60" w:after="60"/>
        <w:jc w:val="both"/>
        <w:rPr>
          <w:i/>
        </w:rPr>
      </w:pPr>
    </w:p>
    <w:p w14:paraId="45DE509C" w14:textId="7CC74A6F" w:rsidR="00F12890" w:rsidRDefault="00F12890" w:rsidP="004C4CA3">
      <w:pPr>
        <w:spacing w:before="60" w:after="60"/>
        <w:jc w:val="both"/>
        <w:rPr>
          <w:i/>
        </w:rPr>
      </w:pPr>
    </w:p>
    <w:p w14:paraId="047F7565" w14:textId="77777777" w:rsidR="00F12890" w:rsidRPr="00A51C82" w:rsidRDefault="00F12890" w:rsidP="004C4CA3">
      <w:pPr>
        <w:spacing w:before="60" w:after="60"/>
        <w:jc w:val="both"/>
        <w:rPr>
          <w:i/>
        </w:rPr>
      </w:pPr>
    </w:p>
    <w:p w14:paraId="244AC110" w14:textId="77777777" w:rsidR="00732393" w:rsidRDefault="00A51C82" w:rsidP="00732393">
      <w:pPr>
        <w:keepNext/>
        <w:keepLines/>
        <w:spacing w:after="280"/>
        <w:jc w:val="both"/>
        <w:rPr>
          <w:rFonts w:eastAsia="MS PGothic"/>
          <w:szCs w:val="20"/>
          <w:lang w:eastAsia="ja-JP"/>
        </w:rPr>
      </w:pPr>
      <w:r w:rsidRPr="00A51C82">
        <w:rPr>
          <w:rFonts w:eastAsia="MS PGothic"/>
          <w:szCs w:val="20"/>
          <w:lang w:eastAsia="ja-JP"/>
        </w:rPr>
        <w:t>Ces orientations structurantes ont servi de guide aux phases de concertation et d’études successives menées à partir de 2010 sur le réseau de transport public du Grand Paris et, par la suite, sur le réseau Grand Paris Express : ainsi, les différent</w:t>
      </w:r>
      <w:r w:rsidR="0004765E">
        <w:rPr>
          <w:rFonts w:eastAsia="MS PGothic"/>
          <w:szCs w:val="20"/>
          <w:lang w:eastAsia="ja-JP"/>
        </w:rPr>
        <w:t>e</w:t>
      </w:r>
      <w:r w:rsidRPr="00A51C82">
        <w:rPr>
          <w:rFonts w:eastAsia="MS PGothic"/>
          <w:szCs w:val="20"/>
          <w:lang w:eastAsia="ja-JP"/>
        </w:rPr>
        <w:t>s options de projet analysées en vue d’apprécier l’opportunité puis la faisabilité du programme se sont systématiquement inscrites en cohérence avec les principes techniques généraux et les objectifs définis par la loi du 3 juin 2010 relative au Grand Paris.</w:t>
      </w:r>
      <w:r w:rsidR="00732393">
        <w:rPr>
          <w:rFonts w:eastAsia="MS PGothic"/>
          <w:szCs w:val="20"/>
          <w:lang w:eastAsia="ja-JP"/>
        </w:rPr>
        <w:t xml:space="preserve"> </w:t>
      </w:r>
    </w:p>
    <w:p w14:paraId="6CF96D49" w14:textId="69C663C2" w:rsidR="00A51C82" w:rsidRDefault="00A51C82" w:rsidP="00732393">
      <w:pPr>
        <w:keepNext/>
        <w:keepLines/>
        <w:spacing w:after="280"/>
        <w:jc w:val="both"/>
      </w:pPr>
      <w:r w:rsidRPr="00A51C82">
        <w:t xml:space="preserve">Le </w:t>
      </w:r>
      <w:r w:rsidR="00491EFD" w:rsidRPr="00491EFD">
        <w:t>réseau de transport public du Grand Paris</w:t>
      </w:r>
      <w:r w:rsidR="00F12890">
        <w:t>,</w:t>
      </w:r>
      <w:r w:rsidR="00491EFD" w:rsidRPr="00491EFD">
        <w:t xml:space="preserve"> </w:t>
      </w:r>
      <w:r w:rsidR="00491EFD">
        <w:t xml:space="preserve">tel qu’il est défini dans </w:t>
      </w:r>
      <w:r w:rsidR="00732393">
        <w:t xml:space="preserve">le </w:t>
      </w:r>
      <w:r w:rsidR="00732393" w:rsidRPr="00732393">
        <w:t>décret n°2011-1011 du 24 août 2011 portant approbation du schéma d’ensemble du réseau de transport public du Grand Paris</w:t>
      </w:r>
      <w:r w:rsidR="00F12890">
        <w:t xml:space="preserve"> comprend </w:t>
      </w:r>
      <w:r w:rsidRPr="00A51C82">
        <w:t>les lignes rouge (</w:t>
      </w:r>
      <w:r w:rsidR="00732393">
        <w:t xml:space="preserve">aujourd’hui </w:t>
      </w:r>
      <w:r w:rsidRPr="00A51C82">
        <w:t>parties ouest et sud de la ligne 15, ainsi que la ligne 16 et la ligne 17), les lignes bleue (</w:t>
      </w:r>
      <w:r w:rsidR="00732393">
        <w:t xml:space="preserve">aujourd’hui </w:t>
      </w:r>
      <w:r w:rsidRPr="00A51C82">
        <w:t>ligne 14), verte (</w:t>
      </w:r>
      <w:r w:rsidR="00732393">
        <w:t xml:space="preserve">aujourd’hui </w:t>
      </w:r>
      <w:r w:rsidRPr="00A51C82">
        <w:t>ligne 18)</w:t>
      </w:r>
      <w:r w:rsidR="00F12890">
        <w:t>. Avec la ligne</w:t>
      </w:r>
      <w:r w:rsidR="00A1576E">
        <w:t xml:space="preserve"> orange </w:t>
      </w:r>
      <w:r w:rsidR="00F12890">
        <w:t xml:space="preserve">ou réseau complémentaire structurant notamment la partie Est </w:t>
      </w:r>
      <w:r w:rsidR="00A1576E">
        <w:t>de la ligne 15</w:t>
      </w:r>
      <w:r w:rsidR="00732393">
        <w:t xml:space="preserve"> et </w:t>
      </w:r>
      <w:r w:rsidR="00F12890">
        <w:t xml:space="preserve">la </w:t>
      </w:r>
      <w:r w:rsidR="00732393">
        <w:t>section Nanterre La Folie-Saint Denis via Colombes</w:t>
      </w:r>
      <w:r w:rsidR="00A1576E">
        <w:t>)</w:t>
      </w:r>
      <w:r w:rsidR="00F12890">
        <w:t>, il est dénommé réseau du Grand Paris Express et compte plus de 200</w:t>
      </w:r>
      <w:r w:rsidR="00F12890" w:rsidRPr="00A51C82">
        <w:t xml:space="preserve"> </w:t>
      </w:r>
      <w:r w:rsidR="00F12890">
        <w:t>km de lignes nouvelles</w:t>
      </w:r>
      <w:r w:rsidR="00A1576E">
        <w:t>.</w:t>
      </w:r>
    </w:p>
    <w:p w14:paraId="056916F6" w14:textId="33AA0E3F" w:rsidR="00A51C82" w:rsidRPr="00A51C82" w:rsidRDefault="00A51C82" w:rsidP="004C4CA3">
      <w:pPr>
        <w:spacing w:after="200"/>
        <w:jc w:val="both"/>
      </w:pPr>
      <w:r w:rsidRPr="00A51C82">
        <w:t xml:space="preserve">L’organisation des infrastructures du réseau Grand Paris Express en lignes rouge, bleue, verte et orange a </w:t>
      </w:r>
      <w:r w:rsidR="00732393">
        <w:t xml:space="preserve">ainsi </w:t>
      </w:r>
      <w:r w:rsidRPr="00A51C82">
        <w:t>fait l’objet de précisions apportées lors de la présentation du « Nouveau Grand Paris » au mois de mars 2013, avec notamment la définition des lignes de métro 15, 16, 17 et 18</w:t>
      </w:r>
      <w:r w:rsidR="00CC3C0C">
        <w:t> ; le Premier ministre a confirmé le projet le 22 février 2018 et arrêté son calendrier sur la base des éléments techniques et financiers disponibles à cette date</w:t>
      </w:r>
      <w:r w:rsidRPr="00A51C82">
        <w:t xml:space="preserve"> (voir ci-après).</w:t>
      </w:r>
    </w:p>
    <w:p w14:paraId="2BA282C8" w14:textId="77777777" w:rsidR="00A51C82" w:rsidRPr="00A51C82" w:rsidRDefault="00A51C82" w:rsidP="004C4CA3">
      <w:pPr>
        <w:spacing w:after="200"/>
        <w:jc w:val="both"/>
      </w:pPr>
      <w:r w:rsidRPr="00A51C82">
        <w:t xml:space="preserve">Le programme répond aux grands objectifs suivants : </w:t>
      </w:r>
    </w:p>
    <w:p w14:paraId="147FFAF7" w14:textId="0FA760A1" w:rsidR="00A51C82" w:rsidRPr="00732393" w:rsidRDefault="00A51C82" w:rsidP="0083506E">
      <w:pPr>
        <w:numPr>
          <w:ilvl w:val="0"/>
          <w:numId w:val="4"/>
        </w:numPr>
        <w:contextualSpacing/>
        <w:jc w:val="both"/>
        <w:rPr>
          <w:szCs w:val="20"/>
        </w:rPr>
      </w:pPr>
      <w:r w:rsidRPr="00732393">
        <w:rPr>
          <w:szCs w:val="20"/>
        </w:rPr>
        <w:t xml:space="preserve">présenter une alternative </w:t>
      </w:r>
      <w:r w:rsidR="0004765E" w:rsidRPr="00732393">
        <w:rPr>
          <w:szCs w:val="20"/>
        </w:rPr>
        <w:t xml:space="preserve">forte </w:t>
      </w:r>
      <w:r w:rsidRPr="00732393">
        <w:rPr>
          <w:szCs w:val="20"/>
        </w:rPr>
        <w:t xml:space="preserve">à la voiture </w:t>
      </w:r>
      <w:r w:rsidR="0004765E" w:rsidRPr="00732393">
        <w:rPr>
          <w:szCs w:val="20"/>
        </w:rPr>
        <w:t xml:space="preserve">notamment </w:t>
      </w:r>
      <w:r w:rsidRPr="00732393">
        <w:rPr>
          <w:szCs w:val="20"/>
        </w:rPr>
        <w:t xml:space="preserve">pour les déplacements de banlieue à banlieue : pour concurrencer la voiture, cette alternative en transport en commun doit être pratique, </w:t>
      </w:r>
      <w:r w:rsidR="00A134F6" w:rsidRPr="00732393">
        <w:rPr>
          <w:szCs w:val="20"/>
        </w:rPr>
        <w:t xml:space="preserve">rapide, </w:t>
      </w:r>
      <w:r w:rsidRPr="00732393">
        <w:rPr>
          <w:szCs w:val="20"/>
        </w:rPr>
        <w:t>régulière et confortable ;</w:t>
      </w:r>
    </w:p>
    <w:p w14:paraId="0CCB9413" w14:textId="77777777" w:rsidR="00A51C82" w:rsidRPr="00732393" w:rsidRDefault="00A51C82" w:rsidP="004C4CA3">
      <w:pPr>
        <w:ind w:left="709"/>
        <w:jc w:val="both"/>
        <w:rPr>
          <w:szCs w:val="20"/>
        </w:rPr>
      </w:pPr>
    </w:p>
    <w:p w14:paraId="78FC552C" w14:textId="2332AE92" w:rsidR="00A51C82" w:rsidRPr="00732393" w:rsidRDefault="00A51C82" w:rsidP="0083506E">
      <w:pPr>
        <w:numPr>
          <w:ilvl w:val="0"/>
          <w:numId w:val="4"/>
        </w:numPr>
        <w:contextualSpacing/>
        <w:jc w:val="both"/>
        <w:rPr>
          <w:szCs w:val="20"/>
        </w:rPr>
      </w:pPr>
      <w:r w:rsidRPr="00732393">
        <w:rPr>
          <w:szCs w:val="20"/>
        </w:rPr>
        <w:t xml:space="preserve">décongestionner les </w:t>
      </w:r>
      <w:r w:rsidR="00A134F6" w:rsidRPr="00732393">
        <w:rPr>
          <w:szCs w:val="20"/>
        </w:rPr>
        <w:t xml:space="preserve">grandes </w:t>
      </w:r>
      <w:r w:rsidRPr="00732393">
        <w:rPr>
          <w:szCs w:val="20"/>
        </w:rPr>
        <w:t>lignes de transport en commun traversant la zone centrale de l’agglomération par la création d’une offre de transport en rocade : l’efficacité du maillage avec les lignes de transport en commun existantes et projet</w:t>
      </w:r>
      <w:r w:rsidR="0004765E" w:rsidRPr="00732393">
        <w:rPr>
          <w:szCs w:val="20"/>
        </w:rPr>
        <w:t>ées</w:t>
      </w:r>
      <w:r w:rsidRPr="00732393">
        <w:rPr>
          <w:szCs w:val="20"/>
        </w:rPr>
        <w:t xml:space="preserve"> est un enjeu</w:t>
      </w:r>
      <w:r w:rsidR="009447B0" w:rsidRPr="00732393">
        <w:rPr>
          <w:szCs w:val="20"/>
        </w:rPr>
        <w:t xml:space="preserve"> </w:t>
      </w:r>
      <w:r w:rsidR="00B00156" w:rsidRPr="00732393">
        <w:rPr>
          <w:szCs w:val="20"/>
        </w:rPr>
        <w:t>majeur permettant</w:t>
      </w:r>
      <w:r w:rsidRPr="00732393">
        <w:rPr>
          <w:szCs w:val="20"/>
        </w:rPr>
        <w:t xml:space="preserve"> d’assurer la réussite du futur réseau ;</w:t>
      </w:r>
    </w:p>
    <w:p w14:paraId="035C62A3" w14:textId="77777777" w:rsidR="00A51C82" w:rsidRPr="00732393" w:rsidRDefault="00A51C82" w:rsidP="004C4CA3">
      <w:pPr>
        <w:jc w:val="both"/>
        <w:rPr>
          <w:szCs w:val="20"/>
        </w:rPr>
      </w:pPr>
    </w:p>
    <w:p w14:paraId="70F36236" w14:textId="5A37AB56" w:rsidR="00A51C82" w:rsidRDefault="00A51C82" w:rsidP="0083506E">
      <w:pPr>
        <w:numPr>
          <w:ilvl w:val="0"/>
          <w:numId w:val="4"/>
        </w:numPr>
        <w:autoSpaceDE w:val="0"/>
        <w:autoSpaceDN w:val="0"/>
        <w:adjustRightInd w:val="0"/>
        <w:contextualSpacing/>
        <w:jc w:val="both"/>
        <w:rPr>
          <w:szCs w:val="20"/>
        </w:rPr>
      </w:pPr>
      <w:r w:rsidRPr="00732393">
        <w:rPr>
          <w:szCs w:val="20"/>
        </w:rPr>
        <w:t xml:space="preserve">favoriser l’égalité entre les territoires de la région capitale, en désenclavant les secteurs qui n’évoluent pas aujourd’hui au même rythme que la métropole et en </w:t>
      </w:r>
      <w:r w:rsidR="000A708B">
        <w:rPr>
          <w:szCs w:val="20"/>
        </w:rPr>
        <w:t xml:space="preserve">leur </w:t>
      </w:r>
      <w:r w:rsidRPr="00732393">
        <w:rPr>
          <w:szCs w:val="20"/>
        </w:rPr>
        <w:t>permettant une meilleure accessibilité aux fonctions urbaines de la région, aux pôles de chalandise, d’études et d’emplois ;</w:t>
      </w:r>
    </w:p>
    <w:p w14:paraId="24B4F290" w14:textId="77777777" w:rsidR="000A708B" w:rsidRPr="00732393" w:rsidRDefault="000A708B" w:rsidP="000A708B">
      <w:pPr>
        <w:autoSpaceDE w:val="0"/>
        <w:autoSpaceDN w:val="0"/>
        <w:adjustRightInd w:val="0"/>
        <w:contextualSpacing/>
        <w:jc w:val="both"/>
        <w:rPr>
          <w:szCs w:val="20"/>
        </w:rPr>
      </w:pPr>
    </w:p>
    <w:p w14:paraId="440BA049" w14:textId="77777777" w:rsidR="00A51C82" w:rsidRPr="00732393" w:rsidRDefault="00A51C82" w:rsidP="0083506E">
      <w:pPr>
        <w:numPr>
          <w:ilvl w:val="0"/>
          <w:numId w:val="4"/>
        </w:numPr>
        <w:autoSpaceDE w:val="0"/>
        <w:autoSpaceDN w:val="0"/>
        <w:adjustRightInd w:val="0"/>
        <w:contextualSpacing/>
        <w:jc w:val="both"/>
        <w:rPr>
          <w:szCs w:val="20"/>
        </w:rPr>
      </w:pPr>
      <w:r w:rsidRPr="00732393">
        <w:rPr>
          <w:szCs w:val="20"/>
        </w:rPr>
        <w:t>soutenir le développement économique en mettant en relation les grands pôles métropolitains vecteurs de développement économique et les bassins de vie ;</w:t>
      </w:r>
    </w:p>
    <w:p w14:paraId="0D10F54D" w14:textId="77777777" w:rsidR="00A51C82" w:rsidRPr="00732393" w:rsidRDefault="00A51C82" w:rsidP="004C4CA3">
      <w:pPr>
        <w:autoSpaceDE w:val="0"/>
        <w:autoSpaceDN w:val="0"/>
        <w:adjustRightInd w:val="0"/>
        <w:jc w:val="both"/>
        <w:rPr>
          <w:szCs w:val="20"/>
        </w:rPr>
      </w:pPr>
    </w:p>
    <w:p w14:paraId="5E9F4A36" w14:textId="4E5ECA85" w:rsidR="00A51C82" w:rsidRPr="00732393" w:rsidRDefault="00A51C82" w:rsidP="0083506E">
      <w:pPr>
        <w:numPr>
          <w:ilvl w:val="0"/>
          <w:numId w:val="4"/>
        </w:numPr>
        <w:autoSpaceDE w:val="0"/>
        <w:autoSpaceDN w:val="0"/>
        <w:adjustRightInd w:val="0"/>
        <w:contextualSpacing/>
        <w:jc w:val="both"/>
        <w:rPr>
          <w:rFonts w:cs="TheSansLight-Plain"/>
          <w:szCs w:val="20"/>
        </w:rPr>
      </w:pPr>
      <w:r w:rsidRPr="00732393">
        <w:rPr>
          <w:szCs w:val="20"/>
        </w:rPr>
        <w:t xml:space="preserve">faciliter l’accès au réseau ferroviaire à grande vitesse et aux aéroports d’Orly, Le Bourget et Roissy-Charles de Gaulle, pour améliorer les échanges avec l’ensemble du territoire national et </w:t>
      </w:r>
      <w:r w:rsidR="0004765E" w:rsidRPr="00732393">
        <w:rPr>
          <w:szCs w:val="20"/>
        </w:rPr>
        <w:t xml:space="preserve">à </w:t>
      </w:r>
      <w:r w:rsidRPr="00732393">
        <w:rPr>
          <w:szCs w:val="20"/>
        </w:rPr>
        <w:t>l’international</w:t>
      </w:r>
      <w:r w:rsidR="008F0D86" w:rsidRPr="00732393">
        <w:rPr>
          <w:szCs w:val="20"/>
        </w:rPr>
        <w:t xml:space="preserve"> : </w:t>
      </w:r>
      <w:r w:rsidR="000A708B">
        <w:rPr>
          <w:szCs w:val="20"/>
        </w:rPr>
        <w:t>l</w:t>
      </w:r>
      <w:r w:rsidR="008F0D86" w:rsidRPr="00732393">
        <w:rPr>
          <w:szCs w:val="20"/>
        </w:rPr>
        <w:t>a ligne 17 desservira les aéroports du Bourget et de Roissy ; la ligne 14, qui dessert déjà la gare de Lyon, desservira</w:t>
      </w:r>
      <w:r w:rsidRPr="00732393">
        <w:rPr>
          <w:szCs w:val="20"/>
        </w:rPr>
        <w:t> </w:t>
      </w:r>
      <w:r w:rsidR="008F0D86" w:rsidRPr="00732393">
        <w:rPr>
          <w:szCs w:val="20"/>
        </w:rPr>
        <w:t>aussi Orly et la gare TGV de Massy via la ligne 18, celle-ci desservira à la fois Massy-TGV et Orly ainsi que la gare de Versailles-Chantiers</w:t>
      </w:r>
      <w:r w:rsidR="00732393">
        <w:rPr>
          <w:szCs w:val="20"/>
        </w:rPr>
        <w:t xml:space="preserve">, et, à terme, la </w:t>
      </w:r>
      <w:r w:rsidR="00E57DCD">
        <w:rPr>
          <w:szCs w:val="20"/>
        </w:rPr>
        <w:t>plateforme</w:t>
      </w:r>
      <w:r w:rsidR="00732393">
        <w:rPr>
          <w:szCs w:val="20"/>
        </w:rPr>
        <w:t xml:space="preserve"> de La Défense</w:t>
      </w:r>
      <w:r w:rsidR="008F0D86" w:rsidRPr="00732393">
        <w:rPr>
          <w:szCs w:val="20"/>
        </w:rPr>
        <w:t xml:space="preserve"> </w:t>
      </w:r>
      <w:r w:rsidRPr="00732393">
        <w:rPr>
          <w:szCs w:val="20"/>
        </w:rPr>
        <w:t>;</w:t>
      </w:r>
    </w:p>
    <w:p w14:paraId="1FEEDF26" w14:textId="77777777" w:rsidR="00A51C82" w:rsidRPr="00732393" w:rsidRDefault="00A51C82" w:rsidP="004C4CA3">
      <w:pPr>
        <w:autoSpaceDE w:val="0"/>
        <w:autoSpaceDN w:val="0"/>
        <w:adjustRightInd w:val="0"/>
        <w:jc w:val="both"/>
        <w:rPr>
          <w:rFonts w:cs="TheSansLight-Plain"/>
          <w:szCs w:val="20"/>
        </w:rPr>
      </w:pPr>
    </w:p>
    <w:p w14:paraId="29F36D01" w14:textId="77777777" w:rsidR="00A51C82" w:rsidRPr="00732393" w:rsidRDefault="00A51C82" w:rsidP="0083506E">
      <w:pPr>
        <w:numPr>
          <w:ilvl w:val="0"/>
          <w:numId w:val="4"/>
        </w:numPr>
        <w:autoSpaceDE w:val="0"/>
        <w:autoSpaceDN w:val="0"/>
        <w:adjustRightInd w:val="0"/>
        <w:contextualSpacing/>
        <w:jc w:val="both"/>
        <w:rPr>
          <w:szCs w:val="20"/>
        </w:rPr>
      </w:pPr>
      <w:r w:rsidRPr="00732393">
        <w:rPr>
          <w:szCs w:val="20"/>
        </w:rPr>
        <w:t>contribuer à préserver l’environnement et à répondre notamment aux enjeux de lutte contre le changement climatique, d’efficacité énergétique et de prise en compte du fonctionnement des écosystèmes, en favorisant un report de l’utilisation de la voiture particulière vers les transports en commun et en limitant l’étalement urbain.</w:t>
      </w:r>
    </w:p>
    <w:p w14:paraId="7AA97BAD" w14:textId="77777777" w:rsidR="00A51C82" w:rsidRPr="00A51C82" w:rsidRDefault="00A51C82" w:rsidP="004C4CA3">
      <w:pPr>
        <w:jc w:val="both"/>
        <w:sectPr w:rsidR="00A51C82" w:rsidRPr="00A51C82" w:rsidSect="00822CCC">
          <w:pgSz w:w="23818" w:h="16838" w:orient="landscape"/>
          <w:pgMar w:top="1418" w:right="1418" w:bottom="1418" w:left="1418" w:header="709" w:footer="709" w:gutter="0"/>
          <w:cols w:num="2" w:space="708"/>
        </w:sectPr>
      </w:pPr>
    </w:p>
    <w:p w14:paraId="52FAA484" w14:textId="77777777" w:rsidR="00A51C82" w:rsidRPr="00A51C82" w:rsidRDefault="00A51C82" w:rsidP="004C4CA3">
      <w:pPr>
        <w:jc w:val="both"/>
      </w:pPr>
    </w:p>
    <w:p w14:paraId="748641C7" w14:textId="77777777" w:rsidR="00A51C82" w:rsidRPr="00A51C82" w:rsidRDefault="00A51C82" w:rsidP="004C4CA3">
      <w:pPr>
        <w:jc w:val="both"/>
      </w:pPr>
    </w:p>
    <w:p w14:paraId="5D9669B9" w14:textId="49F4EBF2" w:rsidR="00A51C82" w:rsidRDefault="00A51C82" w:rsidP="004C4CA3">
      <w:pPr>
        <w:jc w:val="both"/>
        <w:rPr>
          <w:b/>
          <w:i/>
        </w:rPr>
      </w:pPr>
      <w:r w:rsidRPr="00D369CF">
        <w:rPr>
          <w:b/>
          <w:i/>
        </w:rPr>
        <w:t>Le programme : le réseau Grand Paris Express</w:t>
      </w:r>
    </w:p>
    <w:p w14:paraId="540C927B" w14:textId="77777777" w:rsidR="0088647D" w:rsidRPr="00D369CF" w:rsidRDefault="0088647D" w:rsidP="004C4CA3">
      <w:pPr>
        <w:jc w:val="both"/>
        <w:rPr>
          <w:b/>
          <w:i/>
        </w:rPr>
      </w:pPr>
    </w:p>
    <w:p w14:paraId="6E62D6EA" w14:textId="3A6B759D" w:rsidR="00A51C82" w:rsidRPr="001E31CB" w:rsidRDefault="0088647D" w:rsidP="004C4CA3">
      <w:pPr>
        <w:spacing w:after="200"/>
        <w:jc w:val="both"/>
      </w:pPr>
      <w:r w:rsidRPr="00E5438E">
        <w:rPr>
          <w:noProof/>
        </w:rPr>
        <w:drawing>
          <wp:inline distT="0" distB="0" distL="0" distR="0" wp14:anchorId="478BCDF1" wp14:editId="34D42750">
            <wp:extent cx="6436995" cy="5432367"/>
            <wp:effectExtent l="0" t="0" r="1905" b="0"/>
            <wp:docPr id="3" name="Image 4">
              <a:extLst xmlns:a="http://schemas.openxmlformats.org/drawingml/2006/main">
                <a:ext uri="{FF2B5EF4-FFF2-40B4-BE49-F238E27FC236}">
                  <a16:creationId xmlns:a16="http://schemas.microsoft.com/office/drawing/2014/main" id="{D6444BB6-4EC6-4174-B3E2-F802870B0D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D6444BB6-4EC6-4174-B3E2-F802870B0D03}"/>
                        </a:ext>
                      </a:extLst>
                    </pic:cNvPr>
                    <pic:cNvPicPr>
                      <a:picLocks noChangeAspect="1"/>
                    </pic:cNvPicPr>
                  </pic:nvPicPr>
                  <pic:blipFill rotWithShape="1">
                    <a:blip r:embed="rId20" cstate="print">
                      <a:extLst>
                        <a:ext uri="{28A0092B-C50C-407E-A947-70E740481C1C}">
                          <a14:useLocalDpi xmlns:a14="http://schemas.microsoft.com/office/drawing/2010/main" val="0"/>
                        </a:ext>
                      </a:extLst>
                    </a:blip>
                    <a:srcRect r="16220"/>
                    <a:stretch/>
                  </pic:blipFill>
                  <pic:spPr bwMode="auto">
                    <a:xfrm>
                      <a:off x="0" y="0"/>
                      <a:ext cx="6436995" cy="5432367"/>
                    </a:xfrm>
                    <a:prstGeom prst="rect">
                      <a:avLst/>
                    </a:prstGeom>
                    <a:ln>
                      <a:noFill/>
                    </a:ln>
                    <a:extLst>
                      <a:ext uri="{53640926-AAD7-44D8-BBD7-CCE9431645EC}">
                        <a14:shadowObscured xmlns:a14="http://schemas.microsoft.com/office/drawing/2010/main"/>
                      </a:ext>
                    </a:extLst>
                  </pic:spPr>
                </pic:pic>
              </a:graphicData>
            </a:graphic>
          </wp:inline>
        </w:drawing>
      </w:r>
      <w:r w:rsidR="00A51C82" w:rsidRPr="00A51C82">
        <w:br w:type="column"/>
      </w:r>
      <w:r w:rsidR="00A51C82" w:rsidRPr="001E31CB">
        <w:t xml:space="preserve">Le réseau Grand Paris Express est organisé autour de liaisons de rocade desservant les territoires de proche et moyenne couronnes et de liaisons radiales (prolongements de lignes de </w:t>
      </w:r>
      <w:r w:rsidR="00B00156" w:rsidRPr="001E31CB">
        <w:t>métro) permettant</w:t>
      </w:r>
      <w:r w:rsidR="00A51C82" w:rsidRPr="001E31CB">
        <w:t xml:space="preserve"> de les relier au cœur de l’agglomération.</w:t>
      </w:r>
    </w:p>
    <w:p w14:paraId="60DBC0BF" w14:textId="77777777" w:rsidR="00A51C82" w:rsidRPr="001E31CB" w:rsidRDefault="00A51C82" w:rsidP="004C4CA3">
      <w:pPr>
        <w:spacing w:after="200"/>
        <w:jc w:val="both"/>
        <w:rPr>
          <w:b/>
          <w:i/>
        </w:rPr>
      </w:pPr>
      <w:r w:rsidRPr="001E31CB">
        <w:rPr>
          <w:b/>
          <w:i/>
        </w:rPr>
        <w:t>Les principes d’organisation du réseau posés dans le « Nouveau Grand Paris » :</w:t>
      </w:r>
    </w:p>
    <w:p w14:paraId="697E5566" w14:textId="6C983C3C" w:rsidR="00A51C82" w:rsidRPr="001E31CB" w:rsidRDefault="00A51C82" w:rsidP="004C4CA3">
      <w:pPr>
        <w:spacing w:after="200"/>
        <w:jc w:val="both"/>
      </w:pPr>
      <w:r w:rsidRPr="001E31CB">
        <w:t xml:space="preserve">Le 6 mars 2013, le Gouvernement a </w:t>
      </w:r>
      <w:r w:rsidR="00732393" w:rsidRPr="001E31CB">
        <w:t>confirmé</w:t>
      </w:r>
      <w:r w:rsidRPr="001E31CB">
        <w:t xml:space="preserve"> le </w:t>
      </w:r>
      <w:r w:rsidR="00732393" w:rsidRPr="001E31CB">
        <w:t xml:space="preserve">projet et présenté le </w:t>
      </w:r>
      <w:r w:rsidRPr="001E31CB">
        <w:t xml:space="preserve">réseau </w:t>
      </w:r>
      <w:r w:rsidR="00732393" w:rsidRPr="001E31CB">
        <w:t xml:space="preserve">du </w:t>
      </w:r>
      <w:r w:rsidRPr="001E31CB">
        <w:t xml:space="preserve">Grand Paris Express comme étant constitué de trois ensembles de projets.  </w:t>
      </w:r>
    </w:p>
    <w:p w14:paraId="2E9F071E" w14:textId="258C224A" w:rsidR="00A51C82" w:rsidRPr="001E31CB" w:rsidRDefault="005E3290" w:rsidP="004C4CA3">
      <w:pPr>
        <w:spacing w:after="200"/>
        <w:jc w:val="both"/>
      </w:pPr>
      <w:r w:rsidRPr="001E31CB">
        <w:t xml:space="preserve">Le premier ensemble comprend les </w:t>
      </w:r>
      <w:r w:rsidR="00A51C82" w:rsidRPr="001E31CB">
        <w:t xml:space="preserve">tronçons les plus chargés des lignes rouge et orange </w:t>
      </w:r>
      <w:r w:rsidR="00A572A5">
        <w:t xml:space="preserve">du schéma d’ensemble dont on trouvera une carte page 22. Ils sont </w:t>
      </w:r>
      <w:r w:rsidR="00A51C82" w:rsidRPr="001E31CB">
        <w:t xml:space="preserve">regroupés au sein d’une </w:t>
      </w:r>
      <w:r w:rsidR="00792CB1" w:rsidRPr="001E31CB">
        <w:t xml:space="preserve">nouvelle ligne 15 </w:t>
      </w:r>
      <w:r w:rsidR="00A51C82" w:rsidRPr="001E31CB">
        <w:t>de rocade</w:t>
      </w:r>
      <w:r w:rsidR="00792CB1" w:rsidRPr="001E31CB">
        <w:t>,</w:t>
      </w:r>
      <w:r w:rsidR="00A51C82" w:rsidRPr="001E31CB">
        <w:t xml:space="preserve"> assurant tout particulièrement la désaturation des réseaux de transport en commun en cœur d’agglomération. Cette liaison</w:t>
      </w:r>
      <w:r w:rsidR="00A46601" w:rsidRPr="001E31CB">
        <w:t>,</w:t>
      </w:r>
      <w:r w:rsidR="00A51C82" w:rsidRPr="001E31CB">
        <w:t xml:space="preserve"> désignée comme la </w:t>
      </w:r>
      <w:r w:rsidR="00A51C82" w:rsidRPr="001E31CB">
        <w:rPr>
          <w:b/>
        </w:rPr>
        <w:t>ligne 15 du réseau de métro d’Île-de-</w:t>
      </w:r>
      <w:r w:rsidR="00A46601" w:rsidRPr="001E31CB">
        <w:rPr>
          <w:b/>
        </w:rPr>
        <w:t>France</w:t>
      </w:r>
      <w:r w:rsidR="00A46601" w:rsidRPr="001E31CB">
        <w:t xml:space="preserve">, </w:t>
      </w:r>
      <w:r w:rsidR="00A51C82" w:rsidRPr="001E31CB">
        <w:t>est composée de la section Noisy-Champs – Villejuif IGR – Pont de Sèvres – La Défense – Saint-Denis Pleyel de</w:t>
      </w:r>
      <w:r w:rsidR="00732393" w:rsidRPr="001E31CB">
        <w:t xml:space="preserve"> la </w:t>
      </w:r>
      <w:r w:rsidR="00A51C82" w:rsidRPr="001E31CB">
        <w:t xml:space="preserve">ligne rouge et de la section Saint-Denis Pleyel – Rosny Bois-Perrier – Champigny Centre de </w:t>
      </w:r>
      <w:r w:rsidR="00792CB1" w:rsidRPr="001E31CB">
        <w:t xml:space="preserve">l’ancienne </w:t>
      </w:r>
      <w:r w:rsidR="00A51C82" w:rsidRPr="001E31CB">
        <w:t xml:space="preserve">ligne orange. </w:t>
      </w:r>
      <w:r w:rsidR="00792CB1" w:rsidRPr="001E31CB">
        <w:t xml:space="preserve">Cette </w:t>
      </w:r>
      <w:r w:rsidR="00A51C82" w:rsidRPr="001E31CB">
        <w:t>ligne 15 dessert directement les Hauts-de-Seine, le Val-de-Marne, la Seine-Saint-Denis, et est connectée à la Seine-et-Marne grâce à la gare de Noisy-Champs. Elle assure ainsi des déplacements de banlieue à banlieue efficaces, sans avoir à transiter par le centre de Paris.</w:t>
      </w:r>
    </w:p>
    <w:p w14:paraId="25E0D44E" w14:textId="471A0F81" w:rsidR="00A51C82" w:rsidRPr="001E31CB" w:rsidRDefault="00A572A5" w:rsidP="004C4CA3">
      <w:pPr>
        <w:spacing w:after="200"/>
        <w:jc w:val="both"/>
      </w:pPr>
      <w:r>
        <w:t>En deuxième lieu, d</w:t>
      </w:r>
      <w:r w:rsidR="00A51C82" w:rsidRPr="001E31CB">
        <w:t xml:space="preserve">es métros automatiques à capacité adaptée sont prévus pour la desserte des territoires en développement. </w:t>
      </w:r>
      <w:r w:rsidR="005E3290" w:rsidRPr="001E31CB">
        <w:t>Ce</w:t>
      </w:r>
      <w:r w:rsidR="00732393" w:rsidRPr="001E31CB">
        <w:t>t</w:t>
      </w:r>
      <w:r w:rsidR="005E3290" w:rsidRPr="001E31CB">
        <w:t xml:space="preserve"> </w:t>
      </w:r>
      <w:r w:rsidR="00A51C82" w:rsidRPr="001E31CB">
        <w:t>ensemble de projets concerne trois liaisons</w:t>
      </w:r>
      <w:r w:rsidR="00792CB1" w:rsidRPr="001E31CB">
        <w:t>,</w:t>
      </w:r>
      <w:r w:rsidR="00A51C82" w:rsidRPr="001E31CB">
        <w:t xml:space="preserve"> ayant vocation à devenir les</w:t>
      </w:r>
      <w:r w:rsidR="00A51C82" w:rsidRPr="001E31CB">
        <w:rPr>
          <w:b/>
        </w:rPr>
        <w:t xml:space="preserve"> lignes 16, 17 et 18 du réseau de métro d’Île-de-France</w:t>
      </w:r>
      <w:r w:rsidR="00A51C82" w:rsidRPr="001E31CB">
        <w:t> :</w:t>
      </w:r>
    </w:p>
    <w:p w14:paraId="3D3D75F9" w14:textId="0F440C9C" w:rsidR="00A51C82" w:rsidRPr="001E31CB" w:rsidRDefault="00A51C82" w:rsidP="0083506E">
      <w:pPr>
        <w:numPr>
          <w:ilvl w:val="0"/>
          <w:numId w:val="7"/>
        </w:numPr>
        <w:spacing w:after="200"/>
        <w:jc w:val="both"/>
      </w:pPr>
      <w:r w:rsidRPr="001E31CB">
        <w:t>La ligne 16 est composée de la section Saint-Denis Pleyel – Le Bourget RER – Noisy-Champs de la ligne rouge. Elle contribue au désenclavement de l’est de la Seine-Saint-Denis, est en correspondance avec les radiales ferrées desservant la Seine-et-Marne et le Val d’Oise (RER A, RER E, RER B, RER D, lignes Transilien)</w:t>
      </w:r>
      <w:r w:rsidR="001F5A38" w:rsidRPr="001E31CB">
        <w:t>,</w:t>
      </w:r>
      <w:r w:rsidRPr="001E31CB">
        <w:t xml:space="preserve"> et permet une liaison directe vers les pôles du Bourget et de la Plaine Saint-Denis.</w:t>
      </w:r>
    </w:p>
    <w:p w14:paraId="79E3AFCA" w14:textId="40A46476" w:rsidR="00A51C82" w:rsidRPr="001E31CB" w:rsidRDefault="00A51C82" w:rsidP="0083506E">
      <w:pPr>
        <w:numPr>
          <w:ilvl w:val="0"/>
          <w:numId w:val="7"/>
        </w:numPr>
        <w:spacing w:after="200"/>
        <w:jc w:val="both"/>
      </w:pPr>
      <w:r w:rsidRPr="001E31CB">
        <w:t xml:space="preserve">La ligne 17 est composée de la section Saint-Denis Pleyel – Le Bourget RER – Le Mesnil-Amelot de </w:t>
      </w:r>
      <w:r w:rsidR="005F337B" w:rsidRPr="001E31CB">
        <w:t xml:space="preserve">la </w:t>
      </w:r>
      <w:r w:rsidRPr="001E31CB">
        <w:t>ligne rouge. Elle comporte un tronc commun avec la ligne 16, entre Saint-Denis Pleyel et Le Bourget RER. La ligne 17 assure notamment la desserte des territoires du Bourget, de Gonesse et du Grand Roissy, en les reliant de manière efficace à la Plaine Saint-Denis.</w:t>
      </w:r>
    </w:p>
    <w:p w14:paraId="2EDBCC86" w14:textId="0A305944" w:rsidR="00A51C82" w:rsidRPr="001E31CB" w:rsidRDefault="00A51C82" w:rsidP="0083506E">
      <w:pPr>
        <w:numPr>
          <w:ilvl w:val="0"/>
          <w:numId w:val="7"/>
        </w:numPr>
        <w:spacing w:after="200"/>
        <w:jc w:val="both"/>
      </w:pPr>
      <w:r w:rsidRPr="001E31CB">
        <w:t xml:space="preserve">La ligne 18 correspond à </w:t>
      </w:r>
      <w:r w:rsidR="005F337B" w:rsidRPr="001E31CB">
        <w:t xml:space="preserve">la </w:t>
      </w:r>
      <w:r w:rsidRPr="001E31CB">
        <w:t xml:space="preserve">ligne verte du schéma d’ensemble. Elle assure la desserte des pôles scientifiques et technologiques du plateau de Saclay ainsi que des grands bassins d’habitat et d’emplois des Yvelines et de l’Essonne, reliés aux principaux pôles de transport de l’ouest et du sud parisiens. Elle doit améliorer de manière significative l’accessibilité d’un territoire ayant vocation à devenir l’un des secteurs-clés du Grand Paris en matière de recherche et d’enseignement supérieur. A </w:t>
      </w:r>
      <w:r w:rsidR="00BC7A6E">
        <w:t>l’</w:t>
      </w:r>
      <w:r w:rsidRPr="001E31CB">
        <w:t>horizon 2030, la ligne 18 doit relier la plate-forme d’Orly à Versailles Chantiers.</w:t>
      </w:r>
    </w:p>
    <w:p w14:paraId="4141F923" w14:textId="77777777" w:rsidR="00A51C82" w:rsidRPr="001E31CB" w:rsidRDefault="00A51C82" w:rsidP="004C4CA3">
      <w:pPr>
        <w:spacing w:after="200"/>
        <w:jc w:val="both"/>
      </w:pPr>
      <w:r w:rsidRPr="001E31CB">
        <w:t xml:space="preserve">Le troisième ensemble de projets est composé de </w:t>
      </w:r>
      <w:r w:rsidRPr="001E31CB">
        <w:rPr>
          <w:b/>
        </w:rPr>
        <w:t>prolongements de lignes de métro existantes</w:t>
      </w:r>
      <w:r w:rsidRPr="001E31CB">
        <w:t xml:space="preserve"> : </w:t>
      </w:r>
    </w:p>
    <w:p w14:paraId="1AFF7FFF" w14:textId="29EE3FE8" w:rsidR="00A51C82" w:rsidRPr="001E31CB" w:rsidRDefault="00A51C82" w:rsidP="0083506E">
      <w:pPr>
        <w:numPr>
          <w:ilvl w:val="0"/>
          <w:numId w:val="7"/>
        </w:numPr>
        <w:spacing w:after="200"/>
        <w:jc w:val="both"/>
      </w:pPr>
      <w:r w:rsidRPr="001E31CB">
        <w:t xml:space="preserve">Comme le prévoit le schéma d’ensemble, la </w:t>
      </w:r>
      <w:r w:rsidRPr="00BC7A6E">
        <w:rPr>
          <w:b/>
          <w:bCs/>
        </w:rPr>
        <w:t>ligne 14</w:t>
      </w:r>
      <w:r w:rsidRPr="001E31CB">
        <w:t xml:space="preserve"> est prolongée au nord jusqu’à Saint-Denis Pleyel et au sud jusqu’à Orly, soit 15 km supplémentaires par rapport à la première étape du prolongement de la ligne, entre Saint-Lazare et Mairie de Saint-Ouen (actuellement en cours sous maîtrise d’ouvrage </w:t>
      </w:r>
      <w:r w:rsidR="00DF25C8" w:rsidRPr="001E31CB">
        <w:t>d’Île-de-France Mobilités</w:t>
      </w:r>
      <w:r w:rsidR="005F1A22" w:rsidRPr="001E31CB">
        <w:t xml:space="preserve"> – ex-STIF –</w:t>
      </w:r>
      <w:r w:rsidR="00DF25C8" w:rsidRPr="001E31CB">
        <w:t xml:space="preserve"> </w:t>
      </w:r>
      <w:r w:rsidRPr="001E31CB">
        <w:t xml:space="preserve">et de la RATP). La ligne 14 sera en correspondance avec les autres lignes du réseau Grand Paris Express à Saint-Denis Pleyel, Villejuif et Orly. </w:t>
      </w:r>
    </w:p>
    <w:p w14:paraId="56DE09AA" w14:textId="3416713D" w:rsidR="00A51C82" w:rsidRPr="001E31CB" w:rsidRDefault="00A51C82" w:rsidP="0083506E">
      <w:pPr>
        <w:numPr>
          <w:ilvl w:val="0"/>
          <w:numId w:val="7"/>
        </w:numPr>
        <w:spacing w:after="200"/>
        <w:jc w:val="both"/>
      </w:pPr>
      <w:r w:rsidRPr="001E31CB">
        <w:t xml:space="preserve">La ligne 11 est prolongée jusqu’à Noisy-Champs, soit environ 10 km supplémentaires par rapport au premier prolongement de la ligne jusqu’à Rosny Bois-Perrier. Ce prolongement de la ligne 11 se substitue à la section Rosny Bois-Perrier – Noisy-Champs de </w:t>
      </w:r>
      <w:r w:rsidR="005F337B" w:rsidRPr="001E31CB">
        <w:t xml:space="preserve">la </w:t>
      </w:r>
      <w:r w:rsidRPr="001E31CB">
        <w:t>ligne orange, la prise en compte de cette option ayant été confirmée à l’occasion de l’approbation par le Conseil du STIF (devenu Île-de-France Mobilités), en décembre 2013, du bilan de la concertation réalisée sur la ligne orange.</w:t>
      </w:r>
    </w:p>
    <w:p w14:paraId="1F25A929" w14:textId="77777777" w:rsidR="00A51C82" w:rsidRPr="00A51C82" w:rsidRDefault="00A51C82" w:rsidP="004C4CA3">
      <w:pPr>
        <w:spacing w:after="200"/>
        <w:jc w:val="both"/>
      </w:pPr>
      <w:r w:rsidRPr="00A51C82">
        <w:rPr>
          <w:b/>
        </w:rPr>
        <w:lastRenderedPageBreak/>
        <w:t xml:space="preserve">Le calendrier de mise en service des différentes lignes a été revu sur la base des dernières informations techniques </w:t>
      </w:r>
      <w:r w:rsidR="00CC3C0C">
        <w:rPr>
          <w:b/>
        </w:rPr>
        <w:t xml:space="preserve">et financières </w:t>
      </w:r>
      <w:r w:rsidRPr="00A51C82">
        <w:rPr>
          <w:b/>
        </w:rPr>
        <w:t>disponibles à l’hiver 2017-18 et annoncé par le Premier ministre le 22 février 2018 comme suit</w:t>
      </w:r>
      <w:r w:rsidRPr="00A51C82">
        <w:t xml:space="preserve"> : </w:t>
      </w:r>
    </w:p>
    <w:p w14:paraId="02D73AAD" w14:textId="77777777" w:rsidR="00A51C82" w:rsidRPr="00A51C82" w:rsidRDefault="00A51C82" w:rsidP="004C4CA3">
      <w:pPr>
        <w:spacing w:after="200"/>
        <w:jc w:val="both"/>
      </w:pPr>
      <w:r w:rsidRPr="00A51C82">
        <w:t>En 2024 :</w:t>
      </w:r>
    </w:p>
    <w:p w14:paraId="3B95BEB7" w14:textId="77777777" w:rsidR="00594E99" w:rsidRDefault="00A51C82" w:rsidP="0083506E">
      <w:pPr>
        <w:numPr>
          <w:ilvl w:val="0"/>
          <w:numId w:val="4"/>
        </w:numPr>
        <w:contextualSpacing/>
        <w:jc w:val="both"/>
        <w:rPr>
          <w:szCs w:val="20"/>
        </w:rPr>
      </w:pPr>
      <w:r w:rsidRPr="00594E99">
        <w:rPr>
          <w:szCs w:val="20"/>
        </w:rPr>
        <w:t>la ligne 14 Nord et le tronçon commun des lignes 16 et 17 entre Saint-Denis Pleyel et Le Bourget RER, l’extension de la ligne 14 Sud jusqu’à l’aéroport d’Orly ;</w:t>
      </w:r>
    </w:p>
    <w:p w14:paraId="1C1CFB68" w14:textId="77D82F26" w:rsidR="00A51C82" w:rsidRPr="00594E99" w:rsidRDefault="00A51C82" w:rsidP="0083506E">
      <w:pPr>
        <w:numPr>
          <w:ilvl w:val="0"/>
          <w:numId w:val="4"/>
        </w:numPr>
        <w:contextualSpacing/>
        <w:jc w:val="both"/>
        <w:rPr>
          <w:szCs w:val="20"/>
        </w:rPr>
      </w:pPr>
      <w:r w:rsidRPr="00A51C82">
        <w:t>la ligne 15 Sud de Pont de Sèvres à Noisy-Champs ;</w:t>
      </w:r>
    </w:p>
    <w:p w14:paraId="1EE57629" w14:textId="21B51F8E" w:rsidR="00A51C82" w:rsidRPr="00A51C82" w:rsidRDefault="00A51C82" w:rsidP="0083506E">
      <w:pPr>
        <w:numPr>
          <w:ilvl w:val="0"/>
          <w:numId w:val="4"/>
        </w:numPr>
        <w:contextualSpacing/>
        <w:jc w:val="both"/>
      </w:pPr>
      <w:r w:rsidRPr="00A51C82">
        <w:t>la ligne 16 entre le Bourget RER et Clichy – Montfermeil.</w:t>
      </w:r>
    </w:p>
    <w:p w14:paraId="57116050" w14:textId="77777777" w:rsidR="00594E99" w:rsidRDefault="00594E99" w:rsidP="004C4CA3">
      <w:pPr>
        <w:spacing w:after="200"/>
        <w:jc w:val="both"/>
      </w:pPr>
    </w:p>
    <w:p w14:paraId="63F2D145" w14:textId="3C886181" w:rsidR="00A51C82" w:rsidRPr="00A51C82" w:rsidRDefault="00A51C82" w:rsidP="004C4CA3">
      <w:pPr>
        <w:spacing w:after="200"/>
        <w:jc w:val="both"/>
      </w:pPr>
      <w:r w:rsidRPr="00A51C82">
        <w:t>Pour la ligne 17, les appels d’offres seront lancés au plus tôt pour vérifier la faisabilité technique d’une mise en service jusqu’au Bourget Aéroport dès 2024.</w:t>
      </w:r>
    </w:p>
    <w:p w14:paraId="75531DC1" w14:textId="77777777" w:rsidR="00A51C82" w:rsidRPr="00A51C82" w:rsidRDefault="00A51C82" w:rsidP="004C4CA3">
      <w:pPr>
        <w:spacing w:after="200"/>
        <w:jc w:val="both"/>
      </w:pPr>
      <w:r w:rsidRPr="00A51C82">
        <w:t>En 2027 :</w:t>
      </w:r>
    </w:p>
    <w:p w14:paraId="04780C81" w14:textId="77777777" w:rsidR="00594E99" w:rsidRDefault="00A51C82" w:rsidP="0083506E">
      <w:pPr>
        <w:numPr>
          <w:ilvl w:val="0"/>
          <w:numId w:val="4"/>
        </w:numPr>
        <w:contextualSpacing/>
        <w:jc w:val="both"/>
      </w:pPr>
      <w:r w:rsidRPr="00A51C82">
        <w:t>la ligne 17 jusqu’à la gare Triangle de Gonesse ;</w:t>
      </w:r>
    </w:p>
    <w:p w14:paraId="4CB67C40" w14:textId="0E524043" w:rsidR="00A51C82" w:rsidRPr="00A51C82" w:rsidRDefault="00A51C82" w:rsidP="0083506E">
      <w:pPr>
        <w:numPr>
          <w:ilvl w:val="0"/>
          <w:numId w:val="4"/>
        </w:numPr>
        <w:contextualSpacing/>
        <w:jc w:val="both"/>
      </w:pPr>
      <w:r w:rsidRPr="00A51C82">
        <w:t>la ligne 18 d'Orly jusqu’à la gare CEA Saint-Aubin</w:t>
      </w:r>
      <w:r w:rsidR="000164B2" w:rsidRPr="00A51C82">
        <w:t>.</w:t>
      </w:r>
    </w:p>
    <w:p w14:paraId="5046358A" w14:textId="77777777" w:rsidR="00594E99" w:rsidRDefault="00594E99" w:rsidP="004C4CA3">
      <w:pPr>
        <w:spacing w:after="200"/>
        <w:jc w:val="both"/>
      </w:pPr>
    </w:p>
    <w:p w14:paraId="0FC970BB" w14:textId="0C847341" w:rsidR="00A51C82" w:rsidRPr="00A51C82" w:rsidRDefault="00A51C82" w:rsidP="004C4CA3">
      <w:pPr>
        <w:spacing w:after="200"/>
        <w:jc w:val="both"/>
      </w:pPr>
      <w:r w:rsidRPr="00A51C82">
        <w:t>En 2030 :</w:t>
      </w:r>
    </w:p>
    <w:p w14:paraId="0A6614D1" w14:textId="77777777" w:rsidR="00594E99" w:rsidRDefault="00A51C82" w:rsidP="0083506E">
      <w:pPr>
        <w:numPr>
          <w:ilvl w:val="0"/>
          <w:numId w:val="4"/>
        </w:numPr>
        <w:contextualSpacing/>
        <w:jc w:val="both"/>
      </w:pPr>
      <w:r w:rsidRPr="00A51C82">
        <w:t>la ligne 15 Ouest, de Pont de Sèvres à Saint-Denis Pleyel ;</w:t>
      </w:r>
    </w:p>
    <w:p w14:paraId="39C0B25A" w14:textId="77777777" w:rsidR="00594E99" w:rsidRDefault="00A51C82" w:rsidP="0083506E">
      <w:pPr>
        <w:numPr>
          <w:ilvl w:val="0"/>
          <w:numId w:val="4"/>
        </w:numPr>
        <w:contextualSpacing/>
        <w:jc w:val="both"/>
      </w:pPr>
      <w:r w:rsidRPr="00A51C82">
        <w:t>la ligne 15 Est, de Saint-Denis Pleyel à Champigny Centre ;</w:t>
      </w:r>
    </w:p>
    <w:p w14:paraId="18D29980" w14:textId="77777777" w:rsidR="00594E99" w:rsidRDefault="00A51C82" w:rsidP="0083506E">
      <w:pPr>
        <w:numPr>
          <w:ilvl w:val="0"/>
          <w:numId w:val="4"/>
        </w:numPr>
        <w:contextualSpacing/>
        <w:jc w:val="both"/>
      </w:pPr>
      <w:r w:rsidRPr="00A51C82">
        <w:t>la ligne 16, de Clichy – Montfermeil à Noisy – Champs ;</w:t>
      </w:r>
    </w:p>
    <w:p w14:paraId="08DA87B5" w14:textId="77777777" w:rsidR="00594E99" w:rsidRDefault="00A51C82" w:rsidP="0083506E">
      <w:pPr>
        <w:numPr>
          <w:ilvl w:val="0"/>
          <w:numId w:val="4"/>
        </w:numPr>
        <w:contextualSpacing/>
        <w:jc w:val="both"/>
      </w:pPr>
      <w:r w:rsidRPr="00A51C82">
        <w:t>la ligne 17, de la gare Triangle de Gonesse jusqu’au Mesnil-Amelot ;</w:t>
      </w:r>
    </w:p>
    <w:p w14:paraId="257A87BD" w14:textId="77BC2B6A" w:rsidR="00A51C82" w:rsidRPr="00A51C82" w:rsidRDefault="00A51C82" w:rsidP="0083506E">
      <w:pPr>
        <w:numPr>
          <w:ilvl w:val="0"/>
          <w:numId w:val="4"/>
        </w:numPr>
        <w:contextualSpacing/>
        <w:jc w:val="both"/>
      </w:pPr>
      <w:r w:rsidRPr="00A51C82">
        <w:t>la ligne 18, de CEA Saint-Aubin à Versailles Chantiers.</w:t>
      </w:r>
    </w:p>
    <w:p w14:paraId="1179EEAC" w14:textId="31406F69" w:rsidR="00A51C82" w:rsidRPr="00A51C82" w:rsidRDefault="00A13130" w:rsidP="00102EDC">
      <w:pPr>
        <w:pStyle w:val="Titre2"/>
      </w:pPr>
      <w:bookmarkStart w:id="8" w:name="_Toc330932600"/>
      <w:bookmarkStart w:id="9" w:name="_Toc46917049"/>
      <w:r>
        <w:br w:type="column"/>
      </w:r>
      <w:bookmarkStart w:id="10" w:name="_Toc63352120"/>
      <w:r w:rsidR="00A51C82" w:rsidRPr="00A51C82">
        <w:t>L’ambition économique du réseau du Grand Paris</w:t>
      </w:r>
      <w:bookmarkEnd w:id="8"/>
      <w:bookmarkEnd w:id="9"/>
      <w:bookmarkEnd w:id="10"/>
      <w:r w:rsidR="00A51C82" w:rsidRPr="00A51C82">
        <w:t xml:space="preserve"> </w:t>
      </w:r>
    </w:p>
    <w:p w14:paraId="0DC5EBFE" w14:textId="77777777" w:rsidR="001F5A38" w:rsidRDefault="001F5A38" w:rsidP="004C4CA3">
      <w:pPr>
        <w:jc w:val="both"/>
        <w:rPr>
          <w:szCs w:val="20"/>
        </w:rPr>
      </w:pPr>
    </w:p>
    <w:p w14:paraId="7CFB28E4" w14:textId="77777777" w:rsidR="00A51C82" w:rsidRPr="00A51C82" w:rsidRDefault="00A51C82" w:rsidP="004C4CA3">
      <w:pPr>
        <w:jc w:val="both"/>
        <w:rPr>
          <w:szCs w:val="20"/>
          <w:lang w:eastAsia="fr-FR"/>
        </w:rPr>
      </w:pPr>
      <w:r w:rsidRPr="00A51C82">
        <w:rPr>
          <w:szCs w:val="20"/>
        </w:rPr>
        <w:t xml:space="preserve">L'ambition du réseau de transport public du Grand Paris est définie par l'article 1 de la loi du 3 juin 2010. Cet investissement considérable doit d’abord contribuer à un meilleur fonctionnement de l’ensemble des transports en commun de la région ; il vise à réduire les déséquilibres sociaux, territoriaux et fiscaux. Au-delà, il intègre un objectif de croissance économique et doit être un élément d'appui d'un ensemble de dispositions destinées à </w:t>
      </w:r>
      <w:r w:rsidRPr="00A51C82">
        <w:rPr>
          <w:b/>
          <w:szCs w:val="20"/>
        </w:rPr>
        <w:t>promouvoir le développement économique durable, solidaire et créateur d'emplois de la région capitale</w:t>
      </w:r>
      <w:r w:rsidRPr="00A51C82">
        <w:rPr>
          <w:szCs w:val="20"/>
        </w:rPr>
        <w:t xml:space="preserve"> et à unir les territoires de l’Île-de-France. </w:t>
      </w:r>
    </w:p>
    <w:p w14:paraId="40038B51" w14:textId="77777777" w:rsidR="00A13130" w:rsidRDefault="00A13130" w:rsidP="00102EDC">
      <w:pPr>
        <w:pStyle w:val="Titre2"/>
        <w:sectPr w:rsidR="00A13130" w:rsidSect="00822CCC">
          <w:pgSz w:w="23818" w:h="16838" w:orient="landscape"/>
          <w:pgMar w:top="1418" w:right="1418" w:bottom="1418" w:left="1418" w:header="709" w:footer="709" w:gutter="0"/>
          <w:cols w:num="2" w:space="708"/>
        </w:sectPr>
      </w:pPr>
      <w:bookmarkStart w:id="11" w:name="_Toc330932602"/>
      <w:bookmarkStart w:id="12" w:name="_Toc46917050"/>
    </w:p>
    <w:p w14:paraId="4A5CA6D1" w14:textId="0FFEE0D2" w:rsidR="00A51C82" w:rsidRPr="00A51C82" w:rsidRDefault="00A51C82" w:rsidP="00102EDC">
      <w:pPr>
        <w:pStyle w:val="Titre2"/>
      </w:pPr>
      <w:bookmarkStart w:id="13" w:name="_Toc63352121"/>
      <w:r w:rsidRPr="00A51C82">
        <w:lastRenderedPageBreak/>
        <w:t>Construire une métropole durable</w:t>
      </w:r>
      <w:bookmarkEnd w:id="11"/>
      <w:bookmarkEnd w:id="12"/>
      <w:bookmarkEnd w:id="13"/>
    </w:p>
    <w:p w14:paraId="5F7880A8" w14:textId="77777777" w:rsidR="001F5A38" w:rsidRDefault="001F5A38" w:rsidP="004C4CA3">
      <w:pPr>
        <w:jc w:val="both"/>
        <w:rPr>
          <w:szCs w:val="20"/>
        </w:rPr>
      </w:pPr>
    </w:p>
    <w:p w14:paraId="2CEC99FA" w14:textId="38F30527" w:rsidR="00A51C82" w:rsidRDefault="00A51C82" w:rsidP="004C4CA3">
      <w:pPr>
        <w:jc w:val="both"/>
        <w:rPr>
          <w:szCs w:val="20"/>
        </w:rPr>
      </w:pPr>
      <w:r w:rsidRPr="00A51C82">
        <w:rPr>
          <w:szCs w:val="20"/>
        </w:rPr>
        <w:t xml:space="preserve">La localisation des emplois et des entreprises dans la région sera graduellement transformée du fait </w:t>
      </w:r>
      <w:r w:rsidRPr="00E60F82">
        <w:rPr>
          <w:szCs w:val="20"/>
        </w:rPr>
        <w:t xml:space="preserve">de la mise en service du métro automatique, car l’accessibilité </w:t>
      </w:r>
      <w:r w:rsidR="00E60F82" w:rsidRPr="00E60F82">
        <w:rPr>
          <w:szCs w:val="20"/>
        </w:rPr>
        <w:t>aux principaux bassins de vie et d’emploi</w:t>
      </w:r>
      <w:r w:rsidR="00557F8C" w:rsidRPr="00E60F82">
        <w:rPr>
          <w:szCs w:val="20"/>
        </w:rPr>
        <w:t xml:space="preserve"> </w:t>
      </w:r>
      <w:r w:rsidRPr="00E60F82">
        <w:rPr>
          <w:szCs w:val="20"/>
        </w:rPr>
        <w:t xml:space="preserve">est </w:t>
      </w:r>
      <w:r w:rsidRPr="00A51C82">
        <w:rPr>
          <w:szCs w:val="20"/>
        </w:rPr>
        <w:t>un des paramètres centraux de localisation des entreprises et des populations. Les simulations effectuées pour apprécier les incidences du réseau du Grand Paris montrent qu’à un horizon 2035,</w:t>
      </w:r>
      <w:r w:rsidR="00A572A5">
        <w:rPr>
          <w:szCs w:val="20"/>
        </w:rPr>
        <w:t xml:space="preserve"> </w:t>
      </w:r>
      <w:r w:rsidRPr="00A51C82">
        <w:rPr>
          <w:szCs w:val="20"/>
        </w:rPr>
        <w:t xml:space="preserve">80% des emplois nouveaux nets seront localisés dans le cœur de l’agglomération parisienne (Paris intra-muros et les aires de contrats de développement territorial prévus par la loi du 3 juin 2010 relative au Grand Paris) </w:t>
      </w:r>
      <w:r w:rsidR="00A572A5">
        <w:rPr>
          <w:szCs w:val="20"/>
        </w:rPr>
        <w:t>contre moins</w:t>
      </w:r>
      <w:r w:rsidR="00CC3C0C">
        <w:rPr>
          <w:szCs w:val="20"/>
        </w:rPr>
        <w:t xml:space="preserve"> de 6</w:t>
      </w:r>
      <w:r w:rsidRPr="00A51C82">
        <w:rPr>
          <w:szCs w:val="20"/>
        </w:rPr>
        <w:t xml:space="preserve">0% en tendance. Il en est de même, mais à un degré inférieur, pour la population. La polarisation recherchée par le projet sera en outre plus forte si le projet est accompagné par une politique dynamique de création de logements. </w:t>
      </w:r>
    </w:p>
    <w:p w14:paraId="0BDBE9B5" w14:textId="77777777" w:rsidR="001F5A38" w:rsidRPr="00A51C82" w:rsidRDefault="001F5A38" w:rsidP="004C4CA3">
      <w:pPr>
        <w:jc w:val="both"/>
        <w:rPr>
          <w:szCs w:val="20"/>
        </w:rPr>
      </w:pPr>
    </w:p>
    <w:p w14:paraId="0EA18F16" w14:textId="77777777" w:rsidR="00A51C82" w:rsidRDefault="00A51C82" w:rsidP="004C4CA3">
      <w:pPr>
        <w:jc w:val="both"/>
        <w:rPr>
          <w:szCs w:val="20"/>
        </w:rPr>
      </w:pPr>
      <w:r w:rsidRPr="00A51C82">
        <w:rPr>
          <w:szCs w:val="20"/>
        </w:rPr>
        <w:t xml:space="preserve">La réalisation du réseau du Grand Paris incite donc à une croissance moins étalée et offre des infrastructures directrices pour un développement mieux organisé de la ville ; elle va contribuer à un développement de centres secondaires notamment à travers la mise en œuvre des contrats de développement territoriaux. Il y a là un enjeu considérable dans la perspective de la construction d’une métropole durable. </w:t>
      </w:r>
    </w:p>
    <w:p w14:paraId="66FAF9A9" w14:textId="77777777" w:rsidR="00CC3C0C" w:rsidRPr="00A51C82" w:rsidRDefault="00CC3C0C" w:rsidP="004C4CA3">
      <w:pPr>
        <w:jc w:val="both"/>
        <w:rPr>
          <w:szCs w:val="20"/>
        </w:rPr>
      </w:pPr>
    </w:p>
    <w:p w14:paraId="4548AADA" w14:textId="11B92234" w:rsidR="00A51C82" w:rsidRPr="00A51C82" w:rsidRDefault="00A51C82" w:rsidP="004C4CA3">
      <w:pPr>
        <w:jc w:val="both"/>
        <w:rPr>
          <w:b/>
          <w:szCs w:val="20"/>
        </w:rPr>
      </w:pPr>
      <w:r w:rsidRPr="00A51C82">
        <w:rPr>
          <w:szCs w:val="20"/>
        </w:rPr>
        <w:t xml:space="preserve">Les effets à très long terme sont encore plus importants (le long terme de la ville est de l’ordre du demi-siècle ou du siècle), grâce à l’enclenchement d’une dynamique vertueuse. Le réseau du Grand Paris favorisera la réduction du taux de motorisation dans la région d’Île-de-France, grâce à de meilleurs transports en commun et à une urbanisation plus concentrée sur le cœur de l’agglomération. </w:t>
      </w:r>
      <w:r w:rsidR="00BB2D36">
        <w:rPr>
          <w:szCs w:val="20"/>
        </w:rPr>
        <w:t xml:space="preserve">Cette tendance </w:t>
      </w:r>
      <w:r w:rsidRPr="00A51C82">
        <w:rPr>
          <w:szCs w:val="20"/>
        </w:rPr>
        <w:t xml:space="preserve">des trente prochaines années pourra être maintenue voire accentuée par la suite avec une politique adaptée dans le temps d'équipements de transports collectifs de masse. Le projet de métro automatique permet donc de renforcer l’ancrage du développement urbain de la région dans un scénario « vertueux » de plus grande productivité économique et écologique, en permettant d’appuyer fortement les options retenues aussi bien par les responsables nationaux que </w:t>
      </w:r>
      <w:r w:rsidRPr="00E60F82">
        <w:rPr>
          <w:szCs w:val="20"/>
        </w:rPr>
        <w:t xml:space="preserve">locaux, en apportant ainsi une contribution majeure à la réussite de la Stratégie Nationale Bas Carbone. </w:t>
      </w:r>
      <w:r w:rsidRPr="00E60F82">
        <w:rPr>
          <w:b/>
          <w:szCs w:val="20"/>
        </w:rPr>
        <w:t xml:space="preserve">Un simple accompagnement des besoins de transport constatés aujourd’hui </w:t>
      </w:r>
      <w:r w:rsidR="00401C39" w:rsidRPr="00E60F82">
        <w:rPr>
          <w:b/>
          <w:szCs w:val="20"/>
        </w:rPr>
        <w:t xml:space="preserve">n’offrirait </w:t>
      </w:r>
      <w:r w:rsidRPr="00A51C82">
        <w:rPr>
          <w:b/>
          <w:szCs w:val="20"/>
        </w:rPr>
        <w:t xml:space="preserve">pas une incitation suffisamment puissante pour lutter avec efficacité </w:t>
      </w:r>
      <w:r w:rsidR="001E31CB">
        <w:rPr>
          <w:b/>
          <w:szCs w:val="20"/>
        </w:rPr>
        <w:t xml:space="preserve">ni </w:t>
      </w:r>
      <w:r w:rsidRPr="00A51C82">
        <w:rPr>
          <w:b/>
          <w:szCs w:val="20"/>
        </w:rPr>
        <w:t xml:space="preserve">contre les </w:t>
      </w:r>
      <w:r w:rsidR="001E31CB">
        <w:rPr>
          <w:b/>
          <w:szCs w:val="20"/>
        </w:rPr>
        <w:t xml:space="preserve">congestions déjà constatées et encore plus fortes à terme dans les transports de la région, ni contre les </w:t>
      </w:r>
      <w:r w:rsidRPr="00A51C82">
        <w:rPr>
          <w:b/>
          <w:szCs w:val="20"/>
        </w:rPr>
        <w:t>forces d’étalement urbain dans la répartition de l’emploi et des populations au sein de l’agglomération et rendrait ainsi plus coûteuse pour le pays la mise en œuvre de la Stratégie Nationale Bas Carbone.</w:t>
      </w:r>
    </w:p>
    <w:p w14:paraId="6618D8C1" w14:textId="77777777" w:rsidR="00A13130" w:rsidRDefault="00A13130" w:rsidP="004C4CA3">
      <w:pPr>
        <w:jc w:val="both"/>
      </w:pPr>
    </w:p>
    <w:p w14:paraId="0FCF3A99" w14:textId="62404E36" w:rsidR="00A51C82" w:rsidRPr="00A51C82" w:rsidRDefault="00A51C82" w:rsidP="004C4CA3">
      <w:pPr>
        <w:jc w:val="both"/>
      </w:pPr>
    </w:p>
    <w:p w14:paraId="1C07CB69" w14:textId="77777777" w:rsidR="00A51C82" w:rsidRPr="00A51C82" w:rsidRDefault="00A51C82" w:rsidP="004C4CA3">
      <w:pPr>
        <w:jc w:val="both"/>
      </w:pPr>
    </w:p>
    <w:p w14:paraId="72134E16" w14:textId="77777777" w:rsidR="00A51C82" w:rsidRPr="00A51C82" w:rsidRDefault="00A51C82" w:rsidP="004C4CA3">
      <w:pPr>
        <w:jc w:val="both"/>
      </w:pPr>
    </w:p>
    <w:p w14:paraId="69A7A51D" w14:textId="77777777" w:rsidR="00A51C82" w:rsidRPr="00A51C82" w:rsidRDefault="00A51C82" w:rsidP="004C4CA3">
      <w:pPr>
        <w:jc w:val="both"/>
        <w:sectPr w:rsidR="00A51C82" w:rsidRPr="00A51C82" w:rsidSect="00822CCC">
          <w:pgSz w:w="23818" w:h="16838" w:orient="landscape"/>
          <w:pgMar w:top="1418" w:right="1418" w:bottom="1418" w:left="1418" w:header="709" w:footer="709" w:gutter="0"/>
          <w:cols w:num="2" w:space="708"/>
        </w:sectPr>
      </w:pPr>
    </w:p>
    <w:p w14:paraId="4D7BB562" w14:textId="7D5E4592" w:rsidR="004A336F" w:rsidRDefault="00CA7253" w:rsidP="00412C10">
      <w:pPr>
        <w:pStyle w:val="Titre1"/>
        <w:numPr>
          <w:ilvl w:val="0"/>
          <w:numId w:val="31"/>
        </w:numPr>
      </w:pPr>
      <w:bookmarkStart w:id="14" w:name="_Toc46917051"/>
      <w:bookmarkStart w:id="15" w:name="_Toc63352122"/>
      <w:r>
        <w:lastRenderedPageBreak/>
        <w:t>É</w:t>
      </w:r>
      <w:r w:rsidR="00A51C82" w:rsidRPr="00A51C82">
        <w:t xml:space="preserve">valuation socio-économique selon l’instruction de </w:t>
      </w:r>
      <w:r w:rsidR="00A51C82" w:rsidRPr="00063343">
        <w:t>juin 2014</w:t>
      </w:r>
      <w:bookmarkEnd w:id="14"/>
      <w:bookmarkEnd w:id="15"/>
      <w:r w:rsidR="00A51FDF">
        <w:t xml:space="preserve"> </w:t>
      </w:r>
      <w:r w:rsidR="004A336F">
        <w:br w:type="page"/>
      </w:r>
    </w:p>
    <w:p w14:paraId="1DEA4B0B" w14:textId="77777777" w:rsidR="004A336F" w:rsidRPr="004A336F" w:rsidRDefault="004A336F" w:rsidP="004A336F">
      <w:pPr>
        <w:sectPr w:rsidR="004A336F" w:rsidRPr="004A336F" w:rsidSect="00822CCC">
          <w:headerReference w:type="default" r:id="rId21"/>
          <w:footerReference w:type="default" r:id="rId22"/>
          <w:pgSz w:w="23818" w:h="16838" w:orient="landscape"/>
          <w:pgMar w:top="1418" w:right="1418" w:bottom="1418" w:left="1418" w:header="709" w:footer="709" w:gutter="0"/>
          <w:cols w:space="708"/>
          <w:vAlign w:val="center"/>
        </w:sectPr>
      </w:pPr>
    </w:p>
    <w:p w14:paraId="404DA1B0" w14:textId="77777777" w:rsidR="00A51C82" w:rsidRPr="00A51C82" w:rsidRDefault="00A51C82" w:rsidP="004C4CA3">
      <w:pPr>
        <w:jc w:val="both"/>
      </w:pPr>
    </w:p>
    <w:p w14:paraId="7D40BBB8" w14:textId="0BBD588E" w:rsidR="00CA7253" w:rsidRDefault="00CA7253">
      <w:pPr>
        <w:rPr>
          <w:rFonts w:eastAsia="Times New Roman"/>
          <w:b/>
          <w:bCs/>
          <w:color w:val="931638"/>
          <w:sz w:val="26"/>
          <w:szCs w:val="26"/>
        </w:rPr>
      </w:pPr>
      <w:r>
        <w:rPr>
          <w:rFonts w:eastAsia="Times New Roman"/>
          <w:b/>
          <w:bCs/>
          <w:color w:val="931638"/>
          <w:sz w:val="26"/>
          <w:szCs w:val="26"/>
        </w:rPr>
        <w:br w:type="page"/>
      </w:r>
    </w:p>
    <w:p w14:paraId="79FAE75F" w14:textId="77777777" w:rsidR="00A51C82" w:rsidRPr="00A51C82" w:rsidRDefault="00A51C82" w:rsidP="004A336F">
      <w:pPr>
        <w:keepNext/>
        <w:keepLines/>
        <w:pBdr>
          <w:bottom w:val="single" w:sz="12" w:space="1" w:color="931638"/>
        </w:pBdr>
        <w:tabs>
          <w:tab w:val="left" w:pos="709"/>
        </w:tabs>
        <w:spacing w:before="600"/>
        <w:jc w:val="both"/>
        <w:outlineLvl w:val="1"/>
        <w:rPr>
          <w:rFonts w:eastAsia="Times New Roman"/>
          <w:b/>
          <w:bCs/>
          <w:color w:val="931638"/>
          <w:sz w:val="26"/>
          <w:szCs w:val="26"/>
        </w:rPr>
        <w:sectPr w:rsidR="00A51C82" w:rsidRPr="00A51C82" w:rsidSect="00822CCC">
          <w:headerReference w:type="default" r:id="rId23"/>
          <w:footerReference w:type="default" r:id="rId24"/>
          <w:pgSz w:w="23818" w:h="16838" w:orient="landscape"/>
          <w:pgMar w:top="1418" w:right="1418" w:bottom="1418" w:left="1418" w:header="709" w:footer="709" w:gutter="0"/>
          <w:cols w:space="708"/>
        </w:sectPr>
      </w:pPr>
    </w:p>
    <w:p w14:paraId="376E796E" w14:textId="54E32FFC" w:rsidR="00A51C82" w:rsidRPr="00A13130" w:rsidRDefault="00A51C82" w:rsidP="00412C10">
      <w:pPr>
        <w:pStyle w:val="Titre2"/>
        <w:numPr>
          <w:ilvl w:val="2"/>
          <w:numId w:val="37"/>
        </w:numPr>
      </w:pPr>
      <w:bookmarkStart w:id="16" w:name="_Toc46917052"/>
      <w:bookmarkStart w:id="17" w:name="_Toc63352123"/>
      <w:r w:rsidRPr="00A13130">
        <w:lastRenderedPageBreak/>
        <w:t>Les finalités et principes de l’évaluation socio-économique</w:t>
      </w:r>
      <w:bookmarkEnd w:id="16"/>
      <w:bookmarkEnd w:id="17"/>
    </w:p>
    <w:p w14:paraId="243546E8" w14:textId="77777777" w:rsidR="00CC3C0C" w:rsidRDefault="00CC3C0C" w:rsidP="004C4CA3">
      <w:pPr>
        <w:jc w:val="both"/>
      </w:pPr>
    </w:p>
    <w:p w14:paraId="2AEDF2DF" w14:textId="0661DAD8" w:rsidR="00A51C82" w:rsidRPr="001E31CB" w:rsidRDefault="00A51C82" w:rsidP="004C4CA3">
      <w:pPr>
        <w:jc w:val="both"/>
      </w:pPr>
      <w:r w:rsidRPr="001E31CB">
        <w:t>Les articles L. 1511-1 à L. 1511-5 du code des transports ont instauré l’obligation de réaliser une évaluation socio-économique des grands projets d’infrastructures. Les articles R. 1511-1 à R. 1511-10 du même code précisent la notion de grands projets et le contenu des études d’évaluation. Ils rappellent la nécessité d’évaluer l’intérêt d’un projet pour la collectivité en réalisant le bilan socio-économique de ce dernier. Ce bilan, établi sur la base de prévisions de trafic, doit être réalisé selon une méthodologie bien précise décrite par l’instruction du Gouvernement du 16 juin 2014</w:t>
      </w:r>
      <w:r w:rsidR="00303420" w:rsidRPr="001E31CB">
        <w:t xml:space="preserve"> actualisée</w:t>
      </w:r>
      <w:r w:rsidR="00CC320C" w:rsidRPr="001E31CB">
        <w:t xml:space="preserve"> </w:t>
      </w:r>
      <w:r w:rsidR="001E31CB">
        <w:t>en</w:t>
      </w:r>
      <w:r w:rsidR="00303420" w:rsidRPr="001E31CB">
        <w:t xml:space="preserve"> mai 2019,</w:t>
      </w:r>
      <w:r w:rsidRPr="001E31CB">
        <w:t xml:space="preserve"> relative à l’évaluation des projets de transport. Le projet de métro automatique du Grand Paris Express appartient aux grands projets, au titre de deux des catégories visées par ces dispositions règlementaires.</w:t>
      </w:r>
    </w:p>
    <w:p w14:paraId="058B1E85" w14:textId="77777777" w:rsidR="00A51C82" w:rsidRPr="001E31CB" w:rsidRDefault="00A51C82" w:rsidP="004C4CA3">
      <w:pPr>
        <w:jc w:val="both"/>
      </w:pPr>
    </w:p>
    <w:p w14:paraId="451E8F0F" w14:textId="77777777" w:rsidR="00A51C82" w:rsidRPr="001E31CB" w:rsidRDefault="004C4CA3" w:rsidP="004C4CA3">
      <w:pPr>
        <w:jc w:val="both"/>
        <w:rPr>
          <w:b/>
          <w:i/>
        </w:rPr>
      </w:pPr>
      <w:r w:rsidRPr="001E31CB">
        <w:rPr>
          <w:noProof/>
          <w:lang w:eastAsia="fr-FR"/>
        </w:rPr>
        <mc:AlternateContent>
          <mc:Choice Requires="wps">
            <w:drawing>
              <wp:anchor distT="0" distB="0" distL="114300" distR="114300" simplePos="0" relativeHeight="251665920" behindDoc="1" locked="0" layoutInCell="1" allowOverlap="1" wp14:anchorId="057A3189" wp14:editId="3BCAFF08">
                <wp:simplePos x="0" y="0"/>
                <wp:positionH relativeFrom="column">
                  <wp:posOffset>-102988</wp:posOffset>
                </wp:positionH>
                <wp:positionV relativeFrom="paragraph">
                  <wp:posOffset>142609</wp:posOffset>
                </wp:positionV>
                <wp:extent cx="6600190" cy="4210493"/>
                <wp:effectExtent l="0" t="0" r="10160" b="19050"/>
                <wp:wrapNone/>
                <wp:docPr id="932" name="Rectangle 8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0190" cy="4210493"/>
                        </a:xfrm>
                        <a:prstGeom prst="rect">
                          <a:avLst/>
                        </a:prstGeom>
                        <a:solidFill>
                          <a:srgbClr val="E6D8C3"/>
                        </a:solidFill>
                        <a:ln w="12700" algn="ctr">
                          <a:solidFill>
                            <a:srgbClr val="931638"/>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D42861" id="Rectangle 882" o:spid="_x0000_s1026" style="position:absolute;margin-left:-8.1pt;margin-top:11.25pt;width:519.7pt;height:331.5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h8EOgIAAFsEAAAOAAAAZHJzL2Uyb0RvYy54bWysVNtu2zAMfR+wfxD0vvqSLE2MOkWRtsOA&#10;bivW7QMYWbaFyZJGKXG6ry+lXJZub8PyIJAmdXR4SObqejdotpXolTU1Ly5yzqQRtlGmq/n3b/fv&#10;5pz5AKYBbY2s+bP0/Hr59s3V6CpZ2t7qRiIjEOOr0dW8D8FVWeZFLwfwF9ZJQ8HW4gCBXOyyBmEk&#10;9EFnZZ7PstFi49AK6T19vd0H+TLht60U4UvbehmYrjlxC+nEdK7jmS2voOoQXK/EgQb8A4sBlKFH&#10;T1C3EIBtUP0FNSiB1ts2XAg7ZLZtlZCpBqqmyP+o5qkHJ1MtJI53J5n8/4MVn7ePyFRT88Wk5MzA&#10;QE36SrKB6bRk83kZJRqdryjzyT1iLNK7Byt+eGbsqqc8eYNox15CQ8SKmJ+9uhAdT1fZevxkG8KH&#10;TbBJrV2LQwQkHdguNeX51BS5C0zQx9ksz4sF9U5QbFoW+XQxSW9Adbzu0IcP0g4sGjVHop/gYfvg&#10;Q6QD1TEl0bdaNfdK6+Rgt15pZFugCbmb3c5XR3R/nqYNG6m48jInJqA7GnYRML3yKs+fwy0mxWwy&#10;P5B9lTaoQGOv1VDzeR5/MQmqqOGdaZIdQOm9TfS1iWGZBvpQ01HVfXfWtnkmhdHuJ5w2koze4i/O&#10;RprumvufG0DJmf5oqEuLYjqN65Cc6fvLkhw8j6zPI2AEQdU8UOnJXIX9Cm0cqq6nl4qkhLE31NlW&#10;Jc0jvz2rwzzQBKdWHLYtrsi5n7J+/ycsXwAAAP//AwBQSwMEFAAGAAgAAAAhAPsyC0HdAAAACwEA&#10;AA8AAABkcnMvZG93bnJldi54bWxMj8FOwzAMhu9IvENkJG5b0sKqqms6oUmcOG2Du9uYtqNxqiZb&#10;C09PdoKj7U+/v7/cLXYQV5p871hDslYgiBtnem41vJ9eVzkIH5ANDo5Jwzd52FX3dyUWxs18oOsx&#10;tCKGsC9QQxfCWEjpm44s+rUbiePt000WQxynVpoJ5xhuB5kqlUmLPccPHY6076j5Ol6sBgw1qcO+&#10;np9z58bzKSRv4edD68eH5WULItAS/mC46Ud1qKJT7S5svBg0rJIsjaiGNN2AuAEqfYqbWkOWbzKQ&#10;VSn/d6h+AQAA//8DAFBLAQItABQABgAIAAAAIQC2gziS/gAAAOEBAAATAAAAAAAAAAAAAAAAAAAA&#10;AABbQ29udGVudF9UeXBlc10ueG1sUEsBAi0AFAAGAAgAAAAhADj9If/WAAAAlAEAAAsAAAAAAAAA&#10;AAAAAAAALwEAAF9yZWxzLy5yZWxzUEsBAi0AFAAGAAgAAAAhANd2HwQ6AgAAWwQAAA4AAAAAAAAA&#10;AAAAAAAALgIAAGRycy9lMm9Eb2MueG1sUEsBAi0AFAAGAAgAAAAhAPsyC0HdAAAACwEAAA8AAAAA&#10;AAAAAAAAAAAAlAQAAGRycy9kb3ducmV2LnhtbFBLBQYAAAAABAAEAPMAAACeBQAAAAA=&#10;" fillcolor="#e6d8c3" strokecolor="#931638" strokeweight="1pt"/>
            </w:pict>
          </mc:Fallback>
        </mc:AlternateContent>
      </w:r>
    </w:p>
    <w:p w14:paraId="40631BE0" w14:textId="77777777" w:rsidR="004C4CA3" w:rsidRPr="001E31CB" w:rsidRDefault="001F5A38" w:rsidP="004C4CA3">
      <w:pPr>
        <w:jc w:val="both"/>
        <w:rPr>
          <w:b/>
          <w:i/>
        </w:rPr>
      </w:pPr>
      <w:r w:rsidRPr="001E31CB">
        <w:rPr>
          <w:b/>
          <w:i/>
        </w:rPr>
        <w:t>Instruction du Gouvernement du 16 juin 2014 </w:t>
      </w:r>
    </w:p>
    <w:p w14:paraId="353129A8" w14:textId="77777777" w:rsidR="001F5A38" w:rsidRPr="001E31CB" w:rsidRDefault="001F5A38" w:rsidP="004C4CA3">
      <w:pPr>
        <w:jc w:val="both"/>
      </w:pPr>
    </w:p>
    <w:p w14:paraId="3A17DE3C" w14:textId="77777777" w:rsidR="00A51C82" w:rsidRPr="001E31CB" w:rsidRDefault="00A51C82" w:rsidP="004C4CA3">
      <w:pPr>
        <w:jc w:val="both"/>
      </w:pPr>
      <w:r w:rsidRPr="001E31CB">
        <w:t>Cette instruction présente le cadre général pour l’évaluation des projets de transports de l’État, de ses établissements publics et de ses délégataires, en application des dispositions des articles L. 1511-1 à L. 1511-6 du code des transports et du décret n° 84-617 du 17 juillet 1984. Elle annule et remplace l’instruction-cadre du 24 mars 2004, mise à jour le 27 mai 2005.</w:t>
      </w:r>
    </w:p>
    <w:p w14:paraId="40B57339" w14:textId="77777777" w:rsidR="004C4CA3" w:rsidRPr="001E31CB" w:rsidRDefault="004C4CA3" w:rsidP="004C4CA3">
      <w:pPr>
        <w:jc w:val="both"/>
      </w:pPr>
    </w:p>
    <w:p w14:paraId="0C1219DE" w14:textId="77777777" w:rsidR="00A51C82" w:rsidRPr="001E31CB" w:rsidRDefault="00A51C82" w:rsidP="004C4CA3">
      <w:pPr>
        <w:jc w:val="both"/>
      </w:pPr>
      <w:r w:rsidRPr="001E31CB">
        <w:t>Le cadre général d’évaluation comporte trois volets :</w:t>
      </w:r>
    </w:p>
    <w:p w14:paraId="2D770A0E" w14:textId="77777777" w:rsidR="004C4CA3" w:rsidRPr="001E31CB" w:rsidRDefault="004C4CA3" w:rsidP="004C4CA3">
      <w:pPr>
        <w:jc w:val="both"/>
      </w:pPr>
    </w:p>
    <w:p w14:paraId="4AC97B99" w14:textId="77777777" w:rsidR="00A51C82" w:rsidRPr="001E31CB" w:rsidRDefault="00A51C82" w:rsidP="0083506E">
      <w:pPr>
        <w:numPr>
          <w:ilvl w:val="0"/>
          <w:numId w:val="4"/>
        </w:numPr>
        <w:jc w:val="both"/>
      </w:pPr>
      <w:r w:rsidRPr="001E31CB">
        <w:t>une analyse stratégique, définissant la situation existante, l’option de référence qui aurait prévalu sans le projet, les motifs à étudier l’éventualité d’agir, les objectifs du projet, les options de projet ;</w:t>
      </w:r>
    </w:p>
    <w:p w14:paraId="2E97857C" w14:textId="77777777" w:rsidR="00A51C82" w:rsidRPr="001E31CB" w:rsidRDefault="00A51C82" w:rsidP="0083506E">
      <w:pPr>
        <w:numPr>
          <w:ilvl w:val="0"/>
          <w:numId w:val="4"/>
        </w:numPr>
        <w:jc w:val="both"/>
      </w:pPr>
      <w:r w:rsidRPr="001E31CB">
        <w:t>une analyse des effets des différentes options de projet, portant, de manière adaptée et proportionnée aux enjeux et effets envisageables du projet, sur les thèmes sociaux, environnementaux et économiques ;</w:t>
      </w:r>
    </w:p>
    <w:p w14:paraId="05E8A4EA" w14:textId="77777777" w:rsidR="00A51C82" w:rsidRPr="001E31CB" w:rsidRDefault="00A51C82" w:rsidP="0083506E">
      <w:pPr>
        <w:numPr>
          <w:ilvl w:val="0"/>
          <w:numId w:val="4"/>
        </w:numPr>
        <w:jc w:val="both"/>
      </w:pPr>
      <w:r w:rsidRPr="001E31CB">
        <w:t>une synthèse, présentant les estimations sur le niveau d’atteinte des objectifs et sur les effets des différentes options de projet : la synthèse peut être déclinée par territoire et par catégorie d’acteurs, en considérant au moins, à ce dernier titre, les usagers directs du projet de transport et les finances publiques.</w:t>
      </w:r>
    </w:p>
    <w:p w14:paraId="490B67B2" w14:textId="77777777" w:rsidR="004C4CA3" w:rsidRPr="001E31CB" w:rsidRDefault="004C4CA3" w:rsidP="004C4CA3">
      <w:pPr>
        <w:jc w:val="both"/>
      </w:pPr>
    </w:p>
    <w:p w14:paraId="5595E477" w14:textId="1D40D2DB" w:rsidR="00A51C82" w:rsidRPr="001E31CB" w:rsidRDefault="00A51C82" w:rsidP="004C4CA3">
      <w:pPr>
        <w:jc w:val="both"/>
      </w:pPr>
      <w:r w:rsidRPr="001E31CB">
        <w:t xml:space="preserve">Une note technique de la direction générale des infrastructures, des transports et de la mer (DGITM) présente la méthode </w:t>
      </w:r>
      <w:r w:rsidR="00C32685">
        <w:t xml:space="preserve">à suivre </w:t>
      </w:r>
      <w:r w:rsidRPr="001E31CB">
        <w:t>pour appliquer le cadre général d’évaluation, qui est complétée de « fiches-outils</w:t>
      </w:r>
      <w:r w:rsidR="001E31CB" w:rsidRPr="001E31CB">
        <w:t> »</w:t>
      </w:r>
      <w:r w:rsidRPr="001E31CB">
        <w:t> </w:t>
      </w:r>
      <w:r w:rsidR="002F1D71" w:rsidRPr="001E31CB">
        <w:t>mises à jour en mai 2019</w:t>
      </w:r>
      <w:r w:rsidRPr="001E31CB">
        <w:t>.</w:t>
      </w:r>
    </w:p>
    <w:p w14:paraId="726A8A09" w14:textId="77777777" w:rsidR="004C4CA3" w:rsidRPr="001E31CB" w:rsidRDefault="004C4CA3" w:rsidP="004C4CA3">
      <w:pPr>
        <w:jc w:val="both"/>
      </w:pPr>
    </w:p>
    <w:p w14:paraId="7C3E6F2E" w14:textId="1324BD25" w:rsidR="00A51C82" w:rsidRPr="001E31CB" w:rsidRDefault="00BC7A6E" w:rsidP="004C4CA3">
      <w:pPr>
        <w:jc w:val="both"/>
      </w:pPr>
      <w:r>
        <w:t>Les</w:t>
      </w:r>
      <w:r w:rsidR="00A51C82" w:rsidRPr="001E31CB">
        <w:t xml:space="preserve"> résultats présentés dans le présent document appliqu</w:t>
      </w:r>
      <w:r>
        <w:t>e</w:t>
      </w:r>
      <w:r w:rsidR="00A51C82" w:rsidRPr="001E31CB">
        <w:t xml:space="preserve">nt les </w:t>
      </w:r>
      <w:r>
        <w:t xml:space="preserve">méthodes de calcul et les </w:t>
      </w:r>
      <w:r w:rsidR="00A51C82" w:rsidRPr="001E31CB">
        <w:t>paramètres indiqués dans les fiches-outils.</w:t>
      </w:r>
    </w:p>
    <w:p w14:paraId="023C37EB" w14:textId="77777777" w:rsidR="00A51C82" w:rsidRPr="001E31CB" w:rsidRDefault="00A51C82" w:rsidP="004C4CA3">
      <w:pPr>
        <w:jc w:val="both"/>
      </w:pPr>
    </w:p>
    <w:p w14:paraId="5B39DDC1" w14:textId="77777777" w:rsidR="004C4CA3" w:rsidRPr="001E31CB" w:rsidRDefault="004C4CA3" w:rsidP="004C4CA3">
      <w:pPr>
        <w:jc w:val="both"/>
      </w:pPr>
    </w:p>
    <w:p w14:paraId="55FD1579" w14:textId="77777777" w:rsidR="004C4CA3" w:rsidRPr="001E31CB" w:rsidRDefault="004C4CA3" w:rsidP="004C4CA3">
      <w:pPr>
        <w:jc w:val="both"/>
      </w:pPr>
    </w:p>
    <w:p w14:paraId="692DA410" w14:textId="25F9AD87" w:rsidR="00A51C82" w:rsidRPr="00BB2D36" w:rsidRDefault="00A51C82" w:rsidP="004C4CA3">
      <w:pPr>
        <w:jc w:val="both"/>
        <w:rPr>
          <w:szCs w:val="20"/>
        </w:rPr>
      </w:pPr>
      <w:r w:rsidRPr="00BB2D36">
        <w:rPr>
          <w:szCs w:val="20"/>
        </w:rPr>
        <w:t xml:space="preserve">Le métro du Grand Paris Express entre dans le cadre de la loi n° 2012-1558 du 31 décembre 2012 de programmation des finances publiques pour les années 2012 à 2017 et son décret d’application n° 2013-1211 du 23 décembre 2013. Ainsi, l'évaluation socio-économique </w:t>
      </w:r>
      <w:r w:rsidR="004C4CA3" w:rsidRPr="00BB2D36">
        <w:rPr>
          <w:szCs w:val="20"/>
        </w:rPr>
        <w:t xml:space="preserve">d’un dossier d’enquête publique présenté par la Société du Grand Paris doit-elle faire </w:t>
      </w:r>
      <w:r w:rsidRPr="00BB2D36">
        <w:rPr>
          <w:szCs w:val="20"/>
        </w:rPr>
        <w:t xml:space="preserve">l'objet d'une contre-expertise indépendante </w:t>
      </w:r>
      <w:r w:rsidR="001F5A38" w:rsidRPr="00BB2D36">
        <w:rPr>
          <w:szCs w:val="20"/>
        </w:rPr>
        <w:t xml:space="preserve">réalisée </w:t>
      </w:r>
      <w:r w:rsidRPr="00BB2D36">
        <w:rPr>
          <w:szCs w:val="20"/>
        </w:rPr>
        <w:t>sous l'autorité du Commissaire général à l'investissement, devenu le Secrétariat général pour l’Investissement en 2017, qui « valide et, le cas échéant, actualise les hypothèses du dossier d'évaluation socio-économique, s'assure de la pertinence des méthodes utilisées et évalue les résultats qui en découlent ». Les différents dossiers d’enquête publique de toutes les lignes du Grand Paris Express ont fait l’objet de contre expertises organisées sous l’égide de l’ex CGI, dans le cadre prévu par le décret de décembre 2013</w:t>
      </w:r>
      <w:r w:rsidR="003809EB">
        <w:rPr>
          <w:szCs w:val="20"/>
        </w:rPr>
        <w:t>,</w:t>
      </w:r>
      <w:r w:rsidRPr="00BB2D36">
        <w:rPr>
          <w:szCs w:val="20"/>
        </w:rPr>
        <w:t xml:space="preserve"> à l’exception du premier dossier Pont de Sèvres-Noisy Champs</w:t>
      </w:r>
      <w:r w:rsidR="001F5A38" w:rsidRPr="00BB2D36">
        <w:rPr>
          <w:szCs w:val="20"/>
        </w:rPr>
        <w:t>,</w:t>
      </w:r>
      <w:r w:rsidRPr="00BB2D36">
        <w:rPr>
          <w:szCs w:val="20"/>
        </w:rPr>
        <w:t xml:space="preserve"> </w:t>
      </w:r>
      <w:r w:rsidR="003809EB">
        <w:rPr>
          <w:szCs w:val="20"/>
        </w:rPr>
        <w:t xml:space="preserve">qui avait été </w:t>
      </w:r>
      <w:r w:rsidRPr="00BB2D36">
        <w:rPr>
          <w:szCs w:val="20"/>
        </w:rPr>
        <w:t xml:space="preserve">contre expertisé </w:t>
      </w:r>
      <w:r w:rsidR="001F5A38" w:rsidRPr="00BB2D36">
        <w:rPr>
          <w:szCs w:val="20"/>
        </w:rPr>
        <w:t xml:space="preserve">d’une manière approfondie </w:t>
      </w:r>
      <w:r w:rsidRPr="00BB2D36">
        <w:rPr>
          <w:szCs w:val="20"/>
        </w:rPr>
        <w:t xml:space="preserve">mais avant la publication du décret. Les avis de l’ex CGI </w:t>
      </w:r>
      <w:r w:rsidR="003809EB">
        <w:rPr>
          <w:szCs w:val="20"/>
        </w:rPr>
        <w:t xml:space="preserve">et de l’actuel SGPI </w:t>
      </w:r>
      <w:r w:rsidRPr="00BB2D36">
        <w:rPr>
          <w:szCs w:val="20"/>
        </w:rPr>
        <w:t xml:space="preserve">ont été favorables aux projets concernés, </w:t>
      </w:r>
      <w:r w:rsidR="003809EB">
        <w:rPr>
          <w:szCs w:val="20"/>
        </w:rPr>
        <w:t>sous</w:t>
      </w:r>
      <w:r w:rsidRPr="00BB2D36">
        <w:rPr>
          <w:szCs w:val="20"/>
        </w:rPr>
        <w:t xml:space="preserve"> une réserve </w:t>
      </w:r>
      <w:r w:rsidR="003809EB">
        <w:rPr>
          <w:szCs w:val="20"/>
        </w:rPr>
        <w:t xml:space="preserve">temporaire exprimée en 2015 </w:t>
      </w:r>
      <w:r w:rsidRPr="00BB2D36">
        <w:rPr>
          <w:szCs w:val="20"/>
        </w:rPr>
        <w:t>sur l</w:t>
      </w:r>
      <w:r w:rsidR="00D369CF" w:rsidRPr="00BB2D36">
        <w:rPr>
          <w:szCs w:val="20"/>
        </w:rPr>
        <w:t>a phase de réalisation Orsay</w:t>
      </w:r>
      <w:r w:rsidRPr="00BB2D36">
        <w:rPr>
          <w:szCs w:val="20"/>
        </w:rPr>
        <w:t>-Versailles de la ligne 18</w:t>
      </w:r>
      <w:r w:rsidR="001F5A38" w:rsidRPr="00BB2D36">
        <w:rPr>
          <w:szCs w:val="20"/>
        </w:rPr>
        <w:t xml:space="preserve"> ; </w:t>
      </w:r>
      <w:r w:rsidR="004C4CA3" w:rsidRPr="00BB2D36">
        <w:rPr>
          <w:szCs w:val="20"/>
        </w:rPr>
        <w:t>cette réserve</w:t>
      </w:r>
      <w:r w:rsidR="00BB2D36" w:rsidRPr="00BB2D36">
        <w:rPr>
          <w:szCs w:val="20"/>
        </w:rPr>
        <w:t xml:space="preserve"> avait été formulée à partir d’une appréciation réductrice et fausse</w:t>
      </w:r>
      <w:r w:rsidR="004C4CA3" w:rsidRPr="00BB2D36">
        <w:rPr>
          <w:szCs w:val="20"/>
        </w:rPr>
        <w:t xml:space="preserve"> de la rentabilité de cette phase de réalisation Orsay-Versailles,</w:t>
      </w:r>
      <w:r w:rsidRPr="00BB2D36">
        <w:rPr>
          <w:szCs w:val="20"/>
        </w:rPr>
        <w:t xml:space="preserve"> </w:t>
      </w:r>
      <w:r w:rsidR="00BB2D36" w:rsidRPr="00BB2D36">
        <w:rPr>
          <w:szCs w:val="20"/>
        </w:rPr>
        <w:t xml:space="preserve">et </w:t>
      </w:r>
      <w:r w:rsidRPr="00BB2D36">
        <w:rPr>
          <w:szCs w:val="20"/>
        </w:rPr>
        <w:t xml:space="preserve">n’a pas </w:t>
      </w:r>
      <w:r w:rsidR="00BB2D36" w:rsidRPr="00BB2D36">
        <w:rPr>
          <w:szCs w:val="20"/>
        </w:rPr>
        <w:t xml:space="preserve">donc </w:t>
      </w:r>
      <w:r w:rsidRPr="00BB2D36">
        <w:rPr>
          <w:szCs w:val="20"/>
        </w:rPr>
        <w:t xml:space="preserve">fait obstacle à la déclaration d’utilité publique </w:t>
      </w:r>
      <w:r w:rsidR="00BB2D36" w:rsidRPr="00BB2D36">
        <w:rPr>
          <w:szCs w:val="20"/>
        </w:rPr>
        <w:t xml:space="preserve">de l’ensemble du tronçon Orly-Versailles par le gouvernement ; </w:t>
      </w:r>
      <w:r w:rsidRPr="00BB2D36">
        <w:rPr>
          <w:szCs w:val="20"/>
        </w:rPr>
        <w:t xml:space="preserve">le </w:t>
      </w:r>
      <w:r w:rsidR="00BB2D36" w:rsidRPr="00BB2D36">
        <w:rPr>
          <w:szCs w:val="20"/>
        </w:rPr>
        <w:t xml:space="preserve">  </w:t>
      </w:r>
      <w:r w:rsidRPr="00BB2D36">
        <w:rPr>
          <w:szCs w:val="20"/>
        </w:rPr>
        <w:t xml:space="preserve">Conseil d’Etat a </w:t>
      </w:r>
      <w:r w:rsidR="00BB2D36" w:rsidRPr="00BB2D36">
        <w:rPr>
          <w:szCs w:val="20"/>
        </w:rPr>
        <w:t xml:space="preserve">également </w:t>
      </w:r>
      <w:r w:rsidRPr="00BB2D36">
        <w:rPr>
          <w:szCs w:val="20"/>
        </w:rPr>
        <w:t xml:space="preserve">confirmé au contentieux l’utilité publique du projet. </w:t>
      </w:r>
    </w:p>
    <w:p w14:paraId="129F0F42" w14:textId="278546B0" w:rsidR="00A51C82" w:rsidRPr="0088647D" w:rsidRDefault="00A51C82" w:rsidP="00A13130">
      <w:pPr>
        <w:pStyle w:val="Titre3"/>
      </w:pPr>
      <w:bookmarkStart w:id="18" w:name="_Toc48901481"/>
      <w:bookmarkStart w:id="19" w:name="_Toc48903054"/>
      <w:bookmarkStart w:id="20" w:name="_Toc48903191"/>
      <w:bookmarkStart w:id="21" w:name="_Toc48903647"/>
      <w:bookmarkStart w:id="22" w:name="_Toc48903973"/>
      <w:bookmarkStart w:id="23" w:name="_Toc48904034"/>
      <w:bookmarkStart w:id="24" w:name="_Toc48904119"/>
      <w:bookmarkStart w:id="25" w:name="_Toc48904176"/>
      <w:bookmarkStart w:id="26" w:name="_Toc48907153"/>
      <w:bookmarkStart w:id="27" w:name="_Toc48907521"/>
      <w:bookmarkStart w:id="28" w:name="_Toc46917053"/>
      <w:bookmarkStart w:id="29" w:name="_Toc63352124"/>
      <w:bookmarkEnd w:id="18"/>
      <w:bookmarkEnd w:id="19"/>
      <w:bookmarkEnd w:id="20"/>
      <w:bookmarkEnd w:id="21"/>
      <w:bookmarkEnd w:id="22"/>
      <w:bookmarkEnd w:id="23"/>
      <w:bookmarkEnd w:id="24"/>
      <w:bookmarkEnd w:id="25"/>
      <w:bookmarkEnd w:id="26"/>
      <w:bookmarkEnd w:id="27"/>
      <w:r w:rsidRPr="0088647D">
        <w:t>Les principes de l’évaluation socio-économique</w:t>
      </w:r>
      <w:bookmarkEnd w:id="28"/>
      <w:bookmarkEnd w:id="29"/>
    </w:p>
    <w:p w14:paraId="7B190009" w14:textId="77777777" w:rsidR="004C4CA3" w:rsidRPr="001E31CB" w:rsidRDefault="004C4CA3" w:rsidP="004C4CA3">
      <w:pPr>
        <w:jc w:val="both"/>
      </w:pPr>
    </w:p>
    <w:p w14:paraId="092347CB" w14:textId="078A1B27" w:rsidR="00A51C82" w:rsidRPr="001E31CB" w:rsidRDefault="00A51C82" w:rsidP="004C4CA3">
      <w:pPr>
        <w:jc w:val="both"/>
      </w:pPr>
      <w:r w:rsidRPr="001E31CB">
        <w:t>L'évaluation de la rentabilité socio-économique du projet du Grand Paris Express vise à valoriser en termes monétaires ses différents effets et à déterminer des indicateurs globaux de rentabilité. Elle repose sur une comparaison des coûts et avantages annuels apportés par le projet. Les effets quantifiables (coûts et bénéfices) du projet</w:t>
      </w:r>
      <w:r w:rsidR="00BB2D36">
        <w:t xml:space="preserve"> qui sont</w:t>
      </w:r>
      <w:r w:rsidRPr="001E31CB">
        <w:t xml:space="preserve"> récapitulés dans les différents bilans peuvent être mesurés :</w:t>
      </w:r>
    </w:p>
    <w:p w14:paraId="2985E73A" w14:textId="77777777" w:rsidR="004C4CA3" w:rsidRPr="001E31CB" w:rsidRDefault="004C4CA3" w:rsidP="004C4CA3">
      <w:pPr>
        <w:jc w:val="both"/>
      </w:pPr>
    </w:p>
    <w:p w14:paraId="1104638E" w14:textId="77777777" w:rsidR="00A51C82" w:rsidRPr="001E31CB" w:rsidRDefault="00A51C82" w:rsidP="0083506E">
      <w:pPr>
        <w:numPr>
          <w:ilvl w:val="0"/>
          <w:numId w:val="7"/>
        </w:numPr>
        <w:jc w:val="both"/>
      </w:pPr>
      <w:r w:rsidRPr="001E31CB">
        <w:t>soit directement en termes monétaires, comme les coûts d'investissement ou d'exploitation ;</w:t>
      </w:r>
    </w:p>
    <w:p w14:paraId="706BFD00" w14:textId="7D0E730F" w:rsidR="00A51C82" w:rsidRPr="001E31CB" w:rsidRDefault="00A51C82" w:rsidP="0083506E">
      <w:pPr>
        <w:numPr>
          <w:ilvl w:val="0"/>
          <w:numId w:val="7"/>
        </w:numPr>
        <w:jc w:val="both"/>
      </w:pPr>
      <w:r w:rsidRPr="001E31CB">
        <w:t>soit en termes physiques, et ensuite transformés en termes monétaires par l'application de valeurs unitaires, comme, par exemple, la « valeur du temps »</w:t>
      </w:r>
      <w:r w:rsidR="007D6011" w:rsidRPr="001E31CB">
        <w:t xml:space="preserve"> pour valoriser les gains de </w:t>
      </w:r>
      <w:r w:rsidR="003A44EF" w:rsidRPr="001E31CB">
        <w:t>temps.</w:t>
      </w:r>
    </w:p>
    <w:p w14:paraId="79D5CE99" w14:textId="77777777" w:rsidR="004C4CA3" w:rsidRPr="001E31CB" w:rsidRDefault="004C4CA3" w:rsidP="004C4CA3">
      <w:pPr>
        <w:jc w:val="both"/>
      </w:pPr>
    </w:p>
    <w:p w14:paraId="1A63CF7A" w14:textId="132013A3" w:rsidR="00A51C82" w:rsidRPr="001E31CB" w:rsidRDefault="00A51C82" w:rsidP="004C4CA3">
      <w:pPr>
        <w:jc w:val="both"/>
      </w:pPr>
      <w:r w:rsidRPr="001E31CB">
        <w:t>Les coûts et avantages</w:t>
      </w:r>
      <w:r w:rsidR="001226CE" w:rsidRPr="001E31CB">
        <w:t>, calculés pour chaque année,</w:t>
      </w:r>
      <w:r w:rsidRPr="001E31CB">
        <w:t xml:space="preserve"> s'étal</w:t>
      </w:r>
      <w:r w:rsidR="001E31CB" w:rsidRPr="001E31CB">
        <w:t>e</w:t>
      </w:r>
      <w:r w:rsidRPr="001E31CB">
        <w:t>nt sur une longue durée,</w:t>
      </w:r>
      <w:r w:rsidR="001E31CB" w:rsidRPr="001E31CB">
        <w:t xml:space="preserve"> et</w:t>
      </w:r>
      <w:r w:rsidRPr="001E31CB">
        <w:t xml:space="preserve"> ne peuvent pas être additionnés purement et simplement. Un avantage obtenu dans un avenir proche a une valeur supérieure à un avantage du même montant obtenu dans un avenir plus lointain. Cette mise en rapport de coûts et avantages intervenant à des horizons différents se fait à travers le mécanisme de l'actualisation (voir l'encadré suivant).</w:t>
      </w:r>
    </w:p>
    <w:p w14:paraId="021B3398" w14:textId="77777777" w:rsidR="004C4CA3" w:rsidRPr="001E31CB" w:rsidRDefault="004C4CA3" w:rsidP="004C4CA3">
      <w:pPr>
        <w:jc w:val="both"/>
      </w:pPr>
    </w:p>
    <w:p w14:paraId="68971181" w14:textId="7682E2B7" w:rsidR="00A51C82" w:rsidRDefault="00A51C82" w:rsidP="004C4CA3">
      <w:pPr>
        <w:jc w:val="both"/>
      </w:pPr>
      <w:r w:rsidRPr="001E31CB">
        <w:t>Le principe des bilans consistant à mesurer l’opportunité de réalisation du projet s’appuie donc sur la comparaison des conséquences financières ou</w:t>
      </w:r>
      <w:r w:rsidR="004A336F" w:rsidRPr="001E31CB">
        <w:t xml:space="preserve"> monétarisées entre deux option</w:t>
      </w:r>
      <w:r w:rsidRPr="001E31CB">
        <w:t>s :</w:t>
      </w:r>
    </w:p>
    <w:p w14:paraId="16407C0C" w14:textId="77777777" w:rsidR="003809EB" w:rsidRPr="001E31CB" w:rsidRDefault="003809EB" w:rsidP="004C4CA3">
      <w:pPr>
        <w:jc w:val="both"/>
      </w:pPr>
    </w:p>
    <w:p w14:paraId="0687600E" w14:textId="77777777" w:rsidR="00A51C82" w:rsidRPr="003809EB" w:rsidRDefault="00A51C82" w:rsidP="0083506E">
      <w:pPr>
        <w:numPr>
          <w:ilvl w:val="0"/>
          <w:numId w:val="7"/>
        </w:numPr>
        <w:jc w:val="both"/>
        <w:rPr>
          <w:b/>
          <w:bCs/>
        </w:rPr>
      </w:pPr>
      <w:r w:rsidRPr="003809EB">
        <w:rPr>
          <w:b/>
          <w:bCs/>
        </w:rPr>
        <w:t>l’option de référence où le projet ne serait pas réalisé ;</w:t>
      </w:r>
    </w:p>
    <w:p w14:paraId="127CA991" w14:textId="77777777" w:rsidR="00A51C82" w:rsidRPr="003809EB" w:rsidRDefault="00A51C82" w:rsidP="0083506E">
      <w:pPr>
        <w:numPr>
          <w:ilvl w:val="0"/>
          <w:numId w:val="7"/>
        </w:numPr>
        <w:jc w:val="both"/>
        <w:rPr>
          <w:b/>
          <w:bCs/>
        </w:rPr>
      </w:pPr>
      <w:r w:rsidRPr="003809EB">
        <w:rPr>
          <w:b/>
          <w:bCs/>
        </w:rPr>
        <w:t>l’option de projet intégrant la mise en service du projet.</w:t>
      </w:r>
    </w:p>
    <w:p w14:paraId="5381E728" w14:textId="77777777" w:rsidR="004C4CA3" w:rsidRPr="001E31CB" w:rsidRDefault="004C4CA3" w:rsidP="004C4CA3">
      <w:pPr>
        <w:jc w:val="both"/>
      </w:pPr>
    </w:p>
    <w:p w14:paraId="398DCE4F" w14:textId="14CAD220" w:rsidR="00A51C82" w:rsidRPr="003809EB" w:rsidRDefault="00A51C82" w:rsidP="004C4CA3">
      <w:pPr>
        <w:jc w:val="both"/>
        <w:rPr>
          <w:b/>
          <w:bCs/>
        </w:rPr>
      </w:pPr>
      <w:r w:rsidRPr="003809EB">
        <w:rPr>
          <w:b/>
          <w:bCs/>
        </w:rPr>
        <w:t xml:space="preserve">Les bilans </w:t>
      </w:r>
      <w:r w:rsidR="003809EB" w:rsidRPr="003809EB">
        <w:rPr>
          <w:b/>
          <w:bCs/>
        </w:rPr>
        <w:t>re</w:t>
      </w:r>
      <w:r w:rsidRPr="003809EB">
        <w:rPr>
          <w:b/>
          <w:bCs/>
        </w:rPr>
        <w:t xml:space="preserve">présentent donc </w:t>
      </w:r>
      <w:r w:rsidR="003809EB" w:rsidRPr="003809EB">
        <w:rPr>
          <w:b/>
          <w:bCs/>
        </w:rPr>
        <w:t>la</w:t>
      </w:r>
      <w:r w:rsidRPr="003809EB">
        <w:rPr>
          <w:b/>
          <w:bCs/>
        </w:rPr>
        <w:t xml:space="preserve"> différen</w:t>
      </w:r>
      <w:r w:rsidR="003809EB" w:rsidRPr="003809EB">
        <w:rPr>
          <w:b/>
          <w:bCs/>
        </w:rPr>
        <w:t xml:space="preserve">ce </w:t>
      </w:r>
      <w:r w:rsidRPr="003809EB">
        <w:rPr>
          <w:b/>
          <w:bCs/>
        </w:rPr>
        <w:t xml:space="preserve">entre les avantages nets en option de projet et en </w:t>
      </w:r>
      <w:r w:rsidR="003809EB" w:rsidRPr="003809EB">
        <w:rPr>
          <w:b/>
          <w:bCs/>
        </w:rPr>
        <w:t xml:space="preserve">option de </w:t>
      </w:r>
      <w:r w:rsidRPr="003809EB">
        <w:rPr>
          <w:b/>
          <w:bCs/>
        </w:rPr>
        <w:t>référence.</w:t>
      </w:r>
    </w:p>
    <w:p w14:paraId="1030924E" w14:textId="77777777" w:rsidR="004C4CA3" w:rsidRPr="001E31CB" w:rsidRDefault="004C4CA3" w:rsidP="004C4CA3">
      <w:pPr>
        <w:jc w:val="both"/>
      </w:pPr>
    </w:p>
    <w:p w14:paraId="32697980" w14:textId="77777777" w:rsidR="00A51C82" w:rsidRPr="001E31CB" w:rsidRDefault="00A51C82" w:rsidP="004C4CA3">
      <w:pPr>
        <w:jc w:val="both"/>
      </w:pPr>
      <w:r w:rsidRPr="001E31CB">
        <w:t xml:space="preserve">La série des bénéfices nets </w:t>
      </w:r>
      <w:r w:rsidR="001F5A38" w:rsidRPr="001E31CB">
        <w:t xml:space="preserve">annuels </w:t>
      </w:r>
      <w:r w:rsidRPr="001E31CB">
        <w:t>(avantages - coûts) est elle-même résumée par des indicateurs globaux de rentabilité dont les plus fréquemment utilisés sont :</w:t>
      </w:r>
    </w:p>
    <w:p w14:paraId="13670210" w14:textId="77777777" w:rsidR="004C4CA3" w:rsidRPr="001E31CB" w:rsidRDefault="004C4CA3" w:rsidP="004C4CA3">
      <w:pPr>
        <w:jc w:val="both"/>
      </w:pPr>
    </w:p>
    <w:p w14:paraId="71C6DC21" w14:textId="3A63A6F0" w:rsidR="00A51C82" w:rsidRPr="001E31CB" w:rsidRDefault="00A51C82" w:rsidP="0083506E">
      <w:pPr>
        <w:numPr>
          <w:ilvl w:val="0"/>
          <w:numId w:val="7"/>
        </w:numPr>
        <w:jc w:val="both"/>
      </w:pPr>
      <w:r w:rsidRPr="001E31CB">
        <w:t xml:space="preserve">la </w:t>
      </w:r>
      <w:r w:rsidRPr="001E31CB">
        <w:rPr>
          <w:b/>
        </w:rPr>
        <w:t>valeur actualisée nette socio-économique du projet (VAN)</w:t>
      </w:r>
      <w:r w:rsidRPr="001E31CB">
        <w:t>, qui est la somme des bénéfices nets annuels (</w:t>
      </w:r>
      <w:r w:rsidR="00015436" w:rsidRPr="001E31CB">
        <w:t xml:space="preserve">bénéfices </w:t>
      </w:r>
      <w:r w:rsidRPr="001E31CB">
        <w:t>- coûts) actualisés à une année donnée, avec différents taux d'actualisation proposés par l’instruction de juin 2014. Les bénéfices et coûts sont calculés</w:t>
      </w:r>
      <w:r w:rsidR="00015436" w:rsidRPr="001E31CB">
        <w:t xml:space="preserve"> chaque </w:t>
      </w:r>
      <w:r w:rsidR="003A44EF" w:rsidRPr="001E31CB">
        <w:t>année jusqu’en</w:t>
      </w:r>
      <w:r w:rsidRPr="001E31CB">
        <w:t xml:space="preserve"> 2070 et la valeur résiduelle de l’infrastructure en 2070 est estimée sur la période 2070-2140. Si, pour chaque année n, B et C sont les bénéfices et les coûts, et si la VA annuelle est B-C, la VAN globale est la somme des VA (soit B-C) annuelles actualisées</w:t>
      </w:r>
      <w:r w:rsidR="001F5A38" w:rsidRPr="001E31CB">
        <w:t xml:space="preserve"> avec le taux d’actualisation </w:t>
      </w:r>
      <w:r w:rsidR="001F5A38" w:rsidRPr="001E31CB">
        <w:rPr>
          <w:i/>
        </w:rPr>
        <w:t>a</w:t>
      </w:r>
      <w:r w:rsidRPr="001E31CB">
        <w:t> :</w:t>
      </w:r>
    </w:p>
    <w:p w14:paraId="74F7C04B" w14:textId="77777777" w:rsidR="001F5A38" w:rsidRPr="001E31CB" w:rsidRDefault="001F5A38" w:rsidP="001F5A38">
      <w:pPr>
        <w:ind w:left="720"/>
        <w:jc w:val="both"/>
      </w:pPr>
    </w:p>
    <w:p w14:paraId="5F98E312" w14:textId="77777777" w:rsidR="001F5A38" w:rsidRPr="001E31CB" w:rsidRDefault="00A51C82" w:rsidP="004C4CA3">
      <w:pPr>
        <w:ind w:left="2835"/>
        <w:jc w:val="both"/>
        <w:rPr>
          <w:sz w:val="22"/>
          <w:szCs w:val="22"/>
        </w:rPr>
      </w:pPr>
      <w:r w:rsidRPr="001E31CB">
        <w:rPr>
          <w:b/>
          <w:i/>
          <w:sz w:val="24"/>
        </w:rPr>
        <w:t xml:space="preserve">            </w:t>
      </w:r>
      <w:r w:rsidRPr="001E31CB">
        <w:rPr>
          <w:b/>
          <w:i/>
          <w:noProof/>
          <w:sz w:val="24"/>
          <w:lang w:eastAsia="fr-FR"/>
        </w:rPr>
        <w:drawing>
          <wp:inline distT="0" distB="0" distL="0" distR="0" wp14:anchorId="75A69A76" wp14:editId="6CF9690A">
            <wp:extent cx="978195" cy="467832"/>
            <wp:effectExtent l="0" t="0" r="0" b="889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78195" cy="467832"/>
                    </a:xfrm>
                    <a:prstGeom prst="rect">
                      <a:avLst/>
                    </a:prstGeom>
                    <a:noFill/>
                    <a:ln>
                      <a:noFill/>
                    </a:ln>
                  </pic:spPr>
                </pic:pic>
              </a:graphicData>
            </a:graphic>
          </wp:inline>
        </w:drawing>
      </w:r>
      <w:r w:rsidRPr="001E31CB">
        <w:rPr>
          <w:sz w:val="22"/>
          <w:szCs w:val="22"/>
        </w:rPr>
        <w:t xml:space="preserve">     </w:t>
      </w:r>
    </w:p>
    <w:p w14:paraId="0F0FB987" w14:textId="4BB939CB" w:rsidR="00A51C82" w:rsidRPr="001E31CB" w:rsidRDefault="00A51C82" w:rsidP="004C4CA3">
      <w:pPr>
        <w:ind w:left="2835"/>
        <w:jc w:val="both"/>
        <w:rPr>
          <w:b/>
          <w:i/>
          <w:sz w:val="24"/>
        </w:rPr>
      </w:pPr>
      <w:r w:rsidRPr="001E31CB">
        <w:rPr>
          <w:sz w:val="22"/>
          <w:szCs w:val="22"/>
        </w:rPr>
        <w:t xml:space="preserve">                         </w:t>
      </w:r>
    </w:p>
    <w:p w14:paraId="694D295C" w14:textId="77777777" w:rsidR="00A51C82" w:rsidRPr="001E31CB" w:rsidRDefault="00A51C82" w:rsidP="0083506E">
      <w:pPr>
        <w:numPr>
          <w:ilvl w:val="0"/>
          <w:numId w:val="7"/>
        </w:numPr>
        <w:jc w:val="both"/>
      </w:pPr>
      <w:r w:rsidRPr="001E31CB">
        <w:rPr>
          <w:b/>
          <w:bCs/>
        </w:rPr>
        <w:t>la</w:t>
      </w:r>
      <w:r w:rsidRPr="001E31CB">
        <w:t xml:space="preserve"> </w:t>
      </w:r>
      <w:r w:rsidRPr="001E31CB">
        <w:rPr>
          <w:b/>
        </w:rPr>
        <w:t>valeur actualisée nette du projet par euro investi</w:t>
      </w:r>
      <w:r w:rsidRPr="001E31CB">
        <w:t>,</w:t>
      </w:r>
    </w:p>
    <w:p w14:paraId="294DE4C6" w14:textId="26C748C1" w:rsidR="004C4CA3" w:rsidRDefault="00A51C82" w:rsidP="0083506E">
      <w:pPr>
        <w:numPr>
          <w:ilvl w:val="0"/>
          <w:numId w:val="7"/>
        </w:numPr>
        <w:jc w:val="both"/>
      </w:pPr>
      <w:r w:rsidRPr="00785762">
        <w:rPr>
          <w:b/>
          <w:bCs/>
        </w:rPr>
        <w:t>le taux de rentabilité interne économique et social (TRI</w:t>
      </w:r>
      <w:r w:rsidRPr="001E31CB">
        <w:t xml:space="preserve">), qui est le taux d'actualisation pour lequel la somme actualisée des bénéfices et des coûts annuels du projet ainsi calculée est égale à zéro. </w:t>
      </w:r>
    </w:p>
    <w:p w14:paraId="2C4E4504" w14:textId="76A10DC1" w:rsidR="00A51C82" w:rsidRDefault="00A51C82" w:rsidP="004C4CA3">
      <w:pPr>
        <w:jc w:val="both"/>
      </w:pPr>
      <w:r w:rsidRPr="00A51C82">
        <w:t xml:space="preserve">Ces différents indicateurs sont également calculés en prenant en compte le coût d’opportunité de l’argent public investi ainsi que le prix fictif attaché à la rareté des ressources budgétaires </w:t>
      </w:r>
      <w:r w:rsidR="001C132F">
        <w:t xml:space="preserve">(voir plus </w:t>
      </w:r>
      <w:r w:rsidR="001C132F">
        <w:lastRenderedPageBreak/>
        <w:t xml:space="preserve">loin </w:t>
      </w:r>
      <w:r w:rsidR="00211292">
        <w:t>chapitre 3 section 5.4</w:t>
      </w:r>
      <w:r w:rsidR="003A44EF">
        <w:t>)</w:t>
      </w:r>
      <w:r w:rsidR="003A44EF" w:rsidRPr="00A51C82">
        <w:t xml:space="preserve"> :</w:t>
      </w:r>
      <w:r w:rsidRPr="00A51C82">
        <w:t xml:space="preserve"> le calcul est effectué en majorant de 25% la part de l’investissement réalisée avec des fonds publics.</w:t>
      </w:r>
    </w:p>
    <w:p w14:paraId="3AC00B5A" w14:textId="77777777" w:rsidR="00AA00DB" w:rsidRDefault="00AA00DB" w:rsidP="004C4CA3">
      <w:pPr>
        <w:jc w:val="both"/>
      </w:pPr>
    </w:p>
    <w:p w14:paraId="7869E5D5" w14:textId="3BFB3489" w:rsidR="00A51C82" w:rsidRPr="00BB2D36" w:rsidRDefault="00A51C82" w:rsidP="004C4CA3">
      <w:pPr>
        <w:jc w:val="both"/>
        <w:rPr>
          <w:b/>
          <w:bCs/>
        </w:rPr>
      </w:pPr>
      <w:r w:rsidRPr="00BB2D36">
        <w:rPr>
          <w:b/>
          <w:bCs/>
        </w:rPr>
        <w:t xml:space="preserve">Les résultats de cette étude sont exprimés en euros </w:t>
      </w:r>
      <w:r w:rsidR="0075636A" w:rsidRPr="00BB2D36">
        <w:rPr>
          <w:b/>
          <w:bCs/>
        </w:rPr>
        <w:t xml:space="preserve">2015 </w:t>
      </w:r>
      <w:r w:rsidRPr="00BB2D36">
        <w:rPr>
          <w:b/>
          <w:bCs/>
        </w:rPr>
        <w:t xml:space="preserve">actualisés à l’année 2010, pour rester homogènes avec les évaluations déjà présentées </w:t>
      </w:r>
      <w:r w:rsidR="00785762" w:rsidRPr="00BB2D36">
        <w:rPr>
          <w:b/>
          <w:bCs/>
        </w:rPr>
        <w:t>pour tous les tronçons du Grand Paris Express. Il convient de signaler que si l’on avait chois</w:t>
      </w:r>
      <w:r w:rsidR="001403C2" w:rsidRPr="00BB2D36">
        <w:rPr>
          <w:b/>
          <w:bCs/>
        </w:rPr>
        <w:t>i</w:t>
      </w:r>
      <w:r w:rsidR="00785762" w:rsidRPr="00BB2D36">
        <w:rPr>
          <w:b/>
          <w:bCs/>
        </w:rPr>
        <w:t xml:space="preserve"> d’actualiser les </w:t>
      </w:r>
      <w:r w:rsidR="001403C2" w:rsidRPr="00BB2D36">
        <w:rPr>
          <w:b/>
          <w:bCs/>
        </w:rPr>
        <w:t xml:space="preserve">avantages et les coûts à l’année 2015, ceux-ci auraient été </w:t>
      </w:r>
      <w:r w:rsidR="00BB2D36" w:rsidRPr="00BB2D36">
        <w:rPr>
          <w:b/>
          <w:bCs/>
        </w:rPr>
        <w:t xml:space="preserve">tous </w:t>
      </w:r>
      <w:r w:rsidR="001403C2" w:rsidRPr="00BB2D36">
        <w:rPr>
          <w:b/>
          <w:bCs/>
        </w:rPr>
        <w:t xml:space="preserve">augmentés de 25% environ. </w:t>
      </w:r>
    </w:p>
    <w:p w14:paraId="16A47B97" w14:textId="77777777" w:rsidR="001403C2" w:rsidRDefault="001403C2" w:rsidP="004C4CA3">
      <w:pPr>
        <w:jc w:val="both"/>
      </w:pPr>
    </w:p>
    <w:p w14:paraId="11A31C49" w14:textId="77777777" w:rsidR="004C4CA3" w:rsidRPr="00A51C82" w:rsidRDefault="004C4CA3" w:rsidP="004C4CA3">
      <w:pPr>
        <w:jc w:val="both"/>
      </w:pPr>
    </w:p>
    <w:p w14:paraId="3980D265" w14:textId="77777777" w:rsidR="001C132F" w:rsidRDefault="001C132F" w:rsidP="001C132F">
      <w:pPr>
        <w:pBdr>
          <w:top w:val="single" w:sz="8" w:space="1" w:color="931638"/>
          <w:left w:val="single" w:sz="8" w:space="4" w:color="931638"/>
          <w:bottom w:val="single" w:sz="8" w:space="16" w:color="931638"/>
          <w:right w:val="single" w:sz="8" w:space="4" w:color="931638"/>
        </w:pBdr>
        <w:shd w:val="clear" w:color="auto" w:fill="E6D8C3"/>
        <w:ind w:left="284"/>
        <w:jc w:val="both"/>
        <w:rPr>
          <w:b/>
          <w:i/>
          <w:szCs w:val="20"/>
        </w:rPr>
      </w:pPr>
    </w:p>
    <w:p w14:paraId="1E14372C" w14:textId="337DCD5B" w:rsidR="00A51C82" w:rsidRDefault="00A51C82" w:rsidP="001C132F">
      <w:pPr>
        <w:pBdr>
          <w:top w:val="single" w:sz="8" w:space="1" w:color="931638"/>
          <w:left w:val="single" w:sz="8" w:space="4" w:color="931638"/>
          <w:bottom w:val="single" w:sz="8" w:space="16" w:color="931638"/>
          <w:right w:val="single" w:sz="8" w:space="4" w:color="931638"/>
        </w:pBdr>
        <w:shd w:val="clear" w:color="auto" w:fill="E6D8C3"/>
        <w:ind w:left="284"/>
        <w:jc w:val="both"/>
        <w:rPr>
          <w:b/>
          <w:i/>
          <w:szCs w:val="20"/>
        </w:rPr>
      </w:pPr>
      <w:r w:rsidRPr="00A51C82">
        <w:rPr>
          <w:b/>
          <w:i/>
          <w:szCs w:val="20"/>
        </w:rPr>
        <w:t>Principe de l’actualisation :</w:t>
      </w:r>
    </w:p>
    <w:p w14:paraId="7C3BFDD6" w14:textId="77777777" w:rsidR="003809EB" w:rsidRPr="00A51C82" w:rsidRDefault="003809EB" w:rsidP="001C132F">
      <w:pPr>
        <w:pBdr>
          <w:top w:val="single" w:sz="8" w:space="1" w:color="931638"/>
          <w:left w:val="single" w:sz="8" w:space="4" w:color="931638"/>
          <w:bottom w:val="single" w:sz="8" w:space="16" w:color="931638"/>
          <w:right w:val="single" w:sz="8" w:space="4" w:color="931638"/>
        </w:pBdr>
        <w:shd w:val="clear" w:color="auto" w:fill="E6D8C3"/>
        <w:ind w:left="284"/>
        <w:jc w:val="both"/>
        <w:rPr>
          <w:b/>
          <w:i/>
          <w:szCs w:val="20"/>
        </w:rPr>
      </w:pPr>
    </w:p>
    <w:p w14:paraId="08955B98" w14:textId="0921ACEA" w:rsidR="00A51C82" w:rsidRPr="00A51C82" w:rsidRDefault="00A51C82" w:rsidP="001C132F">
      <w:pPr>
        <w:pBdr>
          <w:top w:val="single" w:sz="8" w:space="1" w:color="931638"/>
          <w:left w:val="single" w:sz="8" w:space="4" w:color="931638"/>
          <w:bottom w:val="single" w:sz="8" w:space="16" w:color="931638"/>
          <w:right w:val="single" w:sz="8" w:space="4" w:color="931638"/>
        </w:pBdr>
        <w:shd w:val="clear" w:color="auto" w:fill="E6D8C3"/>
        <w:ind w:left="284"/>
        <w:jc w:val="both"/>
        <w:rPr>
          <w:szCs w:val="20"/>
        </w:rPr>
      </w:pPr>
      <w:r w:rsidRPr="00A51C82">
        <w:rPr>
          <w:szCs w:val="20"/>
        </w:rPr>
        <w:t xml:space="preserve">Les coûts et </w:t>
      </w:r>
      <w:r w:rsidRPr="001403C2">
        <w:rPr>
          <w:szCs w:val="20"/>
        </w:rPr>
        <w:t xml:space="preserve">avantages </w:t>
      </w:r>
      <w:r w:rsidR="00454018" w:rsidRPr="001403C2">
        <w:rPr>
          <w:szCs w:val="20"/>
        </w:rPr>
        <w:t xml:space="preserve">actualisés à l’année initiale (0) </w:t>
      </w:r>
      <w:r w:rsidRPr="001403C2">
        <w:rPr>
          <w:szCs w:val="20"/>
        </w:rPr>
        <w:t xml:space="preserve">ne </w:t>
      </w:r>
      <w:r w:rsidRPr="00A51C82">
        <w:rPr>
          <w:szCs w:val="20"/>
        </w:rPr>
        <w:t xml:space="preserve">sont pas valorisés de la même façon selon qu'ils interviennent à une date plus ou moins éloignée de la mise en service de l’investissement. Le principe d'actualisation consiste à admettre qu'un avantage d'un euro survenant l'année n équivaut à un avantage de (1+a) euro survenant l'année n+1. Le terme a est le taux d'actualisation, alors que l'expression (1+a), supérieure à 1, est le coefficient d'actualisation. </w:t>
      </w:r>
    </w:p>
    <w:p w14:paraId="64E78A11" w14:textId="77777777" w:rsidR="00A51C82" w:rsidRPr="00A51C82" w:rsidRDefault="00A51C82" w:rsidP="001C132F">
      <w:pPr>
        <w:pBdr>
          <w:top w:val="single" w:sz="8" w:space="1" w:color="931638"/>
          <w:left w:val="single" w:sz="8" w:space="4" w:color="931638"/>
          <w:bottom w:val="single" w:sz="8" w:space="16" w:color="931638"/>
          <w:right w:val="single" w:sz="8" w:space="4" w:color="931638"/>
        </w:pBdr>
        <w:shd w:val="clear" w:color="auto" w:fill="E6D8C3"/>
        <w:ind w:left="284"/>
        <w:jc w:val="both"/>
        <w:rPr>
          <w:szCs w:val="20"/>
        </w:rPr>
      </w:pPr>
      <w:r w:rsidRPr="00A51C82">
        <w:rPr>
          <w:szCs w:val="20"/>
        </w:rPr>
        <w:t xml:space="preserve">La valeur actualisée à l'année 0 d'un avantage net </w:t>
      </w:r>
      <w:r w:rsidRPr="00A51C82">
        <w:rPr>
          <w:position w:val="-10"/>
        </w:rPr>
        <w:object w:dxaOrig="279" w:dyaOrig="340" w14:anchorId="49D8140A">
          <v:shape id="_x0000_i1026" type="#_x0000_t75" style="width:14.25pt;height:21.75pt" o:ole="">
            <v:imagedata r:id="rId26" o:title=""/>
          </v:shape>
          <o:OLEObject Type="Embed" ProgID="Equation.3" ShapeID="_x0000_i1026" DrawAspect="Content" ObjectID="_1681290236" r:id="rId27"/>
        </w:object>
      </w:r>
      <w:r w:rsidRPr="00A51C82">
        <w:rPr>
          <w:szCs w:val="20"/>
        </w:rPr>
        <w:t xml:space="preserve"> obtenu l'année 1 est ainsi :</w:t>
      </w:r>
    </w:p>
    <w:p w14:paraId="21A8A2B1" w14:textId="77777777" w:rsidR="00A51C82" w:rsidRPr="00A51C82" w:rsidRDefault="00A51C82" w:rsidP="001C132F">
      <w:pPr>
        <w:pBdr>
          <w:top w:val="single" w:sz="8" w:space="1" w:color="931638"/>
          <w:left w:val="single" w:sz="8" w:space="4" w:color="931638"/>
          <w:bottom w:val="single" w:sz="8" w:space="16" w:color="931638"/>
          <w:right w:val="single" w:sz="8" w:space="4" w:color="931638"/>
        </w:pBdr>
        <w:shd w:val="clear" w:color="auto" w:fill="E6D8C3"/>
        <w:ind w:left="284"/>
        <w:jc w:val="both"/>
        <w:rPr>
          <w:szCs w:val="20"/>
        </w:rPr>
      </w:pPr>
      <w:r w:rsidRPr="00A51C82">
        <w:rPr>
          <w:szCs w:val="20"/>
        </w:rPr>
        <w:tab/>
      </w:r>
      <w:r w:rsidRPr="00A51C82">
        <w:rPr>
          <w:szCs w:val="20"/>
        </w:rPr>
        <w:tab/>
      </w:r>
      <w:r w:rsidRPr="00A51C82">
        <w:rPr>
          <w:szCs w:val="20"/>
        </w:rPr>
        <w:tab/>
      </w:r>
      <w:r w:rsidRPr="00A51C82">
        <w:rPr>
          <w:szCs w:val="20"/>
        </w:rPr>
        <w:tab/>
      </w:r>
      <w:r w:rsidRPr="00A51C82">
        <w:rPr>
          <w:szCs w:val="20"/>
        </w:rPr>
        <w:tab/>
      </w:r>
      <w:r w:rsidRPr="00A51C82">
        <w:rPr>
          <w:b/>
          <w:position w:val="-24"/>
          <w:szCs w:val="20"/>
        </w:rPr>
        <w:object w:dxaOrig="1040" w:dyaOrig="639" w14:anchorId="0185A87E">
          <v:shape id="_x0000_i1027" type="#_x0000_t75" style="width:50.25pt;height:28.5pt" o:ole="">
            <v:imagedata r:id="rId28" o:title=""/>
          </v:shape>
          <o:OLEObject Type="Embed" ProgID="Equation.3" ShapeID="_x0000_i1027" DrawAspect="Content" ObjectID="_1681290237" r:id="rId29"/>
        </w:object>
      </w:r>
    </w:p>
    <w:p w14:paraId="5D762515" w14:textId="2F7DB7E2" w:rsidR="00A51C82" w:rsidRPr="00A51C82" w:rsidRDefault="00A51C82" w:rsidP="001C132F">
      <w:pPr>
        <w:pBdr>
          <w:top w:val="single" w:sz="8" w:space="1" w:color="931638"/>
          <w:left w:val="single" w:sz="8" w:space="4" w:color="931638"/>
          <w:bottom w:val="single" w:sz="8" w:space="16" w:color="931638"/>
          <w:right w:val="single" w:sz="8" w:space="4" w:color="931638"/>
        </w:pBdr>
        <w:shd w:val="clear" w:color="auto" w:fill="E6D8C3"/>
        <w:ind w:left="284"/>
        <w:jc w:val="both"/>
        <w:rPr>
          <w:szCs w:val="20"/>
        </w:rPr>
      </w:pPr>
      <w:r w:rsidRPr="00A51C82">
        <w:rPr>
          <w:szCs w:val="20"/>
        </w:rPr>
        <w:t xml:space="preserve">et la valeur actualisée d'un avantage net de montant </w:t>
      </w:r>
      <w:r w:rsidRPr="00A51C82">
        <w:rPr>
          <w:position w:val="-12"/>
        </w:rPr>
        <w:object w:dxaOrig="300" w:dyaOrig="360" w14:anchorId="7F9D899D">
          <v:shape id="_x0000_i1028" type="#_x0000_t75" style="width:14.25pt;height:21.75pt" o:ole="">
            <v:imagedata r:id="rId30" o:title=""/>
          </v:shape>
          <o:OLEObject Type="Embed" ProgID="Equation.3" ShapeID="_x0000_i1028" DrawAspect="Content" ObjectID="_1681290238" r:id="rId31"/>
        </w:object>
      </w:r>
      <w:r w:rsidRPr="00A51C82">
        <w:rPr>
          <w:szCs w:val="20"/>
        </w:rPr>
        <w:t xml:space="preserve"> obtenu l'année n est :</w:t>
      </w:r>
    </w:p>
    <w:p w14:paraId="18798D18" w14:textId="77777777" w:rsidR="00A51C82" w:rsidRPr="00A51C82" w:rsidRDefault="00A51C82" w:rsidP="001C132F">
      <w:pPr>
        <w:pBdr>
          <w:top w:val="single" w:sz="8" w:space="1" w:color="931638"/>
          <w:left w:val="single" w:sz="8" w:space="4" w:color="931638"/>
          <w:bottom w:val="single" w:sz="8" w:space="16" w:color="931638"/>
          <w:right w:val="single" w:sz="8" w:space="4" w:color="931638"/>
        </w:pBdr>
        <w:shd w:val="clear" w:color="auto" w:fill="E6D8C3"/>
        <w:ind w:left="284"/>
        <w:jc w:val="both"/>
        <w:rPr>
          <w:szCs w:val="20"/>
        </w:rPr>
      </w:pPr>
      <w:r w:rsidRPr="00A51C82">
        <w:rPr>
          <w:szCs w:val="20"/>
        </w:rPr>
        <w:tab/>
      </w:r>
      <w:r w:rsidRPr="00A51C82">
        <w:rPr>
          <w:szCs w:val="20"/>
        </w:rPr>
        <w:tab/>
      </w:r>
      <w:r w:rsidRPr="00A51C82">
        <w:rPr>
          <w:szCs w:val="20"/>
        </w:rPr>
        <w:tab/>
      </w:r>
      <w:r w:rsidRPr="00A51C82">
        <w:rPr>
          <w:szCs w:val="20"/>
        </w:rPr>
        <w:tab/>
      </w:r>
      <w:r w:rsidRPr="00A51C82">
        <w:rPr>
          <w:szCs w:val="20"/>
        </w:rPr>
        <w:tab/>
      </w:r>
      <w:r w:rsidRPr="00A51C82">
        <w:rPr>
          <w:position w:val="-30"/>
          <w:szCs w:val="20"/>
        </w:rPr>
        <w:object w:dxaOrig="1340" w:dyaOrig="700" w14:anchorId="59B553CE">
          <v:shape id="_x0000_i1029" type="#_x0000_t75" style="width:1in;height:36pt" o:ole="">
            <v:imagedata r:id="rId32" o:title=""/>
          </v:shape>
          <o:OLEObject Type="Embed" ProgID="Equation.3" ShapeID="_x0000_i1029" DrawAspect="Content" ObjectID="_1681290239" r:id="rId33"/>
        </w:object>
      </w:r>
    </w:p>
    <w:p w14:paraId="0A268BDE" w14:textId="77777777" w:rsidR="00A51C82" w:rsidRPr="00A51C82" w:rsidRDefault="00A51C82" w:rsidP="004C4CA3">
      <w:pPr>
        <w:jc w:val="both"/>
      </w:pPr>
    </w:p>
    <w:p w14:paraId="6F31DB66" w14:textId="77777777" w:rsidR="001C132F" w:rsidRPr="00A51C82" w:rsidRDefault="001C132F" w:rsidP="004C4CA3">
      <w:pPr>
        <w:jc w:val="both"/>
      </w:pPr>
    </w:p>
    <w:p w14:paraId="66BAC79F" w14:textId="77777777" w:rsidR="00A51C82" w:rsidRDefault="00A51C82" w:rsidP="004C4CA3">
      <w:pPr>
        <w:jc w:val="both"/>
      </w:pPr>
      <w:r w:rsidRPr="00A51C82">
        <w:t xml:space="preserve">Les indicateurs à calculer sont : </w:t>
      </w:r>
    </w:p>
    <w:p w14:paraId="26890A70" w14:textId="77777777" w:rsidR="004C4CA3" w:rsidRPr="00A51C82" w:rsidRDefault="004C4CA3" w:rsidP="004C4CA3">
      <w:pPr>
        <w:jc w:val="both"/>
      </w:pPr>
    </w:p>
    <w:p w14:paraId="72621ED6" w14:textId="77777777" w:rsidR="00A51C82" w:rsidRPr="00A51C82" w:rsidRDefault="00A51C82" w:rsidP="0083506E">
      <w:pPr>
        <w:numPr>
          <w:ilvl w:val="0"/>
          <w:numId w:val="8"/>
        </w:numPr>
        <w:jc w:val="both"/>
      </w:pPr>
      <w:r w:rsidRPr="00A51C82">
        <w:t xml:space="preserve">La </w:t>
      </w:r>
      <w:r w:rsidRPr="00A51C82">
        <w:rPr>
          <w:b/>
        </w:rPr>
        <w:t>valeur actualisée nette socio-économique (VAN) ou bénéfice actualisé pour la collectivité</w:t>
      </w:r>
      <w:r w:rsidRPr="00A51C82">
        <w:t xml:space="preserve">, qui est fonction du taux d’actualisation. On conçoit bien l’importance du choix du taux d’actualisation, dans un domaine où il est nécessaire de se projeter à long terme. Il convient également de souligner l’importance de la prise en compte du risque, jusqu’ici peu analysé par l’évaluation publique. Le taux d’actualisation est, depuis le rapport « Gollier » sur la prise en compte des risques dans les projets d’infrastructure, un taux sans risque, ce qui implique que le risque systémique soit convenablement intégré par ailleurs : c’est désormais le cas avec l’instruction de juin 2014, comme on le verra plus bas. </w:t>
      </w:r>
    </w:p>
    <w:p w14:paraId="238885BD" w14:textId="77777777" w:rsidR="002F1D71" w:rsidRDefault="00A51C82" w:rsidP="002F1D71">
      <w:pPr>
        <w:ind w:left="709"/>
        <w:jc w:val="both"/>
      </w:pPr>
      <w:r w:rsidRPr="00A51C82">
        <w:t>Dans la présente étude, la VAN est calculée pour une période d’actualis</w:t>
      </w:r>
      <w:r w:rsidR="002F1D71">
        <w:t>ation prévue par la circulaire.</w:t>
      </w:r>
    </w:p>
    <w:p w14:paraId="2BF8541E" w14:textId="477F69F1" w:rsidR="00A51C82" w:rsidRPr="00A51C82" w:rsidRDefault="00A51C82" w:rsidP="002F1D71">
      <w:pPr>
        <w:ind w:left="709"/>
        <w:jc w:val="both"/>
      </w:pPr>
      <w:r w:rsidRPr="00A51C82">
        <w:t xml:space="preserve">La VAN permet en première approche d’avoir une idée de l’intérêt ou non d’un projet, puis </w:t>
      </w:r>
      <w:r w:rsidR="001C132F">
        <w:t xml:space="preserve">d’aider à hiérarchiser </w:t>
      </w:r>
      <w:r w:rsidRPr="00A51C82">
        <w:t xml:space="preserve">plusieurs variantes du projet si les valeurs du bénéfice </w:t>
      </w:r>
      <w:r w:rsidR="000F13A6" w:rsidRPr="001403C2">
        <w:t xml:space="preserve">net </w:t>
      </w:r>
      <w:r w:rsidRPr="00A51C82">
        <w:t xml:space="preserve">actualisé sont sensiblement différentes. </w:t>
      </w:r>
    </w:p>
    <w:p w14:paraId="70BFD132" w14:textId="77777777" w:rsidR="00A51C82" w:rsidRPr="00A51C82" w:rsidRDefault="00A51C82" w:rsidP="0083506E">
      <w:pPr>
        <w:numPr>
          <w:ilvl w:val="0"/>
          <w:numId w:val="8"/>
        </w:numPr>
        <w:jc w:val="both"/>
      </w:pPr>
      <w:r w:rsidRPr="00A51C82">
        <w:t xml:space="preserve">Le </w:t>
      </w:r>
      <w:r w:rsidRPr="00A51C82">
        <w:rPr>
          <w:b/>
        </w:rPr>
        <w:t>bénéfice pour la collectivité par euro investi, et par euro dépensé</w:t>
      </w:r>
      <w:r w:rsidRPr="00A51C82">
        <w:t xml:space="preserve">, qui permettent des comparaisons plus pertinentes entre les variantes si les coûts d’investissement sont significativement différents. </w:t>
      </w:r>
    </w:p>
    <w:p w14:paraId="09C96440" w14:textId="77777777" w:rsidR="00A51C82" w:rsidRPr="00A51C82" w:rsidRDefault="00A51C82" w:rsidP="0083506E">
      <w:pPr>
        <w:numPr>
          <w:ilvl w:val="0"/>
          <w:numId w:val="8"/>
        </w:numPr>
        <w:jc w:val="both"/>
      </w:pPr>
      <w:r w:rsidRPr="00A51C82">
        <w:t>Le taux de rentabilité immédiat</w:t>
      </w:r>
      <w:r w:rsidR="001C132F">
        <w:t>e</w:t>
      </w:r>
      <w:r w:rsidRPr="00A51C82">
        <w:t xml:space="preserve"> pour la collectivité est, pour une année de mise en service donnée, le rapport entre le bénéfice attendu immédiatement et l’investissement initial. En pratique, ce taux peut permettre de déterminer l’année optimale de mise en service (celle où la VAN est la plus élevée). Les propositions du rapport « Quinet » de 2013 sur l’évaluation socio-économique des investissements publics et les annexes de l’instruction de juin 2014 suggèrent en cas de besoin de procéder également à l’évaluation du gain ou de la perte de VAN associé à un décalage de 5 ans dans la mise en œuvre du projet. </w:t>
      </w:r>
    </w:p>
    <w:p w14:paraId="0E17B31C" w14:textId="6A174691" w:rsidR="00A51C82" w:rsidRPr="00A51C82" w:rsidRDefault="00A51C82" w:rsidP="0083506E">
      <w:pPr>
        <w:numPr>
          <w:ilvl w:val="0"/>
          <w:numId w:val="8"/>
        </w:numPr>
        <w:jc w:val="both"/>
      </w:pPr>
      <w:r w:rsidRPr="00A51C82">
        <w:t xml:space="preserve">Le </w:t>
      </w:r>
      <w:r w:rsidRPr="003809EB">
        <w:rPr>
          <w:b/>
          <w:bCs/>
        </w:rPr>
        <w:t>taux de rentabilité interne du projet (TRI) permet</w:t>
      </w:r>
      <w:r w:rsidR="003809EB" w:rsidRPr="003809EB">
        <w:rPr>
          <w:b/>
          <w:bCs/>
        </w:rPr>
        <w:t xml:space="preserve"> </w:t>
      </w:r>
      <w:r w:rsidRPr="003809EB">
        <w:rPr>
          <w:b/>
          <w:bCs/>
        </w:rPr>
        <w:t xml:space="preserve">la comparaison </w:t>
      </w:r>
      <w:r w:rsidR="003809EB" w:rsidRPr="003809EB">
        <w:rPr>
          <w:b/>
          <w:bCs/>
        </w:rPr>
        <w:t>de différents projets d’infrastructure</w:t>
      </w:r>
      <w:r w:rsidR="003809EB">
        <w:rPr>
          <w:b/>
          <w:bCs/>
        </w:rPr>
        <w:t xml:space="preserve"> </w:t>
      </w:r>
      <w:r w:rsidR="003809EB">
        <w:t>d’importances très variables</w:t>
      </w:r>
      <w:r w:rsidRPr="00A51C82">
        <w:t xml:space="preserve">: c’est le taux d’actualisation qui annule le bénéfice actualisé. De manière générale, un projet </w:t>
      </w:r>
      <w:r w:rsidRPr="009B36D6">
        <w:t xml:space="preserve">est intéressant si son TRI est supérieur </w:t>
      </w:r>
      <w:r w:rsidRPr="009B36D6">
        <w:t>au taux d’actualisation de référence utilisé dans l</w:t>
      </w:r>
      <w:r w:rsidR="000F13A6" w:rsidRPr="009B36D6">
        <w:t>a procédure d</w:t>
      </w:r>
      <w:r w:rsidRPr="009B36D6">
        <w:t xml:space="preserve">’actualisation </w:t>
      </w:r>
      <w:r w:rsidRPr="00A51C82">
        <w:t xml:space="preserve">des bénéfices et des coûts. En revanche, un classement par TRI décroissant de projets n’est pas </w:t>
      </w:r>
      <w:r w:rsidR="00BB2D36">
        <w:t>nécessairement approprié</w:t>
      </w:r>
      <w:r w:rsidRPr="00A51C82">
        <w:t xml:space="preserve">, car il ne garantit pas de retenir le(s) projet(s) présentant la plus grande VAN. </w:t>
      </w:r>
    </w:p>
    <w:p w14:paraId="3E3EF411" w14:textId="77777777" w:rsidR="001C132F" w:rsidRDefault="001C132F" w:rsidP="004C4CA3">
      <w:pPr>
        <w:jc w:val="both"/>
      </w:pPr>
    </w:p>
    <w:p w14:paraId="1026012D" w14:textId="77777777" w:rsidR="00A51C82" w:rsidRDefault="00A51C82" w:rsidP="004C4CA3">
      <w:pPr>
        <w:jc w:val="both"/>
      </w:pPr>
      <w:r w:rsidRPr="00A51C82">
        <w:t xml:space="preserve">Une analyse de sensibilité de ces indicateurs doit ensuite être menée par rapport au taux de croissance du PIB, aux coûts d’investissement et d’exploitation, au trafic, au coût de l’énergie et aux prix du mode de transport et des modes concurrents. </w:t>
      </w:r>
    </w:p>
    <w:p w14:paraId="1D07DC63" w14:textId="77777777" w:rsidR="001C132F" w:rsidRPr="00A51C82" w:rsidRDefault="001C132F" w:rsidP="004C4CA3">
      <w:pPr>
        <w:jc w:val="both"/>
      </w:pPr>
    </w:p>
    <w:p w14:paraId="519E8EEA" w14:textId="0C438387" w:rsidR="00A51C82" w:rsidRDefault="00A51C82" w:rsidP="004C4CA3">
      <w:pPr>
        <w:jc w:val="both"/>
      </w:pPr>
      <w:r w:rsidRPr="00A51C82">
        <w:t xml:space="preserve">L’instruction explique que l’évaluation socio-économique ne doit pas se limiter au bilan fourni par le calcul de certains indicateurs, et appelle à prendre aussi en compte de manière qualitative tous les effets qui ne peuvent pas être traités entièrement dans le bilan, en particulier ceux concernant la distribution spatiale des activités (hors l’aspect gain de temps), et plus généralement tous ceux relevant de l’aménagement du </w:t>
      </w:r>
      <w:r w:rsidRPr="009B36D6">
        <w:t>territoire</w:t>
      </w:r>
      <w:r w:rsidR="00CD58B8" w:rsidRPr="009B36D6">
        <w:t xml:space="preserve"> et de l’impact environnemental</w:t>
      </w:r>
      <w:r w:rsidRPr="009B36D6">
        <w:t>.</w:t>
      </w:r>
    </w:p>
    <w:p w14:paraId="4ADD95C0" w14:textId="5B0B4D88" w:rsidR="00A51C82" w:rsidRPr="00A51C82" w:rsidRDefault="00A51C82" w:rsidP="00A13130">
      <w:pPr>
        <w:pStyle w:val="Titre3"/>
      </w:pPr>
      <w:bookmarkStart w:id="30" w:name="_Toc46917054"/>
      <w:bookmarkStart w:id="31" w:name="_Toc63352125"/>
      <w:r w:rsidRPr="00A51C82">
        <w:t>Les éléments pris en compte dans l’évaluation socio-économique</w:t>
      </w:r>
      <w:bookmarkEnd w:id="30"/>
      <w:bookmarkEnd w:id="31"/>
    </w:p>
    <w:p w14:paraId="31C6D26C" w14:textId="77777777" w:rsidR="004C4CA3" w:rsidRDefault="004C4CA3" w:rsidP="004C4CA3">
      <w:pPr>
        <w:jc w:val="both"/>
      </w:pPr>
    </w:p>
    <w:p w14:paraId="338353C0" w14:textId="0AEB5B7C" w:rsidR="00A51C82" w:rsidRPr="00A51C82" w:rsidRDefault="00A51C82" w:rsidP="004C4CA3">
      <w:pPr>
        <w:jc w:val="both"/>
      </w:pPr>
      <w:r w:rsidRPr="00A51C82">
        <w:t xml:space="preserve">Les impacts marchands ou non marchands monétarisables pour la collectivité sont présentés ci-après. Certains sont </w:t>
      </w:r>
      <w:r w:rsidR="00BB2D36">
        <w:t>spécifiques</w:t>
      </w:r>
      <w:r w:rsidRPr="00A51C82">
        <w:t xml:space="preserve"> et significatifs du fait des finalités économiques et de l’ampleur du projet du Grand Paris Express.</w:t>
      </w:r>
    </w:p>
    <w:p w14:paraId="5030B069" w14:textId="77777777" w:rsidR="004C4CA3" w:rsidRDefault="004C4CA3" w:rsidP="004C4CA3">
      <w:pPr>
        <w:jc w:val="both"/>
      </w:pPr>
    </w:p>
    <w:p w14:paraId="76EC86CE" w14:textId="77777777" w:rsidR="00A51C82" w:rsidRDefault="00A51C82" w:rsidP="0083506E">
      <w:pPr>
        <w:numPr>
          <w:ilvl w:val="0"/>
          <w:numId w:val="28"/>
        </w:numPr>
        <w:jc w:val="both"/>
        <w:rPr>
          <w:b/>
        </w:rPr>
      </w:pPr>
      <w:r w:rsidRPr="00A51C82">
        <w:rPr>
          <w:b/>
        </w:rPr>
        <w:t>Effets transports :</w:t>
      </w:r>
    </w:p>
    <w:p w14:paraId="6AFC84CB" w14:textId="77777777" w:rsidR="004C4CA3" w:rsidRPr="00A51C82" w:rsidRDefault="004C4CA3" w:rsidP="004C4CA3">
      <w:pPr>
        <w:ind w:left="1065"/>
        <w:jc w:val="both"/>
      </w:pPr>
    </w:p>
    <w:p w14:paraId="747F589A" w14:textId="77777777" w:rsidR="00A51C82" w:rsidRDefault="00A51C82" w:rsidP="0083506E">
      <w:pPr>
        <w:numPr>
          <w:ilvl w:val="0"/>
          <w:numId w:val="7"/>
        </w:numPr>
        <w:jc w:val="both"/>
      </w:pPr>
      <w:r w:rsidRPr="00A51C82">
        <w:t xml:space="preserve">les variations de temps et de prix de transport pour les voyageurs utilisant le projet (existants, reportés et induits) ; </w:t>
      </w:r>
    </w:p>
    <w:p w14:paraId="54770BB2" w14:textId="77777777" w:rsidR="001C132F" w:rsidRPr="00A51C82" w:rsidRDefault="001C132F" w:rsidP="001C132F">
      <w:pPr>
        <w:ind w:left="720"/>
        <w:jc w:val="both"/>
      </w:pPr>
    </w:p>
    <w:p w14:paraId="7608A053" w14:textId="77777777" w:rsidR="00A51C82" w:rsidRPr="00A51C82" w:rsidRDefault="00A51C82" w:rsidP="0083506E">
      <w:pPr>
        <w:numPr>
          <w:ilvl w:val="0"/>
          <w:numId w:val="7"/>
        </w:numPr>
        <w:jc w:val="both"/>
      </w:pPr>
      <w:r w:rsidRPr="00A51C82">
        <w:t>les gains de temps et variations de coût des usagers des transports individuels dont les conditions de circulation peuvent être affectées par le report vers le projet.</w:t>
      </w:r>
    </w:p>
    <w:p w14:paraId="43FB893D" w14:textId="77777777" w:rsidR="004C4CA3" w:rsidRDefault="004C4CA3" w:rsidP="004C4CA3">
      <w:pPr>
        <w:jc w:val="both"/>
      </w:pPr>
    </w:p>
    <w:p w14:paraId="23CCB105" w14:textId="77777777" w:rsidR="00A51C82" w:rsidRDefault="00A51C82" w:rsidP="0083506E">
      <w:pPr>
        <w:numPr>
          <w:ilvl w:val="0"/>
          <w:numId w:val="28"/>
        </w:numPr>
        <w:jc w:val="both"/>
      </w:pPr>
      <w:r w:rsidRPr="00A51C82">
        <w:rPr>
          <w:b/>
        </w:rPr>
        <w:t>Amélioration de la qualité de service en termes de régularité et de confort :</w:t>
      </w:r>
      <w:r w:rsidRPr="00A51C82">
        <w:t xml:space="preserve"> </w:t>
      </w:r>
    </w:p>
    <w:p w14:paraId="7EAFC7B5" w14:textId="77777777" w:rsidR="004A336F" w:rsidRPr="00A51C82" w:rsidRDefault="004A336F" w:rsidP="004A336F">
      <w:pPr>
        <w:ind w:left="1065"/>
        <w:jc w:val="both"/>
      </w:pPr>
    </w:p>
    <w:p w14:paraId="388D621E" w14:textId="14BA1126" w:rsidR="00A51C82" w:rsidRDefault="00A51C82" w:rsidP="004C4CA3">
      <w:pPr>
        <w:jc w:val="both"/>
      </w:pPr>
      <w:r w:rsidRPr="00A51C82">
        <w:t xml:space="preserve">Le métro automatique aura une haute qualité de service. De plus, grâce à l’allègement de la charge des autres lignes de transport en commun aussi bien que </w:t>
      </w:r>
      <w:r w:rsidR="009B36D6">
        <w:t xml:space="preserve">de celle </w:t>
      </w:r>
      <w:r w:rsidRPr="00A51C82">
        <w:t>d</w:t>
      </w:r>
      <w:r w:rsidR="009B36D6">
        <w:t>’</w:t>
      </w:r>
      <w:r w:rsidRPr="00A51C82">
        <w:t xml:space="preserve">axes routiers </w:t>
      </w:r>
      <w:r w:rsidR="009B36D6">
        <w:t xml:space="preserve">souvent </w:t>
      </w:r>
      <w:r w:rsidRPr="00A51C82">
        <w:t xml:space="preserve">fortement congestionnés, ce sont tous les usagers qui ressentiront les améliorations du confort et de la régularité des lignes. </w:t>
      </w:r>
    </w:p>
    <w:p w14:paraId="22F9DA03" w14:textId="77777777" w:rsidR="004C4CA3" w:rsidRDefault="004C4CA3" w:rsidP="004C4CA3">
      <w:pPr>
        <w:jc w:val="both"/>
      </w:pPr>
    </w:p>
    <w:p w14:paraId="662D7902" w14:textId="4B5DAA9E" w:rsidR="00A51C82" w:rsidRDefault="00A51C82" w:rsidP="0083506E">
      <w:pPr>
        <w:numPr>
          <w:ilvl w:val="0"/>
          <w:numId w:val="28"/>
        </w:numPr>
        <w:jc w:val="both"/>
      </w:pPr>
      <w:r w:rsidRPr="00A51C82">
        <w:rPr>
          <w:b/>
        </w:rPr>
        <w:t>Gains environnementaux</w:t>
      </w:r>
      <w:r w:rsidR="002E463F">
        <w:rPr>
          <w:b/>
        </w:rPr>
        <w:t xml:space="preserve"> </w:t>
      </w:r>
      <w:r w:rsidRPr="00A51C82">
        <w:rPr>
          <w:b/>
        </w:rPr>
        <w:t>:</w:t>
      </w:r>
      <w:r w:rsidRPr="00A51C82">
        <w:t xml:space="preserve"> </w:t>
      </w:r>
    </w:p>
    <w:p w14:paraId="7D931E5B" w14:textId="1000775B" w:rsidR="002E463F" w:rsidRDefault="002E463F" w:rsidP="002E463F">
      <w:pPr>
        <w:jc w:val="both"/>
      </w:pPr>
    </w:p>
    <w:p w14:paraId="781A3E60" w14:textId="12E5C9BE" w:rsidR="00A51C82" w:rsidRDefault="002E463F" w:rsidP="002E463F">
      <w:pPr>
        <w:jc w:val="both"/>
      </w:pPr>
      <w:r>
        <w:t xml:space="preserve">Les effets environnementaux sont les bénéfices </w:t>
      </w:r>
      <w:r w:rsidR="00A51C82" w:rsidRPr="00A51C82">
        <w:t xml:space="preserve">« externes » </w:t>
      </w:r>
      <w:r>
        <w:t xml:space="preserve">classiques </w:t>
      </w:r>
      <w:r w:rsidR="00A51C82" w:rsidRPr="00A51C82">
        <w:t xml:space="preserve">: pollution atmosphérique, effet de serre, insécurité et bruit. Ils sont liés aux réductions des nuisances liées aux voitures particulières. </w:t>
      </w:r>
      <w:r>
        <w:t>La particularité des analyses faites pour le Grand Paris Express tient à la nécessité de tenir compte des effets dans le long terme de la mise en œuvre du Grand Paris Express sur les mobilités et sur le transfert modal.</w:t>
      </w:r>
    </w:p>
    <w:p w14:paraId="17764D63" w14:textId="77777777" w:rsidR="004A336F" w:rsidRDefault="004A336F" w:rsidP="004A336F">
      <w:pPr>
        <w:ind w:left="1065"/>
        <w:jc w:val="both"/>
      </w:pPr>
    </w:p>
    <w:p w14:paraId="30838BBC" w14:textId="77777777" w:rsidR="004A336F" w:rsidRDefault="004A336F" w:rsidP="004A336F">
      <w:pPr>
        <w:ind w:left="1065"/>
        <w:jc w:val="both"/>
      </w:pPr>
    </w:p>
    <w:p w14:paraId="36CE06FA" w14:textId="5AF77103" w:rsidR="002E463F" w:rsidRDefault="002E463F" w:rsidP="0083506E">
      <w:pPr>
        <w:numPr>
          <w:ilvl w:val="0"/>
          <w:numId w:val="28"/>
        </w:numPr>
        <w:jc w:val="both"/>
        <w:rPr>
          <w:b/>
        </w:rPr>
      </w:pPr>
      <w:r>
        <w:rPr>
          <w:b/>
        </w:rPr>
        <w:t>Les effets urbains</w:t>
      </w:r>
    </w:p>
    <w:p w14:paraId="61B75714" w14:textId="5194960C" w:rsidR="002E463F" w:rsidRDefault="002E463F" w:rsidP="002E463F">
      <w:pPr>
        <w:ind w:left="360"/>
        <w:jc w:val="both"/>
        <w:rPr>
          <w:b/>
        </w:rPr>
      </w:pPr>
    </w:p>
    <w:p w14:paraId="3A2AB943" w14:textId="467B646F" w:rsidR="002E463F" w:rsidRPr="00DB31A5" w:rsidRDefault="002E463F" w:rsidP="002E463F">
      <w:pPr>
        <w:jc w:val="both"/>
        <w:rPr>
          <w:color w:val="FF0000"/>
        </w:rPr>
      </w:pPr>
      <w:r>
        <w:t>L</w:t>
      </w:r>
      <w:r w:rsidRPr="00A51C82">
        <w:t>’impact sur l'occupation des sols : la croissance naturelle de la population et de l’emploi à l’horizon du projet, comme celle de toute grande métropole, génèrera des besoins de surface</w:t>
      </w:r>
      <w:r>
        <w:t>s</w:t>
      </w:r>
      <w:r w:rsidRPr="00A51C82">
        <w:t xml:space="preserve"> à urbaniser dans la région Île-de-</w:t>
      </w:r>
      <w:r>
        <w:t xml:space="preserve">France entraînés car </w:t>
      </w:r>
      <w:r w:rsidRPr="00A51C82">
        <w:t xml:space="preserve">cette urbanisation </w:t>
      </w:r>
      <w:r>
        <w:t xml:space="preserve">aura tendance à </w:t>
      </w:r>
      <w:r w:rsidRPr="00A51C82">
        <w:t>colonise</w:t>
      </w:r>
      <w:r>
        <w:t>r</w:t>
      </w:r>
      <w:r w:rsidRPr="00A51C82">
        <w:t xml:space="preserve"> les espaces ouverts de la périphérie au moyen de lotissements pavillonnaires peu denses associés à l’usage de la voiture particulière, </w:t>
      </w:r>
      <w:r>
        <w:t>et</w:t>
      </w:r>
      <w:r w:rsidRPr="00A51C82">
        <w:t xml:space="preserve"> consommera des superficies de plusieurs milliers d’hectares</w:t>
      </w:r>
      <w:r>
        <w:t>, plus importantes que si l’urbanisation est moins diffuse</w:t>
      </w:r>
      <w:r w:rsidRPr="00A51C82">
        <w:t xml:space="preserve">. L’étalement urbain </w:t>
      </w:r>
      <w:r w:rsidR="00A64A90">
        <w:t xml:space="preserve">sera </w:t>
      </w:r>
      <w:r w:rsidR="00C96509">
        <w:t xml:space="preserve">encore mieux </w:t>
      </w:r>
      <w:r w:rsidRPr="00A51C82">
        <w:t xml:space="preserve">contenu par des opérations </w:t>
      </w:r>
      <w:r w:rsidR="00A64A90">
        <w:t>d’aménagement associées à la mise en service d’</w:t>
      </w:r>
      <w:r w:rsidRPr="00A51C82">
        <w:t xml:space="preserve">un réseau de transport public </w:t>
      </w:r>
      <w:r w:rsidR="00A64A90">
        <w:t xml:space="preserve">performant comme le </w:t>
      </w:r>
      <w:r w:rsidRPr="00A51C82">
        <w:t>Grand Paris Express</w:t>
      </w:r>
      <w:r w:rsidR="00A64A90">
        <w:t xml:space="preserve">. Des méthodes sont disponibles pour </w:t>
      </w:r>
      <w:r w:rsidRPr="00A51C82">
        <w:t xml:space="preserve">apprécier </w:t>
      </w:r>
      <w:r w:rsidR="00A64A90">
        <w:t xml:space="preserve">aussi bien les économies en hectares artificialisés rendues possibles par la réalisation du Grand Paris Express que </w:t>
      </w:r>
      <w:r w:rsidRPr="00A51C82">
        <w:t xml:space="preserve">les </w:t>
      </w:r>
      <w:r w:rsidRPr="00A51C82">
        <w:lastRenderedPageBreak/>
        <w:t xml:space="preserve">économies de coûts d’investissement et de </w:t>
      </w:r>
      <w:r w:rsidR="00A64A90">
        <w:t>fonctionnement</w:t>
      </w:r>
      <w:r w:rsidRPr="00A51C82">
        <w:t xml:space="preserve"> des services publics permises par une urbanisation raisonnée.</w:t>
      </w:r>
      <w:r>
        <w:t xml:space="preserve"> </w:t>
      </w:r>
      <w:r w:rsidRPr="00A64A90">
        <w:t>P</w:t>
      </w:r>
      <w:r w:rsidR="00A64A90" w:rsidRPr="00A64A90">
        <w:t xml:space="preserve">our ne prendre qu’un </w:t>
      </w:r>
      <w:r w:rsidRPr="00A64A90">
        <w:t>exemple</w:t>
      </w:r>
      <w:r w:rsidR="00A64A90" w:rsidRPr="00A64A90">
        <w:t xml:space="preserve"> emblématique</w:t>
      </w:r>
      <w:r w:rsidRPr="00A64A90">
        <w:t xml:space="preserve">, la relocalisation et le regroupent de nombreuses activités d’études et de recherche sur le plateau de Saclay dans un ensemble beaucoup plus dense, associés à de nouveaux programmes de logement construits selon les nouvelles normes environnementales, vont </w:t>
      </w:r>
      <w:r w:rsidR="00A64A90" w:rsidRPr="00A64A90">
        <w:t xml:space="preserve">ainsi </w:t>
      </w:r>
      <w:r w:rsidRPr="00A64A90">
        <w:t>permettre de réduire les émissions de GES des futurs parcs résidentiels et tertiaires dans les zones traversées par la L18</w:t>
      </w:r>
      <w:r w:rsidR="00A64A90" w:rsidRPr="00A64A90">
        <w:t xml:space="preserve"> et d’assurer une desserte en services publics plus efficace en plus bien entendu des considérables avantages pour la compétitivité du pays associés à la bonne réalisation de la plateforme de Saclay</w:t>
      </w:r>
      <w:r w:rsidRPr="00A64A90">
        <w:t>.</w:t>
      </w:r>
    </w:p>
    <w:p w14:paraId="4C4D26E5" w14:textId="46DA058B" w:rsidR="002E463F" w:rsidRDefault="002E463F" w:rsidP="002E463F">
      <w:pPr>
        <w:ind w:left="360"/>
        <w:jc w:val="both"/>
        <w:rPr>
          <w:b/>
        </w:rPr>
      </w:pPr>
      <w:bookmarkStart w:id="32" w:name="_Hlk43286639"/>
    </w:p>
    <w:p w14:paraId="351383FB" w14:textId="77777777" w:rsidR="002E463F" w:rsidRDefault="002E463F" w:rsidP="002E463F">
      <w:pPr>
        <w:ind w:left="360"/>
        <w:jc w:val="both"/>
        <w:rPr>
          <w:b/>
        </w:rPr>
      </w:pPr>
    </w:p>
    <w:p w14:paraId="41946AB0" w14:textId="669D2CD6" w:rsidR="004A336F" w:rsidRPr="004A336F" w:rsidRDefault="004A336F" w:rsidP="0083506E">
      <w:pPr>
        <w:numPr>
          <w:ilvl w:val="0"/>
          <w:numId w:val="28"/>
        </w:numPr>
        <w:jc w:val="both"/>
        <w:rPr>
          <w:b/>
        </w:rPr>
      </w:pPr>
      <w:r w:rsidRPr="004A336F">
        <w:rPr>
          <w:b/>
        </w:rPr>
        <w:t xml:space="preserve">Effets sur les activités </w:t>
      </w:r>
    </w:p>
    <w:p w14:paraId="75CDAF09" w14:textId="06C8C7B3" w:rsidR="004C4CA3" w:rsidRDefault="004C4CA3" w:rsidP="004C4CA3">
      <w:pPr>
        <w:jc w:val="both"/>
      </w:pPr>
    </w:p>
    <w:p w14:paraId="5FA1DB8B" w14:textId="1FE0DE3E" w:rsidR="00C96509" w:rsidRDefault="00C96509" w:rsidP="004C4CA3">
      <w:pPr>
        <w:jc w:val="both"/>
      </w:pPr>
      <w:r>
        <w:t>Ce point représente, de</w:t>
      </w:r>
      <w:r w:rsidR="00E85FFF">
        <w:t xml:space="preserve"> </w:t>
      </w:r>
      <w:r>
        <w:t>par la finalité économique du projet du Grand Paris</w:t>
      </w:r>
      <w:r w:rsidR="001E1765">
        <w:t xml:space="preserve"> Express</w:t>
      </w:r>
      <w:r>
        <w:t>, la part de loin la plus élevée des bénéfices socioéconomiques du projet. Les effets sont de deux ordres, des créations d’emplois à long terme induits par la mise en service de l’infrastructure, et les effets d’agglomération :</w:t>
      </w:r>
    </w:p>
    <w:p w14:paraId="138B0875" w14:textId="77777777" w:rsidR="00C96509" w:rsidRDefault="00C96509" w:rsidP="004C4CA3">
      <w:pPr>
        <w:jc w:val="both"/>
      </w:pPr>
    </w:p>
    <w:bookmarkEnd w:id="32"/>
    <w:p w14:paraId="6EC0E8F3" w14:textId="3303E600" w:rsidR="00A51C82" w:rsidRDefault="00A51C82" w:rsidP="0083506E">
      <w:pPr>
        <w:numPr>
          <w:ilvl w:val="0"/>
          <w:numId w:val="7"/>
        </w:numPr>
        <w:jc w:val="both"/>
      </w:pPr>
      <w:r w:rsidRPr="00A51C82">
        <w:t xml:space="preserve">les </w:t>
      </w:r>
      <w:r w:rsidRPr="001C132F">
        <w:rPr>
          <w:b/>
        </w:rPr>
        <w:t>créations d’emplois à long terme</w:t>
      </w:r>
      <w:r w:rsidRPr="00A51C82">
        <w:t xml:space="preserve"> </w:t>
      </w:r>
      <w:r w:rsidR="00C96509" w:rsidRPr="00A51C82">
        <w:t>induit</w:t>
      </w:r>
      <w:r w:rsidR="003809EB">
        <w:t>e</w:t>
      </w:r>
      <w:r w:rsidR="00C96509" w:rsidRPr="00A51C82">
        <w:t xml:space="preserve">s par le </w:t>
      </w:r>
      <w:r w:rsidR="00830DC0" w:rsidRPr="00A51C82">
        <w:t>projet (</w:t>
      </w:r>
      <w:r w:rsidRPr="00A51C82">
        <w:t>au-delà des emplois dits de chantier</w:t>
      </w:r>
      <w:r w:rsidR="00C96509">
        <w:t>, importants par leur masse due à la dimension exceptionnelle du Grand Paris Express, mais qui restent temporaires pendant la durée des travaux</w:t>
      </w:r>
      <w:r w:rsidRPr="00A51C82">
        <w:t>)</w:t>
      </w:r>
      <w:r w:rsidR="00C96509">
        <w:t xml:space="preserve">. </w:t>
      </w:r>
      <w:r w:rsidR="003809EB">
        <w:t>Ces créations d’emplois</w:t>
      </w:r>
      <w:r w:rsidR="00C96509">
        <w:t xml:space="preserve"> viennent de trois causes différentes</w:t>
      </w:r>
      <w:r w:rsidR="003C3160">
        <w:t xml:space="preserve"> </w:t>
      </w:r>
      <w:r w:rsidRPr="00A51C82">
        <w:t>:</w:t>
      </w:r>
    </w:p>
    <w:p w14:paraId="79B595B4" w14:textId="77777777" w:rsidR="004A336F" w:rsidRPr="00A51C82" w:rsidRDefault="004A336F" w:rsidP="004A336F">
      <w:pPr>
        <w:ind w:left="720"/>
        <w:jc w:val="both"/>
      </w:pPr>
    </w:p>
    <w:p w14:paraId="463D1C17" w14:textId="5E8E24EF" w:rsidR="00A51C82" w:rsidRDefault="00A51C82" w:rsidP="0083506E">
      <w:pPr>
        <w:numPr>
          <w:ilvl w:val="0"/>
          <w:numId w:val="27"/>
        </w:numPr>
        <w:jc w:val="both"/>
      </w:pPr>
      <w:r w:rsidRPr="00A51C82">
        <w:t>l’amélioration de l’attractivité de la région</w:t>
      </w:r>
      <w:r w:rsidR="003809EB" w:rsidRPr="003809EB">
        <w:t xml:space="preserve"> </w:t>
      </w:r>
      <w:r w:rsidR="003809EB" w:rsidRPr="00A51C82">
        <w:t>Île-de-France</w:t>
      </w:r>
      <w:r w:rsidRPr="00A51C82">
        <w:t xml:space="preserve"> attirera des emplois internationalement mobiles qui créeront </w:t>
      </w:r>
      <w:r w:rsidR="00B75400" w:rsidRPr="00A64A90">
        <w:t xml:space="preserve">eux-mêmes </w:t>
      </w:r>
      <w:r w:rsidRPr="00A51C82">
        <w:t>d’autres emplois induits, ce qui génèrera de l’activité et de la richesse</w:t>
      </w:r>
      <w:r w:rsidRPr="00A51C82">
        <w:rPr>
          <w:vertAlign w:val="superscript"/>
        </w:rPr>
        <w:footnoteReference w:id="2"/>
      </w:r>
      <w:r w:rsidRPr="00A51C82">
        <w:t>.</w:t>
      </w:r>
    </w:p>
    <w:p w14:paraId="316B8861" w14:textId="77777777" w:rsidR="001C132F" w:rsidRPr="00A51C82" w:rsidRDefault="001C132F" w:rsidP="001C132F">
      <w:pPr>
        <w:ind w:left="720"/>
        <w:jc w:val="both"/>
      </w:pPr>
    </w:p>
    <w:p w14:paraId="055BCBE8" w14:textId="3234A270" w:rsidR="00A51C82" w:rsidRDefault="009F0A3C" w:rsidP="0083506E">
      <w:pPr>
        <w:numPr>
          <w:ilvl w:val="0"/>
          <w:numId w:val="27"/>
        </w:numPr>
        <w:jc w:val="both"/>
      </w:pPr>
      <w:r w:rsidRPr="00A51C82">
        <w:t xml:space="preserve">la réduction des temps de transport </w:t>
      </w:r>
      <w:r>
        <w:t xml:space="preserve">subis par les </w:t>
      </w:r>
      <w:r w:rsidRPr="00A51C82">
        <w:t>demandeurs d’emploi</w:t>
      </w:r>
      <w:r>
        <w:t xml:space="preserve"> pour accéder aux offres</w:t>
      </w:r>
      <w:r w:rsidRPr="00A51C82">
        <w:t xml:space="preserve"> </w:t>
      </w:r>
      <w:r>
        <w:t xml:space="preserve">entraînera une forte </w:t>
      </w:r>
      <w:r w:rsidRPr="00A51C82">
        <w:t xml:space="preserve">amélioration interne du marché du travail de la région d’Île-de-France </w:t>
      </w:r>
      <w:r>
        <w:t xml:space="preserve">et une </w:t>
      </w:r>
      <w:r w:rsidRPr="00A51C82">
        <w:t xml:space="preserve">réduction du chômage </w:t>
      </w:r>
      <w:r>
        <w:t xml:space="preserve">et une </w:t>
      </w:r>
      <w:r w:rsidR="00A51C82" w:rsidRPr="00A51C82">
        <w:t>augmentation du niveau d’emploi d’équilibre</w:t>
      </w:r>
      <w:r w:rsidR="00A51C82" w:rsidRPr="00A51C82">
        <w:rPr>
          <w:vertAlign w:val="superscript"/>
        </w:rPr>
        <w:footnoteReference w:id="3"/>
      </w:r>
      <w:r w:rsidR="00A51C82" w:rsidRPr="00A51C82">
        <w:t>.</w:t>
      </w:r>
    </w:p>
    <w:p w14:paraId="2DAA2E84" w14:textId="77777777" w:rsidR="001C132F" w:rsidRPr="00A51C82" w:rsidRDefault="001C132F" w:rsidP="001C132F">
      <w:pPr>
        <w:jc w:val="both"/>
      </w:pPr>
    </w:p>
    <w:p w14:paraId="74C7505F" w14:textId="073DBD3E" w:rsidR="00A51C82" w:rsidRDefault="00A51C82" w:rsidP="0083506E">
      <w:pPr>
        <w:numPr>
          <w:ilvl w:val="0"/>
          <w:numId w:val="27"/>
        </w:numPr>
        <w:jc w:val="both"/>
      </w:pPr>
      <w:r w:rsidRPr="00A51C82">
        <w:t>une évolution plus faible du coût du logement</w:t>
      </w:r>
      <w:r w:rsidR="009F0A3C">
        <w:t xml:space="preserve"> sera</w:t>
      </w:r>
      <w:r w:rsidRPr="00A51C82">
        <w:t xml:space="preserve"> </w:t>
      </w:r>
      <w:r w:rsidR="00F94C45">
        <w:t xml:space="preserve">rendue possible </w:t>
      </w:r>
      <w:r w:rsidRPr="00A51C82">
        <w:t xml:space="preserve">grâce à la mobilisation de ressources foncières importantes et à bas coût </w:t>
      </w:r>
      <w:r w:rsidR="00C96509">
        <w:t xml:space="preserve">dans des zones jusque-là peu intéressantes pour l’immobilier et </w:t>
      </w:r>
      <w:r w:rsidRPr="00A51C82">
        <w:t>rendues attractives par l’amélioration de leur accessibilité après la mise en service du Grand Paris Expres</w:t>
      </w:r>
      <w:r w:rsidR="009F0A3C">
        <w:t>s ; cela entraînera</w:t>
      </w:r>
      <w:r w:rsidR="009F0A3C" w:rsidRPr="009F0A3C">
        <w:t xml:space="preserve"> </w:t>
      </w:r>
      <w:r w:rsidR="009F0A3C" w:rsidRPr="00A51C82">
        <w:t>une moindre pression à la hausse sur les salaires</w:t>
      </w:r>
      <w:r w:rsidR="009F0A3C">
        <w:t xml:space="preserve"> et donc une meilleure compétitivité des entreprises </w:t>
      </w:r>
      <w:r w:rsidR="009F0A3C" w:rsidRPr="00A51C82">
        <w:t>de la région Île-de-France</w:t>
      </w:r>
      <w:r w:rsidR="009F0A3C">
        <w:t xml:space="preserve"> débouchant sur une </w:t>
      </w:r>
      <w:r w:rsidR="009F0A3C" w:rsidRPr="00A51C82">
        <w:t>augmentation de l</w:t>
      </w:r>
      <w:r w:rsidR="009F0A3C">
        <w:t xml:space="preserve">eurs </w:t>
      </w:r>
      <w:r w:rsidR="009F0A3C" w:rsidRPr="00A51C82">
        <w:t>offre</w:t>
      </w:r>
      <w:r w:rsidR="009F0A3C">
        <w:t>s</w:t>
      </w:r>
      <w:r w:rsidR="009F0A3C" w:rsidRPr="00A51C82">
        <w:t xml:space="preserve"> d’emplois</w:t>
      </w:r>
      <w:r w:rsidRPr="00A51C82">
        <w:rPr>
          <w:vertAlign w:val="superscript"/>
        </w:rPr>
        <w:footnoteReference w:id="4"/>
      </w:r>
      <w:r w:rsidRPr="00A51C82">
        <w:t xml:space="preserve">. </w:t>
      </w:r>
    </w:p>
    <w:p w14:paraId="1D634539" w14:textId="77777777" w:rsidR="001C132F" w:rsidRPr="00A51C82" w:rsidRDefault="001C132F" w:rsidP="001C132F">
      <w:pPr>
        <w:jc w:val="both"/>
      </w:pPr>
    </w:p>
    <w:p w14:paraId="0463672A" w14:textId="25302060" w:rsidR="00A51C82" w:rsidRDefault="00A51C82" w:rsidP="001C132F">
      <w:pPr>
        <w:jc w:val="both"/>
      </w:pPr>
      <w:r w:rsidRPr="00A51C82">
        <w:t xml:space="preserve">Les trois effets, attractivité, amélioration du marché du travail, et </w:t>
      </w:r>
      <w:r w:rsidR="009F0A3C">
        <w:t xml:space="preserve">réduction des coûts des entreprises </w:t>
      </w:r>
      <w:r w:rsidRPr="00A51C82">
        <w:t xml:space="preserve">des entreprises représentent à eux trois, et si on les additionne </w:t>
      </w:r>
      <w:r w:rsidR="00A64A90">
        <w:t>directement</w:t>
      </w:r>
      <w:r w:rsidRPr="00A51C82">
        <w:t>, une création globale de 300</w:t>
      </w:r>
      <w:r w:rsidR="0084080B">
        <w:t> </w:t>
      </w:r>
      <w:r w:rsidRPr="00A51C82">
        <w:t>000 à 500</w:t>
      </w:r>
      <w:r w:rsidR="0084080B">
        <w:t> </w:t>
      </w:r>
      <w:r w:rsidRPr="00A51C82">
        <w:t>000 emplois</w:t>
      </w:r>
      <w:r w:rsidR="00C96509">
        <w:rPr>
          <w:rStyle w:val="Appelnotedebasdep"/>
        </w:rPr>
        <w:footnoteReference w:id="5"/>
      </w:r>
      <w:r w:rsidRPr="00A51C82">
        <w:t xml:space="preserve">. En l’absence d’un modèle intégré et compte tenu des </w:t>
      </w:r>
      <w:r w:rsidR="00A64A90" w:rsidRPr="00A51C82">
        <w:t>p</w:t>
      </w:r>
      <w:r w:rsidR="00A64A90">
        <w:t>ossibilités de</w:t>
      </w:r>
      <w:r w:rsidR="00A64A90" w:rsidRPr="00A64A90">
        <w:t xml:space="preserve"> </w:t>
      </w:r>
      <w:r w:rsidR="004D052A" w:rsidRPr="00A64A90">
        <w:t xml:space="preserve">doubles </w:t>
      </w:r>
      <w:r w:rsidRPr="00A51C82">
        <w:t xml:space="preserve">comptes entre ces trois effets, on s’en est tenu à l’approche la plus prudente possible de l’effet d’ensemble. </w:t>
      </w:r>
      <w:r w:rsidR="009F0A3C">
        <w:t>On aurait pu</w:t>
      </w:r>
      <w:r w:rsidR="00796E6D">
        <w:t xml:space="preserve"> retenir deux scénarios reprenant ces chiffres</w:t>
      </w:r>
      <w:r w:rsidR="009F0A3C">
        <w:t xml:space="preserve"> de 300</w:t>
      </w:r>
      <w:r w:rsidR="0084080B">
        <w:t> </w:t>
      </w:r>
      <w:r w:rsidR="009F0A3C">
        <w:t>000 et de 500</w:t>
      </w:r>
      <w:r w:rsidR="0084080B">
        <w:t> </w:t>
      </w:r>
      <w:r w:rsidR="009F0A3C">
        <w:t>000 emplois créés du fait du Grand Paris Express. O</w:t>
      </w:r>
      <w:r w:rsidR="00796E6D">
        <w:t xml:space="preserve">n s’en est tenu </w:t>
      </w:r>
      <w:r w:rsidR="009F0A3C">
        <w:t xml:space="preserve">par prudence </w:t>
      </w:r>
      <w:r w:rsidR="00796E6D">
        <w:t xml:space="preserve">à </w:t>
      </w:r>
      <w:r w:rsidRPr="00A51C82">
        <w:t>deux scénarios « bas » et « haut » respectivement de +115</w:t>
      </w:r>
      <w:r w:rsidR="0084080B">
        <w:t> </w:t>
      </w:r>
      <w:r w:rsidRPr="00A51C82">
        <w:t>000 et +315</w:t>
      </w:r>
      <w:r w:rsidR="0084080B">
        <w:t> </w:t>
      </w:r>
      <w:r w:rsidRPr="00A51C82">
        <w:t>000 emplois créés dans le long terme du fait du Grand Paris Express</w:t>
      </w:r>
      <w:r w:rsidR="009F0A3C">
        <w:t xml:space="preserve">. </w:t>
      </w:r>
      <w:r w:rsidR="00EE3E01">
        <w:t xml:space="preserve">Le chiffre </w:t>
      </w:r>
      <w:r w:rsidR="00C96509">
        <w:t>+</w:t>
      </w:r>
      <w:r w:rsidRPr="00A51C82">
        <w:t>115</w:t>
      </w:r>
      <w:r w:rsidR="0084080B">
        <w:t> </w:t>
      </w:r>
      <w:r w:rsidRPr="00A51C82">
        <w:t xml:space="preserve">000 </w:t>
      </w:r>
      <w:r w:rsidR="00C96509">
        <w:t>du scénario bas</w:t>
      </w:r>
      <w:r w:rsidR="00EE3E01">
        <w:t xml:space="preserve"> est</w:t>
      </w:r>
      <w:r w:rsidRPr="00A51C82">
        <w:t xml:space="preserve"> inférieur à chacun des trois effets pris isolément</w:t>
      </w:r>
      <w:r w:rsidR="00EE3E01">
        <w:t xml:space="preserve">, et est assuré, en l’absence de modèle intégré permettant de vérifier le niveau vraisemblable des doubles comptes entre les trois effets, </w:t>
      </w:r>
      <w:r w:rsidR="00EE3E01" w:rsidRPr="00EE3E01">
        <w:t>attractivité, amélioration du marché du travail, et réduction des coûts des entreprises</w:t>
      </w:r>
      <w:r w:rsidRPr="00A51C82">
        <w:t xml:space="preserve">. </w:t>
      </w:r>
      <w:r w:rsidR="00796E6D">
        <w:t>Ce</w:t>
      </w:r>
      <w:r w:rsidR="00EE3E01">
        <w:t xml:space="preserve"> choix</w:t>
      </w:r>
      <w:r w:rsidR="00796E6D">
        <w:t xml:space="preserve"> </w:t>
      </w:r>
      <w:r w:rsidR="00EE3E01">
        <w:t xml:space="preserve">garantit la </w:t>
      </w:r>
      <w:r w:rsidR="009908F1">
        <w:t>prudence</w:t>
      </w:r>
      <w:r w:rsidR="00EE3E01">
        <w:t xml:space="preserve"> de l’évaluation mais </w:t>
      </w:r>
      <w:r w:rsidR="00796E6D">
        <w:t xml:space="preserve">a </w:t>
      </w:r>
      <w:r w:rsidR="00EE3E01">
        <w:t>sûrement</w:t>
      </w:r>
      <w:r w:rsidR="00796E6D">
        <w:t xml:space="preserve"> pour effet de sous-estimer significativement les gains de surplus causés par ces emplois nouveaux à long terme</w:t>
      </w:r>
      <w:r w:rsidR="00EE3E01">
        <w:t xml:space="preserve"> et donc la rentabilité calculée dans cette évaluation de l’utilité publique du projet</w:t>
      </w:r>
      <w:r w:rsidR="00796E6D">
        <w:t>.</w:t>
      </w:r>
    </w:p>
    <w:p w14:paraId="7479665C" w14:textId="77777777" w:rsidR="004A336F" w:rsidRPr="00A51C82" w:rsidRDefault="004A336F" w:rsidP="004A336F">
      <w:pPr>
        <w:ind w:left="720"/>
        <w:jc w:val="both"/>
      </w:pPr>
    </w:p>
    <w:p w14:paraId="7058C8C9" w14:textId="23C1A52D" w:rsidR="00A51C82" w:rsidRDefault="00A51C82" w:rsidP="0083506E">
      <w:pPr>
        <w:numPr>
          <w:ilvl w:val="0"/>
          <w:numId w:val="7"/>
        </w:numPr>
        <w:jc w:val="both"/>
      </w:pPr>
      <w:r w:rsidRPr="00A51C82">
        <w:t xml:space="preserve">les </w:t>
      </w:r>
      <w:r w:rsidRPr="001C132F">
        <w:rPr>
          <w:b/>
        </w:rPr>
        <w:t>« effets d’agglomération </w:t>
      </w:r>
      <w:r w:rsidRPr="00A51C82">
        <w:t xml:space="preserve">: le métro automatique aura un effet structurant sur l’agglomération parisienne, en générant une réallocation significative de la croissance des emplois vers des zones de </w:t>
      </w:r>
      <w:r w:rsidR="00463608">
        <w:t xml:space="preserve">plus </w:t>
      </w:r>
      <w:r w:rsidRPr="00A51C82">
        <w:t xml:space="preserve">forte </w:t>
      </w:r>
      <w:r w:rsidRPr="00463608">
        <w:t>productivité</w:t>
      </w:r>
      <w:r w:rsidR="00C51DCA" w:rsidRPr="00463608">
        <w:t>,</w:t>
      </w:r>
      <w:r w:rsidRPr="00463608">
        <w:t xml:space="preserve"> et </w:t>
      </w:r>
      <w:r w:rsidRPr="00A51C82">
        <w:t xml:space="preserve">les entreprises </w:t>
      </w:r>
      <w:r w:rsidR="00C51DCA" w:rsidRPr="00463608">
        <w:t xml:space="preserve">verront </w:t>
      </w:r>
      <w:r w:rsidRPr="00A51C82">
        <w:t xml:space="preserve">leur productivité améliorée </w:t>
      </w:r>
      <w:r w:rsidR="00463608">
        <w:t xml:space="preserve">par </w:t>
      </w:r>
      <w:r w:rsidRPr="00A51C82">
        <w:t>des externalités lié</w:t>
      </w:r>
      <w:r w:rsidR="00463608">
        <w:t>e</w:t>
      </w:r>
      <w:r w:rsidRPr="00A51C82">
        <w:t xml:space="preserve">s à la proximité </w:t>
      </w:r>
      <w:r w:rsidR="00563A0B">
        <w:t>(</w:t>
      </w:r>
      <w:r w:rsidR="00563A0B" w:rsidRPr="00A51C82">
        <w:t xml:space="preserve">meilleure diffusion du progrès technologique </w:t>
      </w:r>
      <w:r w:rsidRPr="00A51C82">
        <w:t>ainsi que meilleure adaptation de leurs facteurs de production à leurs besoins</w:t>
      </w:r>
      <w:r w:rsidR="00563A0B">
        <w:t xml:space="preserve">, </w:t>
      </w:r>
      <w:r w:rsidRPr="00A51C82">
        <w:t xml:space="preserve">spécialisation du personnel aux besoins spécifiques de l’entreprise). </w:t>
      </w:r>
      <w:r w:rsidR="00831ADB" w:rsidRPr="00831ADB">
        <w:t xml:space="preserve">Cette augmentation de la production à quantité de facteurs de production donnée résulte de l’amélioration de la proximité entre les entreprises et entre les travailleurs aussi bien du fait de la réduction des temps de transports (effet d’accessibilité) que d’une augmentation de la densité des emplois. </w:t>
      </w:r>
      <w:r w:rsidR="00463608">
        <w:t>La littérature offre deux</w:t>
      </w:r>
      <w:r w:rsidRPr="00A51C82">
        <w:t xml:space="preserve"> méthodes </w:t>
      </w:r>
      <w:r w:rsidR="00463608">
        <w:t xml:space="preserve">complémentaires entre elles </w:t>
      </w:r>
      <w:r w:rsidRPr="00A51C82">
        <w:t xml:space="preserve">pour évaluer les effets dits d’agglomération : </w:t>
      </w:r>
    </w:p>
    <w:p w14:paraId="191BC07B" w14:textId="77777777" w:rsidR="004A336F" w:rsidRPr="00A51C82" w:rsidRDefault="004A336F" w:rsidP="004A336F">
      <w:pPr>
        <w:ind w:left="720"/>
        <w:jc w:val="both"/>
      </w:pPr>
    </w:p>
    <w:p w14:paraId="37636392" w14:textId="4312CEE7" w:rsidR="000E553C" w:rsidRPr="009447B0" w:rsidRDefault="001C132F" w:rsidP="009908F1">
      <w:pPr>
        <w:numPr>
          <w:ilvl w:val="0"/>
          <w:numId w:val="27"/>
        </w:numPr>
        <w:jc w:val="both"/>
      </w:pPr>
      <w:r>
        <w:t>l</w:t>
      </w:r>
      <w:r w:rsidR="00A51C82" w:rsidRPr="00A51C82">
        <w:t xml:space="preserve">e </w:t>
      </w:r>
      <w:r w:rsidR="00463608">
        <w:t xml:space="preserve">premier type de </w:t>
      </w:r>
      <w:r w:rsidR="00A51C82" w:rsidRPr="00A51C82">
        <w:t xml:space="preserve">calcul évalue les </w:t>
      </w:r>
      <w:r w:rsidR="00A51C82" w:rsidRPr="009908F1">
        <w:rPr>
          <w:b/>
          <w:bCs/>
        </w:rPr>
        <w:t xml:space="preserve">effets d’agglomération liés </w:t>
      </w:r>
      <w:r w:rsidR="00463608" w:rsidRPr="009908F1">
        <w:rPr>
          <w:b/>
          <w:bCs/>
        </w:rPr>
        <w:t xml:space="preserve">uniquement </w:t>
      </w:r>
      <w:r w:rsidR="00A51C82" w:rsidRPr="009908F1">
        <w:rPr>
          <w:b/>
          <w:bCs/>
        </w:rPr>
        <w:t xml:space="preserve">à la densification </w:t>
      </w:r>
      <w:r w:rsidR="00563A0B" w:rsidRPr="009908F1">
        <w:rPr>
          <w:b/>
          <w:bCs/>
        </w:rPr>
        <w:t xml:space="preserve">physique </w:t>
      </w:r>
      <w:r w:rsidR="00A51C82" w:rsidRPr="009908F1">
        <w:rPr>
          <w:b/>
          <w:bCs/>
        </w:rPr>
        <w:t>des emplois</w:t>
      </w:r>
      <w:r w:rsidR="00563A0B" w:rsidRPr="009908F1">
        <w:rPr>
          <w:b/>
          <w:bCs/>
        </w:rPr>
        <w:t xml:space="preserve"> </w:t>
      </w:r>
      <w:r w:rsidR="00563A0B">
        <w:t xml:space="preserve">par des estimations économétriques directes de </w:t>
      </w:r>
      <w:r w:rsidR="00563A0B" w:rsidRPr="00A51C82">
        <w:t xml:space="preserve">l’élasticité de la productivité par rapport à la </w:t>
      </w:r>
      <w:r w:rsidR="00830DC0" w:rsidRPr="00A51C82">
        <w:t>densité</w:t>
      </w:r>
      <w:r w:rsidR="00830DC0">
        <w:t>.</w:t>
      </w:r>
      <w:r w:rsidR="00A51C82" w:rsidRPr="00A51C82">
        <w:t xml:space="preserve"> La Société du Grand Paris avait fait réaliser une revue de littérature concernant les gains d’agglomérations liés à la densité </w:t>
      </w:r>
      <w:r w:rsidR="00463608">
        <w:t xml:space="preserve">qui avait été un prélude à une étude économétrique rigoureuse du lien entre productivité et densité </w:t>
      </w:r>
      <w:r w:rsidR="00563A0B">
        <w:t xml:space="preserve">physique </w:t>
      </w:r>
      <w:r w:rsidR="00463608">
        <w:t>portant sur l’ensemble des territoires français</w:t>
      </w:r>
      <w:r w:rsidR="00463608" w:rsidRPr="00A51C82">
        <w:t xml:space="preserve"> ;</w:t>
      </w:r>
      <w:r w:rsidR="00A51C82" w:rsidRPr="00A51C82">
        <w:t xml:space="preserve"> la méthodologie de calcul </w:t>
      </w:r>
      <w:r w:rsidR="004A336F">
        <w:t xml:space="preserve">des dossiers d’enquête publique de 2013 à 2016 </w:t>
      </w:r>
      <w:r w:rsidR="00A51C82" w:rsidRPr="00A51C82">
        <w:t xml:space="preserve">était basée sur les </w:t>
      </w:r>
      <w:r w:rsidR="00A51C82" w:rsidRPr="009447B0">
        <w:t xml:space="preserve">conclusions de cette étude. </w:t>
      </w:r>
      <w:r w:rsidR="00463608">
        <w:t>L</w:t>
      </w:r>
      <w:r w:rsidR="00A51C82" w:rsidRPr="009447B0">
        <w:t xml:space="preserve">’élasticité alors utilisée correspondait </w:t>
      </w:r>
      <w:r w:rsidR="00463608">
        <w:t xml:space="preserve">cependant </w:t>
      </w:r>
      <w:r w:rsidR="00A51C82" w:rsidRPr="009447B0">
        <w:t>à une moyenne nationale et n’</w:t>
      </w:r>
      <w:r w:rsidR="00BE5F54" w:rsidRPr="009447B0">
        <w:t>intégrait</w:t>
      </w:r>
      <w:r w:rsidR="00A51C82" w:rsidRPr="009447B0">
        <w:t xml:space="preserve"> ni le caractère spécifique de l’économie de l’Île-de-France, ni les effets de spécialisation des grandes métropoles, </w:t>
      </w:r>
      <w:r w:rsidR="00463608">
        <w:t>ni les effets d’</w:t>
      </w:r>
      <w:r w:rsidR="000E553C">
        <w:t>apprentissage</w:t>
      </w:r>
      <w:r w:rsidR="00463608">
        <w:t xml:space="preserve"> dynamiques de la productivité des personnes situées dans des zones de plus forte productivité</w:t>
      </w:r>
      <w:r w:rsidR="000E553C">
        <w:t xml:space="preserve">. Elle ne </w:t>
      </w:r>
      <w:r w:rsidR="00A51C82" w:rsidRPr="009447B0">
        <w:t>prenait pas en compte</w:t>
      </w:r>
      <w:r w:rsidR="000E553C">
        <w:t xml:space="preserve"> non plus </w:t>
      </w:r>
      <w:r w:rsidR="00A51C82" w:rsidRPr="009447B0">
        <w:t xml:space="preserve">les </w:t>
      </w:r>
      <w:r w:rsidR="000E553C">
        <w:t>gains</w:t>
      </w:r>
      <w:r w:rsidR="00A51C82" w:rsidRPr="009447B0">
        <w:t xml:space="preserve"> de productivité </w:t>
      </w:r>
      <w:r w:rsidR="000E553C">
        <w:t>entraînés par les</w:t>
      </w:r>
      <w:r w:rsidR="00A51C82" w:rsidRPr="00A51C82">
        <w:t xml:space="preserve"> améliorations de l’accessibilité</w:t>
      </w:r>
      <w:r w:rsidR="000E553C">
        <w:t xml:space="preserve"> interne dans une métropole du fait de la mise en service d’une infrastructure de transport, même quand ne se produisent pas de modification</w:t>
      </w:r>
      <w:r w:rsidR="00427C6D">
        <w:t>s</w:t>
      </w:r>
      <w:r w:rsidR="000E553C">
        <w:t xml:space="preserve"> de la location de la croissance des emplois du fait de la réalisation de cette infrastructure ; la mesure de ces effets demande que l’on prenne explicitement en compte les variations d’accessibilité comme on va le voir au paragraphe ci-dessous</w:t>
      </w:r>
      <w:r w:rsidR="00A51C82" w:rsidRPr="00A51C82">
        <w:t xml:space="preserve">. </w:t>
      </w:r>
      <w:r w:rsidR="000E553C" w:rsidRPr="0073613B">
        <w:t xml:space="preserve">C’est ce calcul qui a été effectué à nouveau dans la présente évaluation mais il faut être conscient qu’il </w:t>
      </w:r>
      <w:r w:rsidR="00A51C82" w:rsidRPr="0073613B">
        <w:t>sous-estim</w:t>
      </w:r>
      <w:r w:rsidR="000E553C" w:rsidRPr="0073613B">
        <w:t>e fortement les effets d’agglomération, d’un montant qui est compris entre 10 et 20 milliards d’euros pour l’évaluation de l’impact du Grand Paris Express</w:t>
      </w:r>
      <w:r w:rsidR="001E1765" w:rsidRPr="00222C3E">
        <w:t xml:space="preserve">, pour un montant de presque 12 milliards d’effets d’agglomération tel que repris dans </w:t>
      </w:r>
      <w:r w:rsidR="00222C3E" w:rsidRPr="00222C3E">
        <w:t>ce document</w:t>
      </w:r>
      <w:r w:rsidR="000E553C" w:rsidRPr="00222C3E">
        <w:t>.</w:t>
      </w:r>
    </w:p>
    <w:p w14:paraId="6F44ECD8" w14:textId="0F2D58F7" w:rsidR="00EE3E01" w:rsidRPr="0073613B" w:rsidRDefault="00563A0B" w:rsidP="0083506E">
      <w:pPr>
        <w:numPr>
          <w:ilvl w:val="0"/>
          <w:numId w:val="27"/>
        </w:numPr>
        <w:jc w:val="both"/>
      </w:pPr>
      <w:r w:rsidRPr="0073613B">
        <w:t>u</w:t>
      </w:r>
      <w:r w:rsidR="000E553C" w:rsidRPr="0073613B">
        <w:t xml:space="preserve">ne méthode complémentaire d’évaluation, en partie additionnable à celle exposée si dessus, </w:t>
      </w:r>
      <w:r w:rsidR="00427C6D" w:rsidRPr="0073613B">
        <w:t>évite cet</w:t>
      </w:r>
      <w:r w:rsidR="009908F1">
        <w:t>te sous-estimation</w:t>
      </w:r>
      <w:r w:rsidR="00427C6D" w:rsidRPr="0073613B">
        <w:t xml:space="preserve"> et </w:t>
      </w:r>
      <w:r w:rsidR="000E553C" w:rsidRPr="0073613B">
        <w:t xml:space="preserve">est </w:t>
      </w:r>
      <w:r w:rsidR="00A51C82" w:rsidRPr="0073613B">
        <w:t xml:space="preserve">basée </w:t>
      </w:r>
      <w:r w:rsidR="000E553C" w:rsidRPr="0073613B">
        <w:t xml:space="preserve">soit </w:t>
      </w:r>
      <w:r w:rsidR="00A51C82" w:rsidRPr="0073613B">
        <w:t xml:space="preserve">sur les </w:t>
      </w:r>
      <w:r w:rsidR="00A51C82" w:rsidRPr="009908F1">
        <w:rPr>
          <w:b/>
          <w:bCs/>
        </w:rPr>
        <w:t>variations d’</w:t>
      </w:r>
      <w:r w:rsidR="00BE5F54" w:rsidRPr="009908F1">
        <w:rPr>
          <w:b/>
          <w:bCs/>
        </w:rPr>
        <w:t>accessibilité</w:t>
      </w:r>
      <w:r w:rsidR="00A51C82" w:rsidRPr="009908F1">
        <w:rPr>
          <w:b/>
          <w:bCs/>
        </w:rPr>
        <w:t xml:space="preserve"> </w:t>
      </w:r>
      <w:r w:rsidR="00A51C82" w:rsidRPr="0073613B">
        <w:t>(</w:t>
      </w:r>
      <w:r w:rsidR="000E553C" w:rsidRPr="0073613B">
        <w:t xml:space="preserve">c’est </w:t>
      </w:r>
      <w:r w:rsidR="00A51C82" w:rsidRPr="0073613B">
        <w:t>la « méthode anglaise » du paragraphe suivant</w:t>
      </w:r>
      <w:r w:rsidR="0088040D" w:rsidRPr="0073613B">
        <w:t>), soit</w:t>
      </w:r>
      <w:r w:rsidR="00A51C82" w:rsidRPr="0073613B">
        <w:t xml:space="preserve"> sur l’</w:t>
      </w:r>
      <w:r w:rsidR="000E553C" w:rsidRPr="0073613B">
        <w:t>augmentation</w:t>
      </w:r>
      <w:r w:rsidR="00A51C82" w:rsidRPr="0073613B">
        <w:t xml:space="preserve"> du potentiel de marché de chacune des zones du fait de l’amélioration de l’accessibilité de leurs entreprises à leurs clients et fournisseurs</w:t>
      </w:r>
      <w:r w:rsidR="000E553C" w:rsidRPr="0073613B">
        <w:t>. Ces effets d’agglomération se produisent en toute hypothèse avec la mise en service d’une infrastructure nouvelle</w:t>
      </w:r>
      <w:r w:rsidRPr="0073613B">
        <w:t>,</w:t>
      </w:r>
      <w:r w:rsidR="006C0DE9" w:rsidRPr="0073613B">
        <w:t> </w:t>
      </w:r>
      <w:r w:rsidR="0088040D" w:rsidRPr="0073613B">
        <w:t xml:space="preserve">même en l’absence d’une variation de la </w:t>
      </w:r>
      <w:r w:rsidRPr="0073613B">
        <w:t xml:space="preserve">localisation et de la </w:t>
      </w:r>
      <w:r w:rsidR="0088040D" w:rsidRPr="0073613B">
        <w:t xml:space="preserve">densité des emplois. </w:t>
      </w:r>
    </w:p>
    <w:p w14:paraId="423F0205" w14:textId="77777777" w:rsidR="00EE3E01" w:rsidRDefault="00EE3E01" w:rsidP="00EE3E01">
      <w:pPr>
        <w:pStyle w:val="Paragraphedeliste"/>
        <w:rPr>
          <w:rFonts w:cs="Arial"/>
          <w:szCs w:val="20"/>
          <w:lang w:eastAsia="fr-FR"/>
        </w:rPr>
      </w:pPr>
    </w:p>
    <w:p w14:paraId="632FC752" w14:textId="1A320B85" w:rsidR="00C85D1F" w:rsidRDefault="0088040D" w:rsidP="00EE3E01">
      <w:pPr>
        <w:jc w:val="both"/>
        <w:rPr>
          <w:rFonts w:cs="Arial"/>
          <w:szCs w:val="20"/>
          <w:lang w:eastAsia="fr-FR"/>
        </w:rPr>
      </w:pPr>
      <w:r>
        <w:rPr>
          <w:rFonts w:cs="Arial"/>
          <w:szCs w:val="20"/>
          <w:lang w:eastAsia="fr-FR"/>
        </w:rPr>
        <w:t>Les</w:t>
      </w:r>
      <w:r w:rsidR="006C0DE9">
        <w:rPr>
          <w:rFonts w:cs="Arial"/>
          <w:szCs w:val="20"/>
          <w:lang w:eastAsia="fr-FR"/>
        </w:rPr>
        <w:t xml:space="preserve"> résultats de</w:t>
      </w:r>
      <w:r w:rsidR="00427C6D">
        <w:rPr>
          <w:rFonts w:cs="Arial"/>
          <w:szCs w:val="20"/>
          <w:lang w:eastAsia="fr-FR"/>
        </w:rPr>
        <w:t xml:space="preserve"> ce</w:t>
      </w:r>
      <w:r w:rsidR="006C0DE9">
        <w:rPr>
          <w:rFonts w:cs="Arial"/>
          <w:szCs w:val="20"/>
          <w:lang w:eastAsia="fr-FR"/>
        </w:rPr>
        <w:t>s deux méthodes</w:t>
      </w:r>
      <w:r>
        <w:rPr>
          <w:rFonts w:cs="Arial"/>
          <w:szCs w:val="20"/>
          <w:lang w:eastAsia="fr-FR"/>
        </w:rPr>
        <w:t xml:space="preserve"> possibles, soit en utilisant les variations d’accessibilité soit en utilisant les variations de potentiel de marché,</w:t>
      </w:r>
      <w:r w:rsidR="006C0DE9">
        <w:rPr>
          <w:rFonts w:cs="Arial"/>
          <w:szCs w:val="20"/>
          <w:lang w:eastAsia="fr-FR"/>
        </w:rPr>
        <w:t xml:space="preserve"> </w:t>
      </w:r>
      <w:r w:rsidR="00A51C82" w:rsidRPr="001C132F">
        <w:rPr>
          <w:rFonts w:cs="Arial"/>
          <w:szCs w:val="20"/>
          <w:lang w:eastAsia="fr-FR"/>
        </w:rPr>
        <w:t>peu</w:t>
      </w:r>
      <w:r w:rsidR="006C0DE9">
        <w:rPr>
          <w:rFonts w:cs="Arial"/>
          <w:szCs w:val="20"/>
          <w:lang w:eastAsia="fr-FR"/>
        </w:rPr>
        <w:t>ven</w:t>
      </w:r>
      <w:r w:rsidR="00A51C82" w:rsidRPr="001C132F">
        <w:rPr>
          <w:rFonts w:cs="Arial"/>
          <w:szCs w:val="20"/>
          <w:lang w:eastAsia="fr-FR"/>
        </w:rPr>
        <w:t>t êt</w:t>
      </w:r>
      <w:r w:rsidR="006C0DE9">
        <w:rPr>
          <w:rFonts w:cs="Arial"/>
          <w:szCs w:val="20"/>
          <w:lang w:eastAsia="fr-FR"/>
        </w:rPr>
        <w:t>r</w:t>
      </w:r>
      <w:r w:rsidR="00A51C82" w:rsidRPr="001C132F">
        <w:rPr>
          <w:rFonts w:cs="Arial"/>
          <w:szCs w:val="20"/>
          <w:lang w:eastAsia="fr-FR"/>
        </w:rPr>
        <w:t>e additionné</w:t>
      </w:r>
      <w:r w:rsidR="006C0DE9">
        <w:rPr>
          <w:rFonts w:cs="Arial"/>
          <w:szCs w:val="20"/>
          <w:lang w:eastAsia="fr-FR"/>
        </w:rPr>
        <w:t>s</w:t>
      </w:r>
      <w:r w:rsidR="00A51C82" w:rsidRPr="001C132F">
        <w:rPr>
          <w:rFonts w:cs="Arial"/>
          <w:szCs w:val="20"/>
          <w:lang w:eastAsia="fr-FR"/>
        </w:rPr>
        <w:t xml:space="preserve"> en large part aux effets de densification. </w:t>
      </w:r>
      <w:r>
        <w:rPr>
          <w:rFonts w:cs="Arial"/>
          <w:szCs w:val="20"/>
          <w:lang w:eastAsia="fr-FR"/>
        </w:rPr>
        <w:t>Des</w:t>
      </w:r>
      <w:r w:rsidR="004A336F" w:rsidRPr="001C132F">
        <w:rPr>
          <w:rFonts w:cs="Arial"/>
          <w:szCs w:val="20"/>
          <w:lang w:eastAsia="fr-FR"/>
        </w:rPr>
        <w:t xml:space="preserve"> calculs d’estimation </w:t>
      </w:r>
      <w:r>
        <w:rPr>
          <w:rFonts w:cs="Arial"/>
          <w:szCs w:val="20"/>
          <w:lang w:eastAsia="fr-FR"/>
        </w:rPr>
        <w:t>ont ainsi été effectués</w:t>
      </w:r>
      <w:r w:rsidR="004A336F" w:rsidRPr="001C132F">
        <w:rPr>
          <w:rFonts w:cs="Arial"/>
          <w:szCs w:val="20"/>
          <w:lang w:eastAsia="fr-FR"/>
        </w:rPr>
        <w:t xml:space="preserve"> </w:t>
      </w:r>
      <w:r w:rsidR="006C0DE9">
        <w:rPr>
          <w:rFonts w:cs="Arial"/>
          <w:szCs w:val="20"/>
          <w:lang w:eastAsia="fr-FR"/>
        </w:rPr>
        <w:t xml:space="preserve">pour </w:t>
      </w:r>
      <w:r w:rsidR="00A51C82" w:rsidRPr="001C132F">
        <w:rPr>
          <w:rFonts w:cs="Arial"/>
          <w:szCs w:val="20"/>
          <w:lang w:eastAsia="fr-FR"/>
        </w:rPr>
        <w:t>l</w:t>
      </w:r>
      <w:r w:rsidR="004A336F" w:rsidRPr="001C132F">
        <w:rPr>
          <w:rFonts w:cs="Arial"/>
          <w:szCs w:val="20"/>
          <w:lang w:eastAsia="fr-FR"/>
        </w:rPr>
        <w:t>a</w:t>
      </w:r>
      <w:r w:rsidR="00A51C82" w:rsidRPr="001C132F">
        <w:rPr>
          <w:rFonts w:cs="Arial"/>
          <w:szCs w:val="20"/>
          <w:lang w:eastAsia="fr-FR"/>
        </w:rPr>
        <w:t xml:space="preserve"> </w:t>
      </w:r>
      <w:r w:rsidR="004A336F" w:rsidRPr="001C132F">
        <w:rPr>
          <w:rFonts w:cs="Arial"/>
          <w:szCs w:val="20"/>
          <w:lang w:eastAsia="fr-FR"/>
        </w:rPr>
        <w:t>France</w:t>
      </w:r>
      <w:r w:rsidR="00A51C82" w:rsidRPr="00A51C82">
        <w:rPr>
          <w:rFonts w:cs="Arial"/>
          <w:szCs w:val="20"/>
          <w:vertAlign w:val="superscript"/>
          <w:lang w:eastAsia="fr-FR"/>
        </w:rPr>
        <w:footnoteReference w:id="6"/>
      </w:r>
      <w:r>
        <w:rPr>
          <w:rFonts w:cs="Arial"/>
          <w:szCs w:val="20"/>
          <w:lang w:eastAsia="fr-FR"/>
        </w:rPr>
        <w:t>. Ils fournissent des résultats nettement plus élevés pour l’estimation des effets d’agglomération</w:t>
      </w:r>
      <w:r w:rsidR="004A336F" w:rsidRPr="001C132F">
        <w:rPr>
          <w:rFonts w:cs="Arial"/>
          <w:szCs w:val="20"/>
          <w:lang w:eastAsia="fr-FR"/>
        </w:rPr>
        <w:t xml:space="preserve"> </w:t>
      </w:r>
      <w:r w:rsidR="009908F1">
        <w:rPr>
          <w:rFonts w:cs="Arial"/>
          <w:szCs w:val="20"/>
          <w:lang w:eastAsia="fr-FR"/>
        </w:rPr>
        <w:t xml:space="preserve">si on retient les deux termes ensemble, ceux de la densification physique des emplois et ceux dus au potentiel de marché, </w:t>
      </w:r>
      <w:r w:rsidR="004A336F" w:rsidRPr="001C132F">
        <w:rPr>
          <w:rFonts w:cs="Arial"/>
          <w:szCs w:val="20"/>
          <w:lang w:eastAsia="fr-FR"/>
        </w:rPr>
        <w:t xml:space="preserve">mais </w:t>
      </w:r>
      <w:r>
        <w:rPr>
          <w:rFonts w:cs="Arial"/>
          <w:szCs w:val="20"/>
          <w:lang w:eastAsia="fr-FR"/>
        </w:rPr>
        <w:t xml:space="preserve">la qualité économétrique est moins robuste </w:t>
      </w:r>
      <w:r w:rsidR="009908F1">
        <w:rPr>
          <w:rFonts w:cs="Arial"/>
          <w:szCs w:val="20"/>
          <w:lang w:eastAsia="fr-FR"/>
        </w:rPr>
        <w:t xml:space="preserve">dans ce cas </w:t>
      </w:r>
      <w:r>
        <w:rPr>
          <w:rFonts w:cs="Arial"/>
          <w:szCs w:val="20"/>
          <w:lang w:eastAsia="fr-FR"/>
        </w:rPr>
        <w:t xml:space="preserve">et donc </w:t>
      </w:r>
      <w:r w:rsidR="009908F1">
        <w:rPr>
          <w:rFonts w:cs="Arial"/>
          <w:szCs w:val="20"/>
          <w:lang w:eastAsia="fr-FR"/>
        </w:rPr>
        <w:t>l</w:t>
      </w:r>
      <w:r>
        <w:rPr>
          <w:rFonts w:cs="Arial"/>
          <w:szCs w:val="20"/>
          <w:lang w:eastAsia="fr-FR"/>
        </w:rPr>
        <w:t xml:space="preserve">es </w:t>
      </w:r>
      <w:r w:rsidR="009908F1">
        <w:rPr>
          <w:rFonts w:cs="Arial"/>
          <w:szCs w:val="20"/>
          <w:lang w:eastAsia="fr-FR"/>
        </w:rPr>
        <w:t>effets liés au potentiel de marché</w:t>
      </w:r>
      <w:r>
        <w:rPr>
          <w:rFonts w:cs="Arial"/>
          <w:szCs w:val="20"/>
          <w:lang w:eastAsia="fr-FR"/>
        </w:rPr>
        <w:t xml:space="preserve"> n’ont </w:t>
      </w:r>
      <w:r w:rsidR="004A336F" w:rsidRPr="001C132F">
        <w:rPr>
          <w:rFonts w:cs="Arial"/>
          <w:szCs w:val="20"/>
          <w:lang w:eastAsia="fr-FR"/>
        </w:rPr>
        <w:t>pas été intégrés dans le</w:t>
      </w:r>
      <w:r w:rsidR="0025398D">
        <w:rPr>
          <w:rFonts w:cs="Arial"/>
          <w:szCs w:val="20"/>
          <w:lang w:eastAsia="fr-FR"/>
        </w:rPr>
        <w:t xml:space="preserve"> présent calcul des </w:t>
      </w:r>
      <w:r w:rsidR="004A336F" w:rsidRPr="001C132F">
        <w:rPr>
          <w:rFonts w:cs="Arial"/>
          <w:szCs w:val="20"/>
          <w:lang w:eastAsia="fr-FR"/>
        </w:rPr>
        <w:t>bénéfices du Grand Paris Express</w:t>
      </w:r>
      <w:r w:rsidR="00A51C82" w:rsidRPr="001C132F">
        <w:rPr>
          <w:rFonts w:cs="Arial"/>
          <w:szCs w:val="20"/>
          <w:lang w:eastAsia="fr-FR"/>
        </w:rPr>
        <w:t xml:space="preserve">. </w:t>
      </w:r>
    </w:p>
    <w:p w14:paraId="4F5EDC99" w14:textId="77777777" w:rsidR="00EE3E01" w:rsidRPr="002A7FB3" w:rsidRDefault="00EE3E01" w:rsidP="00EE3E01">
      <w:pPr>
        <w:jc w:val="both"/>
        <w:rPr>
          <w:szCs w:val="20"/>
        </w:rPr>
      </w:pPr>
    </w:p>
    <w:p w14:paraId="76CC928F" w14:textId="1525E4EE" w:rsidR="00A51C82" w:rsidRDefault="00C85D1F" w:rsidP="00C85D1F">
      <w:pPr>
        <w:jc w:val="both"/>
      </w:pPr>
      <w:r>
        <w:t xml:space="preserve">Le </w:t>
      </w:r>
      <w:r w:rsidR="00EE3E01">
        <w:t>De</w:t>
      </w:r>
      <w:r>
        <w:t xml:space="preserve">partement </w:t>
      </w:r>
      <w:r w:rsidR="00EE3E01">
        <w:t xml:space="preserve">of Transports </w:t>
      </w:r>
      <w:r w:rsidR="00A51C82" w:rsidRPr="00A51C82">
        <w:t>anglais</w:t>
      </w:r>
      <w:r>
        <w:t xml:space="preserve"> utilise une méthode conjuguant les deux types de bénéfices, de densité et d’accessibilité, dans le </w:t>
      </w:r>
      <w:r w:rsidR="00A51C82" w:rsidRPr="00A51C82">
        <w:t>calcul des Wider Economic Benefits (WEB)</w:t>
      </w:r>
      <w:r>
        <w:t> ; cette méthode</w:t>
      </w:r>
      <w:r w:rsidR="00A51C82" w:rsidRPr="00A51C82">
        <w:t xml:space="preserve"> a été retenue pour l’évaluation des effets du projet Crossrail de Londres : les effets sur la productivité ou </w:t>
      </w:r>
      <w:r w:rsidR="00A51C82" w:rsidRPr="00A51C82">
        <w:lastRenderedPageBreak/>
        <w:t>plus généralement les effets socio-économiques élargis font aujourd’hui partie de la procédure d’évaluation économique en vigueur en Grande Bretagne. Le</w:t>
      </w:r>
      <w:r w:rsidR="003A44EF" w:rsidRPr="00A51C82">
        <w:t xml:space="preserve"> « Transport</w:t>
      </w:r>
      <w:r w:rsidR="00A51C82" w:rsidRPr="00A51C82">
        <w:t xml:space="preserve"> Analysis </w:t>
      </w:r>
      <w:r w:rsidR="003A44EF" w:rsidRPr="00A51C82">
        <w:t>Guidance »</w:t>
      </w:r>
      <w:r w:rsidR="00A51C82" w:rsidRPr="00A51C82">
        <w:t xml:space="preserve"> (TAG 3.5.14) du Department of Transport anglais présente une méthodologie de calcul des différents sous-effets. Dans la terminologie anglaise, les WEB comptent </w:t>
      </w:r>
      <w:r w:rsidR="00563A0B">
        <w:t>trois</w:t>
      </w:r>
      <w:r w:rsidR="00A51C82" w:rsidRPr="00A51C82">
        <w:t xml:space="preserve"> phénomènes distincts dont le premier, </w:t>
      </w:r>
      <w:r w:rsidR="00563A0B">
        <w:t xml:space="preserve">référencé </w:t>
      </w:r>
      <w:r w:rsidR="00A51C82" w:rsidRPr="00A51C82">
        <w:t>WI1</w:t>
      </w:r>
      <w:r w:rsidR="00563A0B">
        <w:t>,</w:t>
      </w:r>
      <w:r w:rsidR="00A51C82" w:rsidRPr="00A51C82">
        <w:t xml:space="preserve"> est communément appelé «</w:t>
      </w:r>
      <w:r w:rsidR="00563A0B">
        <w:t> A</w:t>
      </w:r>
      <w:r w:rsidR="00A51C82" w:rsidRPr="00A51C82">
        <w:t>gglom</w:t>
      </w:r>
      <w:r w:rsidR="00A02036">
        <w:t>e</w:t>
      </w:r>
      <w:r w:rsidR="00A51C82" w:rsidRPr="00A51C82">
        <w:t xml:space="preserve">ration </w:t>
      </w:r>
      <w:r w:rsidR="00563A0B">
        <w:t xml:space="preserve">impacts </w:t>
      </w:r>
      <w:r w:rsidR="00A51C82" w:rsidRPr="00A51C82">
        <w:t>» ; il correspond au</w:t>
      </w:r>
      <w:r w:rsidR="00896DCF">
        <w:t>x</w:t>
      </w:r>
      <w:r w:rsidR="00A51C82" w:rsidRPr="00A51C82">
        <w:t xml:space="preserve"> gain</w:t>
      </w:r>
      <w:r w:rsidR="00896DCF">
        <w:t>s</w:t>
      </w:r>
      <w:r w:rsidR="00A51C82" w:rsidRPr="00A51C82">
        <w:t xml:space="preserve"> de</w:t>
      </w:r>
      <w:r w:rsidR="00896DCF">
        <w:t xml:space="preserve"> productivité</w:t>
      </w:r>
      <w:r w:rsidR="00A51C82" w:rsidRPr="00A51C82">
        <w:t xml:space="preserve"> permis par le rapprochement temporel entre lieu</w:t>
      </w:r>
      <w:r w:rsidR="00896DCF">
        <w:t>x</w:t>
      </w:r>
      <w:r w:rsidR="00A51C82" w:rsidRPr="00A51C82">
        <w:t xml:space="preserve"> d’habitation et lieu</w:t>
      </w:r>
      <w:r w:rsidR="00896DCF">
        <w:t>x</w:t>
      </w:r>
      <w:r w:rsidR="00A51C82" w:rsidRPr="00A51C82">
        <w:t xml:space="preserve"> de travail ainsi qu’entre postes de travail, consécutif à une amélioration des réseaux de transport. Le calcul de WI1 se rapproche conceptuellement du calcul </w:t>
      </w:r>
      <w:r w:rsidR="009908F1">
        <w:t xml:space="preserve">des effets liés aux variations </w:t>
      </w:r>
      <w:r w:rsidR="00A51C82" w:rsidRPr="00A51C82">
        <w:t xml:space="preserve">d’accessibilité évoqué plus haut, et est réalisé à population et emplois constants. </w:t>
      </w:r>
      <w:r w:rsidR="00563A0B" w:rsidRPr="00A51C82">
        <w:t xml:space="preserve">A cet effet, calculé à partir </w:t>
      </w:r>
      <w:r w:rsidR="00563A0B">
        <w:t xml:space="preserve">de l’estimation économétrique du lien entre les gains de productivité et les </w:t>
      </w:r>
      <w:r w:rsidR="00563A0B" w:rsidRPr="00A51C82">
        <w:t>variations d’accessibilité, s’ajoute</w:t>
      </w:r>
      <w:r w:rsidR="003A55D5">
        <w:t>nt</w:t>
      </w:r>
      <w:r w:rsidR="00A02036">
        <w:t>,</w:t>
      </w:r>
      <w:r w:rsidR="00563A0B" w:rsidRPr="00A51C82">
        <w:t xml:space="preserve"> dans les directives en vigueur au </w:t>
      </w:r>
      <w:r w:rsidR="00A02036">
        <w:t>Royaume-Uni,</w:t>
      </w:r>
      <w:r w:rsidR="00563A0B" w:rsidRPr="00C85D1F">
        <w:t xml:space="preserve"> </w:t>
      </w:r>
      <w:r w:rsidR="00563A0B" w:rsidRPr="00A51C82">
        <w:t>les effets liés aux variations de densité des emplois induits par le projet, appelés « Move to more productive jobs »</w:t>
      </w:r>
      <w:r w:rsidR="003A55D5">
        <w:t xml:space="preserve"> et référencés WI3</w:t>
      </w:r>
      <w:r w:rsidR="00563A0B" w:rsidRPr="00A51C82">
        <w:t xml:space="preserve">. </w:t>
      </w:r>
      <w:r w:rsidR="00A51C82" w:rsidRPr="00A51C82">
        <w:t xml:space="preserve">La comparaison </w:t>
      </w:r>
      <w:r w:rsidR="003A55D5">
        <w:t xml:space="preserve">des résultats de cette méthode </w:t>
      </w:r>
      <w:r w:rsidR="00A51C82" w:rsidRPr="00A51C82">
        <w:t xml:space="preserve">avec les résultats du calcul direct mentionné plus haut, où on définit et calcule les effets d’agglomération par les </w:t>
      </w:r>
      <w:r w:rsidR="003A55D5">
        <w:t xml:space="preserve">seuls </w:t>
      </w:r>
      <w:r w:rsidR="00A51C82" w:rsidRPr="00A51C82">
        <w:t>gains de productivité permis par la densification physique des emplois</w:t>
      </w:r>
      <w:r w:rsidR="00211292">
        <w:t xml:space="preserve">, </w:t>
      </w:r>
      <w:r w:rsidR="00211292" w:rsidRPr="00A51C82">
        <w:t xml:space="preserve">a été faite </w:t>
      </w:r>
      <w:r w:rsidR="00211292">
        <w:t>pour le Grand Paris Express</w:t>
      </w:r>
      <w:r w:rsidR="00A51C82" w:rsidRPr="00A51C82">
        <w:t xml:space="preserve">. </w:t>
      </w:r>
      <w:r w:rsidR="00156BA6">
        <w:t xml:space="preserve">La </w:t>
      </w:r>
      <w:r w:rsidR="00A51C82" w:rsidRPr="00A51C82">
        <w:t>méthode anglaise donne des résultats deux fois supérieurs</w:t>
      </w:r>
      <w:r w:rsidR="003A55D5">
        <w:t xml:space="preserve">. Ce sont </w:t>
      </w:r>
      <w:r w:rsidR="00A02036">
        <w:t xml:space="preserve">cependant </w:t>
      </w:r>
      <w:r w:rsidR="003A55D5">
        <w:t xml:space="preserve">les résultats de </w:t>
      </w:r>
      <w:r w:rsidR="00A51C82" w:rsidRPr="00A51C82">
        <w:t xml:space="preserve">la méthode directe qui </w:t>
      </w:r>
      <w:r w:rsidR="003A55D5">
        <w:t>ont</w:t>
      </w:r>
      <w:r w:rsidR="00A51C82" w:rsidRPr="00A51C82">
        <w:t xml:space="preserve"> été retenu</w:t>
      </w:r>
      <w:r w:rsidR="003A55D5">
        <w:t>s</w:t>
      </w:r>
      <w:r w:rsidR="00A51C82" w:rsidRPr="00A51C82">
        <w:t xml:space="preserve"> par prudence dans cette évaluation</w:t>
      </w:r>
      <w:r w:rsidR="00A02036">
        <w:t xml:space="preserve"> en ayant conscience d’une forte sous-évaluation des bénéfices d’agglomération</w:t>
      </w:r>
      <w:r w:rsidR="00A51C82" w:rsidRPr="00A51C82">
        <w:t xml:space="preserve">. </w:t>
      </w:r>
    </w:p>
    <w:p w14:paraId="1289CBB2" w14:textId="77777777" w:rsidR="00C85D1F" w:rsidRDefault="00C85D1F" w:rsidP="00C85D1F">
      <w:pPr>
        <w:jc w:val="both"/>
        <w:rPr>
          <w:b/>
        </w:rPr>
      </w:pPr>
    </w:p>
    <w:p w14:paraId="4B5833BF" w14:textId="77777777" w:rsidR="00C85D1F" w:rsidRDefault="00C85D1F" w:rsidP="00C85D1F">
      <w:pPr>
        <w:ind w:left="360"/>
        <w:jc w:val="both"/>
        <w:rPr>
          <w:b/>
        </w:rPr>
      </w:pPr>
    </w:p>
    <w:p w14:paraId="72825412" w14:textId="1765CB6C" w:rsidR="00C85D1F" w:rsidRDefault="00C85D1F" w:rsidP="0083506E">
      <w:pPr>
        <w:numPr>
          <w:ilvl w:val="0"/>
          <w:numId w:val="28"/>
        </w:numPr>
        <w:jc w:val="both"/>
      </w:pPr>
      <w:r w:rsidRPr="00C85D1F">
        <w:rPr>
          <w:b/>
        </w:rPr>
        <w:t xml:space="preserve">L’étude tient </w:t>
      </w:r>
      <w:r w:rsidRPr="00A51C82">
        <w:t>également compte des effets suivants</w:t>
      </w:r>
      <w:r>
        <w:t> </w:t>
      </w:r>
      <w:r w:rsidRPr="00C85D1F">
        <w:rPr>
          <w:b/>
        </w:rPr>
        <w:t>:</w:t>
      </w:r>
    </w:p>
    <w:p w14:paraId="6BC99E23" w14:textId="77777777" w:rsidR="004A336F" w:rsidRPr="00A51C82" w:rsidRDefault="004A336F" w:rsidP="004C4CA3">
      <w:pPr>
        <w:jc w:val="both"/>
      </w:pPr>
    </w:p>
    <w:p w14:paraId="30C48C0B" w14:textId="77777777" w:rsidR="00A51C82" w:rsidRDefault="00A51C82" w:rsidP="0083506E">
      <w:pPr>
        <w:numPr>
          <w:ilvl w:val="0"/>
          <w:numId w:val="7"/>
        </w:numPr>
        <w:jc w:val="both"/>
      </w:pPr>
      <w:r w:rsidRPr="00A51C82">
        <w:t>variation des coûts des autres opérateurs de transport engendrée par les reports de trafic ;</w:t>
      </w:r>
    </w:p>
    <w:p w14:paraId="7F3D480D" w14:textId="77777777" w:rsidR="00896DCF" w:rsidRPr="00A51C82" w:rsidRDefault="00896DCF" w:rsidP="00896DCF">
      <w:pPr>
        <w:ind w:left="720"/>
        <w:jc w:val="both"/>
      </w:pPr>
    </w:p>
    <w:p w14:paraId="6D02148E" w14:textId="77777777" w:rsidR="00A51C82" w:rsidRDefault="00A51C82" w:rsidP="0083506E">
      <w:pPr>
        <w:numPr>
          <w:ilvl w:val="0"/>
          <w:numId w:val="7"/>
        </w:numPr>
        <w:jc w:val="both"/>
      </w:pPr>
      <w:r w:rsidRPr="00A51C82">
        <w:t>coûts et avantages pour les pouvoirs publics : éventuelles subventions, variations des taxes (principalement TVA et TI</w:t>
      </w:r>
      <w:r w:rsidR="00896DCF">
        <w:t>CPE, anciennement TI</w:t>
      </w:r>
      <w:r w:rsidRPr="00A51C82">
        <w:t>PP).</w:t>
      </w:r>
    </w:p>
    <w:p w14:paraId="03DB72EB" w14:textId="77777777" w:rsidR="00896DCF" w:rsidRPr="00A51C82" w:rsidRDefault="00896DCF" w:rsidP="00896DCF">
      <w:pPr>
        <w:ind w:left="720"/>
        <w:jc w:val="both"/>
      </w:pPr>
    </w:p>
    <w:p w14:paraId="14D44112" w14:textId="2A55B7F1" w:rsidR="00896DCF" w:rsidRPr="00A51C82" w:rsidRDefault="00896DCF" w:rsidP="0083506E">
      <w:pPr>
        <w:numPr>
          <w:ilvl w:val="0"/>
          <w:numId w:val="7"/>
        </w:numPr>
        <w:jc w:val="both"/>
      </w:pPr>
      <w:r>
        <w:t>les e</w:t>
      </w:r>
      <w:r w:rsidRPr="00A51C82">
        <w:t>mplois directs liés au projet</w:t>
      </w:r>
      <w:r>
        <w:t>, dits emplois de chantier car</w:t>
      </w:r>
      <w:r w:rsidRPr="00A51C82">
        <w:t xml:space="preserve"> lors de sa création, de sa réalisation et de son exploitation, le Grand Paris Express sera </w:t>
      </w:r>
      <w:r>
        <w:t xml:space="preserve">directement </w:t>
      </w:r>
      <w:r w:rsidRPr="00A51C82">
        <w:t xml:space="preserve">créateur d’emplois. </w:t>
      </w:r>
      <w:r w:rsidR="00A80D8B" w:rsidRPr="003A55D5">
        <w:t xml:space="preserve">L’instruction de juin 2014 invite à intégrer les conséquences des dépenses de chantier pour les recettes fiscales et </w:t>
      </w:r>
      <w:r w:rsidR="003352D1" w:rsidRPr="003A55D5">
        <w:t xml:space="preserve">à </w:t>
      </w:r>
      <w:r w:rsidR="00A80D8B" w:rsidRPr="003A55D5">
        <w:t>les valoriser. C’est ce qui a été fait dans ce dossier.</w:t>
      </w:r>
      <w:r w:rsidR="003A55D5">
        <w:t xml:space="preserve"> Les emplois de chantier</w:t>
      </w:r>
      <w:r w:rsidRPr="003A55D5">
        <w:t xml:space="preserve"> n’avaient pas été valorisés dans le</w:t>
      </w:r>
      <w:r w:rsidR="00070A82">
        <w:t>s</w:t>
      </w:r>
      <w:r w:rsidRPr="003A55D5">
        <w:t xml:space="preserve"> dossier</w:t>
      </w:r>
      <w:r w:rsidR="00070A82">
        <w:t>s</w:t>
      </w:r>
      <w:r w:rsidRPr="003A55D5">
        <w:t xml:space="preserve"> d’enquête publique de </w:t>
      </w:r>
      <w:r w:rsidR="00070A82">
        <w:t xml:space="preserve">2014 à </w:t>
      </w:r>
      <w:r w:rsidRPr="003A55D5">
        <w:t>2016, selon les principes en vigueur dans les instructions</w:t>
      </w:r>
      <w:r w:rsidR="00070A82">
        <w:t xml:space="preserve"> en vigueur alors</w:t>
      </w:r>
      <w:r w:rsidRPr="00A51C82">
        <w:t xml:space="preserve">. </w:t>
      </w:r>
    </w:p>
    <w:p w14:paraId="2DD0FCA6" w14:textId="77777777" w:rsidR="00156BA6" w:rsidRDefault="00156BA6" w:rsidP="004C4CA3">
      <w:pPr>
        <w:jc w:val="both"/>
      </w:pPr>
    </w:p>
    <w:p w14:paraId="45792D1E" w14:textId="43826362" w:rsidR="00A51C82" w:rsidRDefault="00C85D1F" w:rsidP="004C4CA3">
      <w:pPr>
        <w:jc w:val="both"/>
      </w:pPr>
      <w:r>
        <w:t>Cependant d</w:t>
      </w:r>
      <w:r w:rsidR="00A51C82" w:rsidRPr="00A51C82">
        <w:t>’autres effets très importants n’ont pas été valorisés :</w:t>
      </w:r>
    </w:p>
    <w:p w14:paraId="54C4B64F" w14:textId="77777777" w:rsidR="00156BA6" w:rsidRPr="00A51C82" w:rsidRDefault="00156BA6" w:rsidP="004C4CA3">
      <w:pPr>
        <w:jc w:val="both"/>
      </w:pPr>
    </w:p>
    <w:p w14:paraId="1992C972" w14:textId="0D43C6AF" w:rsidR="00A51C82" w:rsidRDefault="00896DCF" w:rsidP="0083506E">
      <w:pPr>
        <w:numPr>
          <w:ilvl w:val="0"/>
          <w:numId w:val="7"/>
        </w:numPr>
        <w:jc w:val="both"/>
      </w:pPr>
      <w:r>
        <w:t>l’é</w:t>
      </w:r>
      <w:r w:rsidR="00A51C82" w:rsidRPr="00A51C82">
        <w:t>quité environnementale et sociale : le calcul des principaux indicateurs selon l’instruction du gouvernement ne permet pas de différencier deux projets qui auraient des avantages identiques mais dont les bénéficiaires seraient très différents sur le plan des catégories socio-professionnelles. Les recherches effectuées sur ce sujet pour quantifier l’impact en termes de surplus posent des délicates questions méthodologiques de différenciation sociale des valeurs tutélaires utilisées dans les évaluations. Le fait d’utiliser par exemple des valeurs du temps identiques pour tous les usagers d’une même catégorie intègre implicitement une certaine redistribution sociale</w:t>
      </w:r>
      <w:r w:rsidR="00A02036">
        <w:t xml:space="preserve"> car la valeur du temps est liée au revenu</w:t>
      </w:r>
      <w:r w:rsidR="00A51C82" w:rsidRPr="00A51C82">
        <w:t xml:space="preserve">. </w:t>
      </w:r>
      <w:r w:rsidR="003A55D5">
        <w:t>Par ailleurs, des</w:t>
      </w:r>
      <w:r w:rsidR="00A51C82" w:rsidRPr="00A51C82">
        <w:t xml:space="preserve"> études académiques </w:t>
      </w:r>
      <w:r w:rsidR="003A55D5">
        <w:t>portant sur les effets territoriaux du Grand Paris Express</w:t>
      </w:r>
      <w:r w:rsidR="00A51C82" w:rsidRPr="00A51C82">
        <w:t xml:space="preserve"> mettent </w:t>
      </w:r>
      <w:r w:rsidR="00F2269E">
        <w:t>bien</w:t>
      </w:r>
      <w:r w:rsidR="00156BA6">
        <w:t xml:space="preserve"> </w:t>
      </w:r>
      <w:r w:rsidR="00A51C82" w:rsidRPr="00A51C82">
        <w:t xml:space="preserve">en évidence le caractère largement redistributif du projet. </w:t>
      </w:r>
    </w:p>
    <w:p w14:paraId="2F46DE9A" w14:textId="77777777" w:rsidR="00896DCF" w:rsidRPr="00A51C82" w:rsidRDefault="00896DCF" w:rsidP="00896DCF">
      <w:pPr>
        <w:ind w:left="720"/>
        <w:jc w:val="both"/>
      </w:pPr>
    </w:p>
    <w:p w14:paraId="4CD678A9" w14:textId="7E3F4F0E" w:rsidR="00A51C82" w:rsidRDefault="00896DCF" w:rsidP="0083506E">
      <w:pPr>
        <w:numPr>
          <w:ilvl w:val="0"/>
          <w:numId w:val="7"/>
        </w:numPr>
        <w:jc w:val="both"/>
      </w:pPr>
      <w:r>
        <w:t>la v</w:t>
      </w:r>
      <w:r w:rsidR="00A51C82" w:rsidRPr="00A51C82">
        <w:t xml:space="preserve">alorisation du patrimoine : la création d’un système de transport d’une telle ampleur a nécessairement un impact sur la valorisation foncière dans les quartiers desservis par les gares, pour le secteur du logement et celui de l’immobilier d’entreprise. La valorisation du patrimoine est possible grâce aux techniques de modélisation modernes, mais n’a pas été </w:t>
      </w:r>
      <w:r w:rsidR="00A51C82" w:rsidRPr="00A51C82">
        <w:t xml:space="preserve">intégrée à l’évaluation, car, selon les principes de l’économie urbaine, les valorisations foncières </w:t>
      </w:r>
      <w:r w:rsidR="00070A82">
        <w:t xml:space="preserve">sont une mesure </w:t>
      </w:r>
      <w:r w:rsidR="00A51C82" w:rsidRPr="00A51C82">
        <w:t xml:space="preserve">à long terme le surplus d’utilité publique créé par l’infrastructure ; il serait alors difficile d’isoler les doubles comptes avec des effets déjà valorisés par ailleurs. </w:t>
      </w:r>
    </w:p>
    <w:p w14:paraId="5ADFC682" w14:textId="77777777" w:rsidR="00896DCF" w:rsidRPr="00A51C82" w:rsidRDefault="00896DCF" w:rsidP="00896DCF">
      <w:pPr>
        <w:jc w:val="both"/>
      </w:pPr>
    </w:p>
    <w:p w14:paraId="55CF3E45" w14:textId="324E5268" w:rsidR="00A51C82" w:rsidRDefault="00896DCF" w:rsidP="0083506E">
      <w:pPr>
        <w:numPr>
          <w:ilvl w:val="0"/>
          <w:numId w:val="7"/>
        </w:numPr>
        <w:jc w:val="both"/>
      </w:pPr>
      <w:r>
        <w:t>les e</w:t>
      </w:r>
      <w:r w:rsidR="00A51C82" w:rsidRPr="00A51C82">
        <w:t xml:space="preserve">ffets environnementaux secondaires : en plus des effets externes traités dans les gains environnementaux, le projet aura un impact sur le paysage, l’aménagement urbain, la biodiversité, ou encore les effets de coupure. Ces effets ne sont pas traités </w:t>
      </w:r>
      <w:r w:rsidR="0025398D">
        <w:t>en détail ici</w:t>
      </w:r>
      <w:r w:rsidR="00A51C82" w:rsidRPr="00A51C82">
        <w:t>.</w:t>
      </w:r>
    </w:p>
    <w:p w14:paraId="0A94BD21" w14:textId="77777777" w:rsidR="00896DCF" w:rsidRPr="00A51C82" w:rsidRDefault="00896DCF" w:rsidP="00896DCF">
      <w:pPr>
        <w:jc w:val="both"/>
      </w:pPr>
    </w:p>
    <w:p w14:paraId="07284939" w14:textId="01BC332E" w:rsidR="00A51C82" w:rsidRPr="00A51C82" w:rsidRDefault="00896DCF" w:rsidP="0083506E">
      <w:pPr>
        <w:numPr>
          <w:ilvl w:val="0"/>
          <w:numId w:val="7"/>
        </w:numPr>
        <w:jc w:val="both"/>
      </w:pPr>
      <w:r>
        <w:t>les e</w:t>
      </w:r>
      <w:r w:rsidR="00A51C82" w:rsidRPr="00A51C82">
        <w:t xml:space="preserve">ffets à très long terme </w:t>
      </w:r>
      <w:r w:rsidR="00485864">
        <w:t xml:space="preserve">(l’horizon étant celui du siècle) </w:t>
      </w:r>
      <w:r w:rsidR="00A51C82" w:rsidRPr="00A51C82">
        <w:t>sur la structure de l’agglomération francilienne : les mutations engendrées par le projet du Grand Paris Express permettront de structurer le développement urbain et économique d’une manière plus économ</w:t>
      </w:r>
      <w:r>
        <w:t>e</w:t>
      </w:r>
      <w:r w:rsidR="00A51C82" w:rsidRPr="00A51C82">
        <w:t xml:space="preserve"> en carbone, et la traduction à l’échelle d’un siècle de cet effet en termes de bénéfices socio-économiques peut être considérable</w:t>
      </w:r>
      <w:r w:rsidR="003A55D5">
        <w:t>,</w:t>
      </w:r>
      <w:r w:rsidR="00A51C82" w:rsidRPr="00A51C82">
        <w:t xml:space="preserve"> compte tenu de son caractère cumulatif </w:t>
      </w:r>
      <w:r w:rsidR="00C85D1F">
        <w:t>si on tient compte du caractère endogène des décisions de réalisation des infrastructure</w:t>
      </w:r>
      <w:r w:rsidR="00A17B71">
        <w:t>s</w:t>
      </w:r>
      <w:r w:rsidR="00C85D1F">
        <w:t xml:space="preserve"> de transport pendant une très longue période</w:t>
      </w:r>
      <w:r w:rsidR="00A17B71">
        <w:rPr>
          <w:rStyle w:val="Appelnotedebasdep"/>
        </w:rPr>
        <w:footnoteReference w:id="7"/>
      </w:r>
      <w:r w:rsidR="00C85D1F">
        <w:t>, ainsi que</w:t>
      </w:r>
      <w:r w:rsidR="00A51C82" w:rsidRPr="00A51C82">
        <w:t xml:space="preserve"> des principes retenus </w:t>
      </w:r>
      <w:r w:rsidR="00A17B71">
        <w:t xml:space="preserve">par les économistes pour la fixation dans le temps de </w:t>
      </w:r>
      <w:r w:rsidR="00A51C82" w:rsidRPr="00A51C82">
        <w:t xml:space="preserve"> l’évolution des prix du carbone. Ces effets à très long terme ne peuvent dans un premier temps qu’être approchés de manière qualitative par le biais d’études prospectives. La Société du Grand Paris </w:t>
      </w:r>
      <w:r w:rsidR="003352D1" w:rsidRPr="00A17B71">
        <w:t xml:space="preserve">a lancé </w:t>
      </w:r>
      <w:r w:rsidR="00A51C82" w:rsidRPr="00A17B71">
        <w:t xml:space="preserve">des </w:t>
      </w:r>
      <w:r w:rsidR="00A51C82" w:rsidRPr="00A51C82">
        <w:t xml:space="preserve">recherches </w:t>
      </w:r>
      <w:r w:rsidR="00A80D8B">
        <w:t>pour permettre de quantifier ces effets</w:t>
      </w:r>
      <w:r w:rsidR="00A51C82" w:rsidRPr="00A51C82">
        <w:t xml:space="preserve">. </w:t>
      </w:r>
    </w:p>
    <w:p w14:paraId="2F8DC5F5" w14:textId="58054F3F" w:rsidR="00A51C82" w:rsidRPr="00A13130" w:rsidRDefault="00A13130" w:rsidP="00A13130">
      <w:pPr>
        <w:pStyle w:val="Titre2"/>
      </w:pPr>
      <w:bookmarkStart w:id="33" w:name="_Toc46917055"/>
      <w:r w:rsidRPr="00A13130">
        <w:br w:type="column"/>
      </w:r>
      <w:bookmarkStart w:id="34" w:name="_Toc63352126"/>
      <w:r w:rsidR="003A44EF" w:rsidRPr="00A13130">
        <w:lastRenderedPageBreak/>
        <w:t>Les prévisions</w:t>
      </w:r>
      <w:r w:rsidR="00A51C82" w:rsidRPr="00A13130">
        <w:t xml:space="preserve"> de trafic</w:t>
      </w:r>
      <w:bookmarkEnd w:id="33"/>
      <w:bookmarkEnd w:id="34"/>
    </w:p>
    <w:p w14:paraId="6CF00EF5" w14:textId="77777777" w:rsidR="00156BA6" w:rsidRDefault="00156BA6" w:rsidP="004C4CA3">
      <w:pPr>
        <w:jc w:val="both"/>
      </w:pPr>
    </w:p>
    <w:p w14:paraId="507ACDBB" w14:textId="2F1BE5EA" w:rsidR="00A51C82" w:rsidRPr="005631C9" w:rsidRDefault="00A51C82" w:rsidP="004C4CA3">
      <w:pPr>
        <w:jc w:val="both"/>
      </w:pPr>
      <w:r w:rsidRPr="005631C9">
        <w:t xml:space="preserve">Les modèles de prévision de trafic sont utilisés pour l’évaluation des projets d’infrastructure de transport. Ils constituent des </w:t>
      </w:r>
      <w:r w:rsidRPr="005631C9">
        <w:rPr>
          <w:b/>
        </w:rPr>
        <w:t>outils d’aide à la décision et à la conception</w:t>
      </w:r>
      <w:r w:rsidRPr="005631C9">
        <w:t>, qui visent à apprécier</w:t>
      </w:r>
      <w:r w:rsidR="00234516" w:rsidRPr="005631C9">
        <w:t xml:space="preserve"> le volume des trafics futurs et</w:t>
      </w:r>
      <w:r w:rsidRPr="005631C9">
        <w:t xml:space="preserve"> l’ensemble des aspects relatifs aux déplacements, pour la nouvelle infrastructure comme pour les autres réseaux de transport : répartition modale, itinéraires empruntés, effets sur l’accessibilité, demande prévisionnelle et capacité de transport nécessaire par ligne… </w:t>
      </w:r>
      <w:r w:rsidR="003A44EF" w:rsidRPr="005631C9">
        <w:t>Ils s’appuient</w:t>
      </w:r>
      <w:r w:rsidRPr="005631C9">
        <w:t xml:space="preserve"> sur l’observation </w:t>
      </w:r>
      <w:r w:rsidR="00A80D8B" w:rsidRPr="005631C9">
        <w:t xml:space="preserve">passée </w:t>
      </w:r>
      <w:r w:rsidRPr="005631C9">
        <w:t>de</w:t>
      </w:r>
      <w:r w:rsidR="00A80D8B" w:rsidRPr="005631C9">
        <w:t xml:space="preserve">s comportements de déplacements et </w:t>
      </w:r>
      <w:r w:rsidRPr="005631C9">
        <w:t xml:space="preserve">utilisent des jeux d’hypothèses prospectives visant à caractériser la situation future et l’environnement du projet : croissance et localisation de la population et des emplois, description détaillée des réseaux de transport projetés, paramètres relatifs à la mobilité (taux de motorisation individuelle, coût du transport…). Pour les besoins de l’évaluation du Grand Paris Express par la Société du Grand Paris, le modèle de prévision de trafic MODUS, développé et exploité par la Direction régionale et interdépartementale de l’équipement et de l’aménagement (DRIEA) d’Île-de-France, </w:t>
      </w:r>
      <w:r w:rsidR="005631C9" w:rsidRPr="005631C9">
        <w:t>est</w:t>
      </w:r>
      <w:r w:rsidRPr="005631C9">
        <w:t xml:space="preserve"> utilisé</w:t>
      </w:r>
      <w:r w:rsidR="00520EA7" w:rsidRPr="005631C9">
        <w:t xml:space="preserve"> dans sa nouvelle version MODUS 3.1 actualisée par rapport à la version précédente</w:t>
      </w:r>
      <w:r w:rsidRPr="005631C9">
        <w:t xml:space="preserve">. </w:t>
      </w:r>
    </w:p>
    <w:p w14:paraId="12335B2C" w14:textId="77777777" w:rsidR="00156BA6" w:rsidRPr="005631C9" w:rsidRDefault="00156BA6" w:rsidP="004C4CA3">
      <w:pPr>
        <w:jc w:val="both"/>
      </w:pPr>
    </w:p>
    <w:p w14:paraId="3AE5C6F6" w14:textId="4CA6FA7F" w:rsidR="00F750C2" w:rsidRPr="005631C9" w:rsidRDefault="00A51C82" w:rsidP="004C4CA3">
      <w:pPr>
        <w:jc w:val="both"/>
      </w:pPr>
      <w:r w:rsidRPr="005631C9">
        <w:t xml:space="preserve">En tout état de cause, les résultats chiffrés produits par les outils de prévision de trafic sont à considérer comme des </w:t>
      </w:r>
      <w:r w:rsidRPr="005631C9">
        <w:rPr>
          <w:b/>
        </w:rPr>
        <w:t>indications visant à établir des ordres de grandeur</w:t>
      </w:r>
      <w:r w:rsidRPr="005631C9">
        <w:t xml:space="preserve">, et doivent être interprétés avec les précautions inhérentes à tout processus consistant à </w:t>
      </w:r>
      <w:r w:rsidR="005631C9" w:rsidRPr="005631C9">
        <w:t xml:space="preserve">prédire </w:t>
      </w:r>
      <w:r w:rsidRPr="005631C9">
        <w:t>une situation future, sur la base de comportements et de données passées</w:t>
      </w:r>
      <w:r w:rsidRPr="005631C9">
        <w:rPr>
          <w:vertAlign w:val="superscript"/>
        </w:rPr>
        <w:footnoteReference w:id="8"/>
      </w:r>
      <w:r w:rsidRPr="005631C9">
        <w:t>. Des études approfondies</w:t>
      </w:r>
      <w:r w:rsidR="009B3EEC">
        <w:t xml:space="preserve"> </w:t>
      </w:r>
      <w:r w:rsidRPr="005631C9">
        <w:t xml:space="preserve">ont été effectuées pour définir les limites des modèles utilisés </w:t>
      </w:r>
      <w:r w:rsidR="0025398D">
        <w:t xml:space="preserve">pour prévoir les trafics du GPE </w:t>
      </w:r>
      <w:r w:rsidRPr="005631C9">
        <w:t>et les biais de leurs résultats, lesquels sont accentués quand il s’agit d</w:t>
      </w:r>
      <w:r w:rsidR="00411136" w:rsidRPr="005631C9">
        <w:t>’apprécier l’impact d’</w:t>
      </w:r>
      <w:r w:rsidRPr="005631C9">
        <w:t>infrastructures de grande ampleur et transformationnelles comme le Grand Paris Express</w:t>
      </w:r>
      <w:r w:rsidR="00156BA6" w:rsidRPr="005631C9">
        <w:t>,</w:t>
      </w:r>
      <w:r w:rsidRPr="005631C9">
        <w:t xml:space="preserve"> et particulièrement</w:t>
      </w:r>
      <w:r w:rsidR="00156BA6" w:rsidRPr="005631C9">
        <w:t xml:space="preserve"> pour </w:t>
      </w:r>
      <w:r w:rsidR="00411136" w:rsidRPr="005631C9">
        <w:t>des</w:t>
      </w:r>
      <w:r w:rsidR="00156BA6" w:rsidRPr="005631C9">
        <w:t xml:space="preserve"> ligne</w:t>
      </w:r>
      <w:r w:rsidR="00411136" w:rsidRPr="005631C9">
        <w:t>s</w:t>
      </w:r>
      <w:r w:rsidR="00156BA6" w:rsidRPr="005631C9">
        <w:t xml:space="preserve"> qui concerne</w:t>
      </w:r>
      <w:r w:rsidR="00F2269E">
        <w:t>nt</w:t>
      </w:r>
      <w:r w:rsidR="00156BA6" w:rsidRPr="005631C9">
        <w:t xml:space="preserve"> </w:t>
      </w:r>
      <w:r w:rsidR="00411136" w:rsidRPr="005631C9">
        <w:t>des</w:t>
      </w:r>
      <w:r w:rsidRPr="005631C9">
        <w:t xml:space="preserve"> territoire</w:t>
      </w:r>
      <w:r w:rsidR="00411136" w:rsidRPr="005631C9">
        <w:t>s</w:t>
      </w:r>
      <w:r w:rsidRPr="005631C9">
        <w:t xml:space="preserve"> en pleins bouleversements comme la </w:t>
      </w:r>
      <w:r w:rsidR="00411136" w:rsidRPr="005631C9">
        <w:t xml:space="preserve">ligne 17 et la </w:t>
      </w:r>
      <w:r w:rsidRPr="005631C9">
        <w:t>ligne 18</w:t>
      </w:r>
      <w:r w:rsidR="003A55D5">
        <w:t xml:space="preserve"> ; </w:t>
      </w:r>
      <w:r w:rsidR="00FA615C">
        <w:t xml:space="preserve">ces études avaient été établies sur la base du modèle MODUS-2 et </w:t>
      </w:r>
      <w:r w:rsidR="003A55D5">
        <w:t>la version</w:t>
      </w:r>
      <w:r w:rsidR="009B3EEC">
        <w:t xml:space="preserve"> MODUS-3 tient compte des conclusions de ces études</w:t>
      </w:r>
      <w:r w:rsidR="009B3EEC" w:rsidRPr="005631C9">
        <w:rPr>
          <w:vertAlign w:val="superscript"/>
        </w:rPr>
        <w:footnoteReference w:id="9"/>
      </w:r>
      <w:r w:rsidRPr="005631C9">
        <w:t>.</w:t>
      </w:r>
    </w:p>
    <w:p w14:paraId="3DA10D5E" w14:textId="77777777" w:rsidR="00A13130" w:rsidRDefault="00A13130" w:rsidP="004C4CA3">
      <w:pPr>
        <w:jc w:val="both"/>
        <w:sectPr w:rsidR="00A13130" w:rsidSect="00822CCC">
          <w:type w:val="continuous"/>
          <w:pgSz w:w="23818" w:h="16838" w:orient="landscape"/>
          <w:pgMar w:top="1418" w:right="1418" w:bottom="1418" w:left="1418" w:header="709" w:footer="709" w:gutter="0"/>
          <w:cols w:num="2" w:space="708"/>
        </w:sectPr>
      </w:pPr>
    </w:p>
    <w:p w14:paraId="7A20E5B2" w14:textId="5EBE17B9" w:rsidR="00F750C2" w:rsidRDefault="00F750C2" w:rsidP="004C4CA3">
      <w:pPr>
        <w:jc w:val="both"/>
      </w:pPr>
    </w:p>
    <w:p w14:paraId="65FA2BCA" w14:textId="699DEEEC" w:rsidR="00F750C2" w:rsidRPr="00F750C2" w:rsidRDefault="00F750C2" w:rsidP="004C4CA3">
      <w:pPr>
        <w:jc w:val="both"/>
        <w:rPr>
          <w:b/>
          <w:color w:val="FF0000"/>
          <w:sz w:val="24"/>
        </w:rPr>
        <w:sectPr w:rsidR="00F750C2" w:rsidRPr="00F750C2" w:rsidSect="00A13130">
          <w:pgSz w:w="23818" w:h="16838" w:orient="landscape"/>
          <w:pgMar w:top="1418" w:right="1418" w:bottom="1418" w:left="1418" w:header="709" w:footer="709" w:gutter="0"/>
          <w:cols w:num="2" w:space="708"/>
        </w:sectPr>
      </w:pPr>
    </w:p>
    <w:p w14:paraId="2B44ADF5" w14:textId="77777777" w:rsidR="00A51C82" w:rsidRPr="00A51C82" w:rsidRDefault="00A51C82" w:rsidP="0083506E">
      <w:pPr>
        <w:keepNext/>
        <w:keepLines/>
        <w:numPr>
          <w:ilvl w:val="0"/>
          <w:numId w:val="2"/>
        </w:numPr>
        <w:spacing w:before="100" w:beforeAutospacing="1" w:after="100" w:afterAutospacing="1"/>
        <w:ind w:left="0" w:firstLine="0"/>
        <w:jc w:val="both"/>
        <w:outlineLvl w:val="0"/>
        <w:rPr>
          <w:rFonts w:eastAsia="Times New Roman"/>
          <w:b/>
          <w:bCs/>
          <w:color w:val="931638"/>
          <w:sz w:val="48"/>
          <w:szCs w:val="32"/>
        </w:rPr>
        <w:sectPr w:rsidR="00A51C82" w:rsidRPr="00A51C82" w:rsidSect="00822CCC">
          <w:headerReference w:type="default" r:id="rId34"/>
          <w:footerReference w:type="default" r:id="rId35"/>
          <w:pgSz w:w="23818" w:h="16838" w:orient="landscape"/>
          <w:pgMar w:top="1418" w:right="1418" w:bottom="1418" w:left="1418" w:header="709" w:footer="709" w:gutter="0"/>
          <w:cols w:num="2" w:space="708"/>
          <w:vAlign w:val="center"/>
        </w:sectPr>
      </w:pPr>
    </w:p>
    <w:p w14:paraId="04D25E28" w14:textId="0B4F35E1" w:rsidR="00A51C82" w:rsidRPr="00A51C82" w:rsidRDefault="008878FE" w:rsidP="00412C10">
      <w:pPr>
        <w:pStyle w:val="Titre1"/>
        <w:numPr>
          <w:ilvl w:val="0"/>
          <w:numId w:val="31"/>
        </w:numPr>
      </w:pPr>
      <w:bookmarkStart w:id="35" w:name="_Toc46917056"/>
      <w:bookmarkStart w:id="36" w:name="_Toc63352127"/>
      <w:r>
        <w:t>É</w:t>
      </w:r>
      <w:r w:rsidR="00A51C82" w:rsidRPr="00A51C82">
        <w:t>valuation socio-économique à l’échelle du Grand Paris Express</w:t>
      </w:r>
      <w:bookmarkEnd w:id="35"/>
      <w:bookmarkEnd w:id="36"/>
    </w:p>
    <w:p w14:paraId="1572E951" w14:textId="77777777" w:rsidR="00A51C82" w:rsidRPr="00A51C82" w:rsidRDefault="00A51C82" w:rsidP="004C4CA3">
      <w:pPr>
        <w:jc w:val="both"/>
        <w:sectPr w:rsidR="00A51C82" w:rsidRPr="00A51C82" w:rsidSect="00822CCC">
          <w:type w:val="continuous"/>
          <w:pgSz w:w="23818" w:h="16838" w:orient="landscape"/>
          <w:pgMar w:top="1418" w:right="1418" w:bottom="1418" w:left="1418" w:header="709" w:footer="709" w:gutter="0"/>
          <w:cols w:space="708"/>
          <w:vAlign w:val="center"/>
        </w:sectPr>
      </w:pPr>
    </w:p>
    <w:p w14:paraId="746D9885" w14:textId="77777777" w:rsidR="00A51C82" w:rsidRPr="00A51C82" w:rsidRDefault="00A51C82" w:rsidP="004C4CA3">
      <w:pPr>
        <w:jc w:val="both"/>
      </w:pPr>
    </w:p>
    <w:p w14:paraId="2B812D30" w14:textId="77777777" w:rsidR="00A51C82" w:rsidRPr="00A51C82" w:rsidRDefault="00A51C82" w:rsidP="004C4CA3">
      <w:pPr>
        <w:jc w:val="both"/>
        <w:sectPr w:rsidR="00A51C82" w:rsidRPr="00A51C82" w:rsidSect="00822CCC">
          <w:headerReference w:type="default" r:id="rId36"/>
          <w:footerReference w:type="default" r:id="rId37"/>
          <w:pgSz w:w="23818" w:h="16838" w:orient="landscape"/>
          <w:pgMar w:top="1418" w:right="1418" w:bottom="1418" w:left="1418" w:header="709" w:footer="709" w:gutter="0"/>
          <w:cols w:space="708"/>
        </w:sectPr>
      </w:pPr>
      <w:r w:rsidRPr="00A51C82">
        <w:br w:type="page"/>
      </w:r>
    </w:p>
    <w:p w14:paraId="15AF627B" w14:textId="26CFA2E2" w:rsidR="00A51C82" w:rsidRPr="00A13130" w:rsidRDefault="00A51C82" w:rsidP="00412C10">
      <w:pPr>
        <w:pStyle w:val="Titre2"/>
        <w:numPr>
          <w:ilvl w:val="2"/>
          <w:numId w:val="36"/>
        </w:numPr>
      </w:pPr>
      <w:bookmarkStart w:id="37" w:name="_Toc406757035"/>
      <w:bookmarkStart w:id="38" w:name="_Toc46917057"/>
      <w:bookmarkStart w:id="39" w:name="_Toc63352128"/>
      <w:r w:rsidRPr="00A13130">
        <w:lastRenderedPageBreak/>
        <w:t>L’analyse stratégique et les variantes</w:t>
      </w:r>
      <w:bookmarkEnd w:id="37"/>
      <w:bookmarkEnd w:id="38"/>
      <w:bookmarkEnd w:id="39"/>
    </w:p>
    <w:p w14:paraId="3219E828" w14:textId="23163E79" w:rsidR="007C3BFE" w:rsidRPr="00140449" w:rsidRDefault="007C3BFE" w:rsidP="00412C10">
      <w:pPr>
        <w:pStyle w:val="Titre3"/>
        <w:numPr>
          <w:ilvl w:val="3"/>
          <w:numId w:val="34"/>
        </w:numPr>
      </w:pPr>
      <w:bookmarkStart w:id="40" w:name="_Toc46917058"/>
      <w:bookmarkStart w:id="41" w:name="_Toc47100944"/>
      <w:bookmarkStart w:id="42" w:name="_Toc63352129"/>
      <w:bookmarkStart w:id="43" w:name="_Toc406757036"/>
      <w:r w:rsidRPr="00140449">
        <w:t>Le caractère itératif de l’analyse stratégique</w:t>
      </w:r>
      <w:bookmarkEnd w:id="40"/>
      <w:bookmarkEnd w:id="41"/>
      <w:bookmarkEnd w:id="42"/>
    </w:p>
    <w:p w14:paraId="40D4F7BC" w14:textId="3811A807" w:rsidR="00DA6F4C" w:rsidRPr="005631C9" w:rsidRDefault="00DA6F4C" w:rsidP="00DA6F4C">
      <w:pPr>
        <w:jc w:val="both"/>
      </w:pPr>
      <w:bookmarkStart w:id="44" w:name="_Toc36659165"/>
    </w:p>
    <w:p w14:paraId="1079FCB7" w14:textId="4D406104" w:rsidR="00236E90" w:rsidRPr="005631C9" w:rsidRDefault="00236E90" w:rsidP="00DA6F4C">
      <w:pPr>
        <w:jc w:val="both"/>
      </w:pPr>
      <w:r w:rsidRPr="005631C9">
        <w:t xml:space="preserve">En </w:t>
      </w:r>
      <w:bookmarkEnd w:id="44"/>
      <w:r w:rsidR="00277E07" w:rsidRPr="005631C9">
        <w:t xml:space="preserve">théorie, il serait utile de pouvoir comparer </w:t>
      </w:r>
      <w:r w:rsidR="00C51CC4">
        <w:t xml:space="preserve">les différentes </w:t>
      </w:r>
      <w:r w:rsidR="00277E07" w:rsidRPr="005631C9">
        <w:t xml:space="preserve">variantes </w:t>
      </w:r>
      <w:r w:rsidR="00C51CC4">
        <w:t xml:space="preserve">de projet </w:t>
      </w:r>
      <w:r w:rsidR="00277E07" w:rsidRPr="005631C9">
        <w:t xml:space="preserve">possibles </w:t>
      </w:r>
      <w:r w:rsidR="00C51CC4">
        <w:t xml:space="preserve">à même de </w:t>
      </w:r>
      <w:r w:rsidR="00277E07" w:rsidRPr="005631C9">
        <w:t xml:space="preserve">répondre aux mêmes objectifs. </w:t>
      </w:r>
      <w:r w:rsidR="00F644AE">
        <w:t>L’analyse devrait</w:t>
      </w:r>
      <w:r w:rsidR="00277E07" w:rsidRPr="005631C9">
        <w:t xml:space="preserve"> commencer par définir les </w:t>
      </w:r>
      <w:r w:rsidR="00F644AE">
        <w:t xml:space="preserve">objectifs visés, les </w:t>
      </w:r>
      <w:r w:rsidR="00277E07" w:rsidRPr="005631C9">
        <w:t>options possibles et on évaluerait leurs différents bilans coûts-avantages</w:t>
      </w:r>
      <w:r w:rsidR="00F644AE">
        <w:t xml:space="preserve"> au regard de leur degré d’accomplissement de ces objectifs</w:t>
      </w:r>
      <w:r w:rsidR="00277E07" w:rsidRPr="005631C9">
        <w:t>. Cependant la combinatoire des multiples options envisageables est très complexe</w:t>
      </w:r>
      <w:r w:rsidR="00F644AE">
        <w:t>, les conclusions quantitatives de leurs évaluations soumises à de fortes incertitudes de toutes natures</w:t>
      </w:r>
      <w:r w:rsidR="00F2269E">
        <w:t>. L</w:t>
      </w:r>
      <w:r w:rsidR="00277E07" w:rsidRPr="005631C9">
        <w:t xml:space="preserve">es processus effectifs de décision opèrent </w:t>
      </w:r>
      <w:r w:rsidR="00F644AE">
        <w:t xml:space="preserve">donc plutôt </w:t>
      </w:r>
      <w:r w:rsidR="00277E07" w:rsidRPr="005631C9">
        <w:t xml:space="preserve">par itérations successives dont chaque étape est définie et alimentée au mieux des informations et moyens d’études disponibles. Les études approfondies permettant d’établir un bilan coût-avantages avec un minimum de robustesse sont très lourdes et prennent un temps qui n’est pas nécessairement compatible avec l’urgence des besoins à satisfaire et ne sont </w:t>
      </w:r>
      <w:r w:rsidR="00F2269E" w:rsidRPr="005631C9">
        <w:t xml:space="preserve">donc </w:t>
      </w:r>
      <w:r w:rsidR="00277E07" w:rsidRPr="005631C9">
        <w:t>effectuées que pour la prise de décision finale, comme cela a été le cas du Grand Paris Express où la décision de départ a été validée à plusieurs reprises sur la base d’études de plus en plus robustes</w:t>
      </w:r>
      <w:r w:rsidR="008072BC">
        <w:rPr>
          <w:rStyle w:val="Appelnotedebasdep"/>
        </w:rPr>
        <w:footnoteReference w:id="10"/>
      </w:r>
      <w:r w:rsidR="00277E07" w:rsidRPr="005631C9">
        <w:t>.</w:t>
      </w:r>
    </w:p>
    <w:p w14:paraId="071CEAFE" w14:textId="77777777" w:rsidR="00DA6F4C" w:rsidRDefault="00DA6F4C" w:rsidP="00DA6F4C">
      <w:pPr>
        <w:jc w:val="both"/>
        <w:rPr>
          <w:color w:val="FF0000"/>
        </w:rPr>
      </w:pPr>
    </w:p>
    <w:p w14:paraId="0461CC93" w14:textId="1997B077" w:rsidR="00A51C82" w:rsidRPr="00A51C82" w:rsidRDefault="00A13130" w:rsidP="00412C10">
      <w:pPr>
        <w:pStyle w:val="Titre3"/>
        <w:numPr>
          <w:ilvl w:val="3"/>
          <w:numId w:val="33"/>
        </w:numPr>
      </w:pPr>
      <w:bookmarkStart w:id="45" w:name="_Toc46917059"/>
      <w:r>
        <w:br w:type="column"/>
      </w:r>
      <w:bookmarkStart w:id="46" w:name="_Toc63352130"/>
      <w:r w:rsidR="00B56118">
        <w:t xml:space="preserve">Des </w:t>
      </w:r>
      <w:r w:rsidR="00A51C82" w:rsidRPr="00A51C82">
        <w:t>premières études d’opportunité sur le réseau de transport public</w:t>
      </w:r>
      <w:r w:rsidR="00B56118">
        <w:t xml:space="preserve"> </w:t>
      </w:r>
      <w:r w:rsidR="00A51C82" w:rsidRPr="00A51C82">
        <w:t>du Grand Paris au débat public conjoint avec Arc Express</w:t>
      </w:r>
      <w:bookmarkEnd w:id="43"/>
      <w:bookmarkEnd w:id="45"/>
      <w:bookmarkEnd w:id="46"/>
    </w:p>
    <w:p w14:paraId="2677A0C6" w14:textId="565F980E" w:rsidR="008072BC" w:rsidRDefault="008072BC" w:rsidP="004C4CA3">
      <w:pPr>
        <w:jc w:val="both"/>
        <w:rPr>
          <w:rFonts w:eastAsia="MS Mincho"/>
          <w:szCs w:val="20"/>
          <w:lang w:eastAsia="ja-JP"/>
        </w:rPr>
      </w:pPr>
    </w:p>
    <w:p w14:paraId="36F1C63F" w14:textId="45DC10A7" w:rsidR="00A51C82" w:rsidRPr="00A51C82" w:rsidRDefault="00A51C82" w:rsidP="004C4CA3">
      <w:pPr>
        <w:jc w:val="both"/>
        <w:rPr>
          <w:rFonts w:eastAsia="MS Mincho"/>
          <w:szCs w:val="20"/>
          <w:lang w:eastAsia="ja-JP"/>
        </w:rPr>
      </w:pPr>
      <w:r w:rsidRPr="00A51C82">
        <w:rPr>
          <w:rFonts w:eastAsia="MS Mincho"/>
          <w:szCs w:val="20"/>
          <w:lang w:eastAsia="ja-JP"/>
        </w:rPr>
        <w:t>Le réseau de transport public du Grand Paris a fait l’objet d’un débat public qui s’est tenu entre octobre 2010 et janvier 2011. Le dossier établi par le maître d’ouvrage pour le débat public rappelait le processus de définition suivi jusqu’à cette date par le projet</w:t>
      </w:r>
      <w:r w:rsidRPr="00A51C82">
        <w:rPr>
          <w:rFonts w:eastAsia="MS Mincho"/>
          <w:sz w:val="18"/>
          <w:szCs w:val="18"/>
          <w:vertAlign w:val="superscript"/>
          <w:lang w:eastAsia="ja-JP"/>
        </w:rPr>
        <w:footnoteReference w:id="11"/>
      </w:r>
      <w:r w:rsidRPr="00A51C82">
        <w:rPr>
          <w:rFonts w:eastAsia="MS Mincho"/>
          <w:szCs w:val="20"/>
          <w:lang w:eastAsia="ja-JP"/>
        </w:rPr>
        <w:t> :</w:t>
      </w:r>
    </w:p>
    <w:p w14:paraId="744F241E" w14:textId="4332F489" w:rsidR="00A51C82" w:rsidRPr="00A51C82" w:rsidRDefault="00A51C82" w:rsidP="004C4CA3">
      <w:pPr>
        <w:jc w:val="both"/>
        <w:rPr>
          <w:rFonts w:eastAsia="MS Mincho"/>
          <w:szCs w:val="20"/>
          <w:lang w:eastAsia="ja-JP"/>
        </w:rPr>
      </w:pPr>
    </w:p>
    <w:p w14:paraId="1B298CCF" w14:textId="777E9775" w:rsidR="00A51C82" w:rsidRPr="00A51C82" w:rsidRDefault="00A51C82" w:rsidP="0083506E">
      <w:pPr>
        <w:keepNext/>
        <w:keepLines/>
        <w:numPr>
          <w:ilvl w:val="0"/>
          <w:numId w:val="12"/>
        </w:numPr>
        <w:jc w:val="both"/>
        <w:rPr>
          <w:rFonts w:eastAsia="MS Mincho"/>
          <w:szCs w:val="20"/>
          <w:lang w:eastAsia="ja-JP"/>
        </w:rPr>
      </w:pPr>
      <w:r w:rsidRPr="00A51C82">
        <w:rPr>
          <w:rFonts w:eastAsia="MS Mincho"/>
          <w:szCs w:val="20"/>
          <w:lang w:eastAsia="ja-JP"/>
        </w:rPr>
        <w:t xml:space="preserve">les objectifs de liaisons structurantes à assurer par le réseau </w:t>
      </w:r>
      <w:r w:rsidR="008072BC" w:rsidRPr="008072BC">
        <w:rPr>
          <w:rFonts w:eastAsia="MS Mincho"/>
          <w:szCs w:val="20"/>
          <w:lang w:eastAsia="ja-JP"/>
        </w:rPr>
        <w:t xml:space="preserve">de transport public du Grand Paris </w:t>
      </w:r>
      <w:r w:rsidRPr="00A51C82">
        <w:rPr>
          <w:rFonts w:eastAsia="MS Mincho"/>
          <w:szCs w:val="20"/>
          <w:lang w:eastAsia="ja-JP"/>
        </w:rPr>
        <w:t xml:space="preserve">ont conduit à définir un </w:t>
      </w:r>
      <w:r w:rsidRPr="00A51C82">
        <w:rPr>
          <w:rFonts w:eastAsia="MS Mincho"/>
          <w:b/>
          <w:szCs w:val="20"/>
          <w:lang w:eastAsia="ja-JP"/>
        </w:rPr>
        <w:t>« fuseau » d’étude</w:t>
      </w:r>
      <w:r w:rsidRPr="00A51C82">
        <w:rPr>
          <w:rFonts w:eastAsia="MS Mincho"/>
          <w:szCs w:val="20"/>
          <w:lang w:eastAsia="ja-JP"/>
        </w:rPr>
        <w:t>, déterminant les zones de tracés possibles de la nouvelle infrastructure (</w:t>
      </w:r>
      <w:r w:rsidRPr="00A51C82">
        <w:rPr>
          <w:rFonts w:eastAsia="MS Mincho"/>
          <w:i/>
          <w:szCs w:val="20"/>
          <w:lang w:eastAsia="ja-JP"/>
        </w:rPr>
        <w:t>cf</w:t>
      </w:r>
      <w:r w:rsidRPr="00A51C82">
        <w:rPr>
          <w:rFonts w:eastAsia="MS Mincho"/>
          <w:szCs w:val="20"/>
          <w:lang w:eastAsia="ja-JP"/>
        </w:rPr>
        <w:t>. illustration ci-après, extraite du dossier du maître d’ouvrage pour le débat public sur le réseau de transport public du Grand Paris) ;</w:t>
      </w:r>
    </w:p>
    <w:p w14:paraId="289383F8" w14:textId="66F79A47" w:rsidR="00A51C82" w:rsidRPr="00A51C82" w:rsidRDefault="00A13130" w:rsidP="004C4CA3">
      <w:pPr>
        <w:jc w:val="both"/>
        <w:rPr>
          <w:rFonts w:eastAsia="MS Mincho"/>
          <w:i/>
          <w:szCs w:val="20"/>
          <w:lang w:eastAsia="ja-JP"/>
        </w:rPr>
      </w:pPr>
      <w:r w:rsidRPr="00A51C82">
        <w:rPr>
          <w:noProof/>
          <w:lang w:eastAsia="fr-FR"/>
        </w:rPr>
        <w:drawing>
          <wp:anchor distT="0" distB="0" distL="114300" distR="114300" simplePos="0" relativeHeight="251662848" behindDoc="0" locked="0" layoutInCell="1" allowOverlap="1" wp14:anchorId="1C5CF050" wp14:editId="08F73C19">
            <wp:simplePos x="0" y="0"/>
            <wp:positionH relativeFrom="column">
              <wp:align>right</wp:align>
            </wp:positionH>
            <wp:positionV relativeFrom="paragraph">
              <wp:posOffset>159385</wp:posOffset>
            </wp:positionV>
            <wp:extent cx="6228246" cy="3867150"/>
            <wp:effectExtent l="0" t="0" r="1270" b="0"/>
            <wp:wrapTopAndBottom/>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8">
                      <a:extLst>
                        <a:ext uri="{28A0092B-C50C-407E-A947-70E740481C1C}">
                          <a14:useLocalDpi xmlns:a14="http://schemas.microsoft.com/office/drawing/2010/main" val="0"/>
                        </a:ext>
                      </a:extLst>
                    </a:blip>
                    <a:srcRect l="13260" t="11073" r="11476" b="4799"/>
                    <a:stretch>
                      <a:fillRect/>
                    </a:stretch>
                  </pic:blipFill>
                  <pic:spPr bwMode="auto">
                    <a:xfrm>
                      <a:off x="0" y="0"/>
                      <a:ext cx="6228246" cy="3867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3A8235" w14:textId="73217E4F" w:rsidR="00A51C82" w:rsidRPr="00A51C82" w:rsidRDefault="00A51C82" w:rsidP="004C4CA3">
      <w:pPr>
        <w:jc w:val="both"/>
        <w:rPr>
          <w:rFonts w:eastAsia="MS Mincho"/>
          <w:i/>
          <w:szCs w:val="20"/>
          <w:lang w:eastAsia="ja-JP"/>
        </w:rPr>
      </w:pPr>
    </w:p>
    <w:p w14:paraId="7359E490" w14:textId="77777777" w:rsidR="008072BC" w:rsidRPr="00A51C82" w:rsidRDefault="008072BC" w:rsidP="0083506E">
      <w:pPr>
        <w:keepNext/>
        <w:keepLines/>
        <w:numPr>
          <w:ilvl w:val="0"/>
          <w:numId w:val="12"/>
        </w:numPr>
        <w:jc w:val="both"/>
        <w:rPr>
          <w:rFonts w:eastAsia="MS Mincho"/>
          <w:szCs w:val="20"/>
          <w:lang w:eastAsia="ja-JP"/>
        </w:rPr>
      </w:pPr>
      <w:r w:rsidRPr="00A51C82">
        <w:rPr>
          <w:rFonts w:eastAsia="MS Mincho"/>
          <w:szCs w:val="20"/>
          <w:lang w:eastAsia="ja-JP"/>
        </w:rPr>
        <w:t>les enjeux environnementaux associés à la création du réseau dans ce fuseau ont été étudiés dans</w:t>
      </w:r>
      <w:r w:rsidRPr="00A51C82">
        <w:rPr>
          <w:rFonts w:eastAsia="MS Mincho"/>
          <w:sz w:val="18"/>
          <w:szCs w:val="18"/>
          <w:lang w:eastAsia="ja-JP"/>
        </w:rPr>
        <w:t xml:space="preserve"> </w:t>
      </w:r>
      <w:r w:rsidRPr="00A51C82">
        <w:rPr>
          <w:rFonts w:eastAsia="MS Mincho"/>
          <w:szCs w:val="20"/>
          <w:lang w:eastAsia="ja-JP"/>
        </w:rPr>
        <w:t>le cadre de l’</w:t>
      </w:r>
      <w:r w:rsidRPr="00A51C82">
        <w:rPr>
          <w:rFonts w:eastAsia="MS Mincho"/>
          <w:b/>
          <w:szCs w:val="20"/>
          <w:lang w:eastAsia="ja-JP"/>
        </w:rPr>
        <w:t>évaluation stratégique environnementale</w:t>
      </w:r>
      <w:r w:rsidRPr="00A51C82">
        <w:rPr>
          <w:rFonts w:eastAsia="MS Mincho"/>
          <w:szCs w:val="20"/>
          <w:lang w:eastAsia="ja-JP"/>
        </w:rPr>
        <w:t xml:space="preserve"> réalisée sur le projet conformément aux dispositions de la loi du 3 juin 2010 relative au Grand Paris et jointe aux documents communiqués dans le cadre du débat public ;</w:t>
      </w:r>
    </w:p>
    <w:p w14:paraId="5AA26897" w14:textId="77777777" w:rsidR="008072BC" w:rsidRPr="00A51C82" w:rsidRDefault="008072BC" w:rsidP="0083506E">
      <w:pPr>
        <w:keepNext/>
        <w:keepLines/>
        <w:numPr>
          <w:ilvl w:val="0"/>
          <w:numId w:val="12"/>
        </w:numPr>
        <w:jc w:val="both"/>
        <w:rPr>
          <w:rFonts w:eastAsia="MS Mincho"/>
          <w:szCs w:val="20"/>
          <w:lang w:eastAsia="ja-JP"/>
        </w:rPr>
      </w:pPr>
      <w:r w:rsidRPr="00A51C82">
        <w:rPr>
          <w:rFonts w:eastAsia="MS Mincho"/>
          <w:szCs w:val="20"/>
          <w:lang w:eastAsia="ja-JP"/>
        </w:rPr>
        <w:t xml:space="preserve">l’évaluation du projet (notamment l’analyse de ses incidences au regard des enjeux identifiés) ainsi que les études d’opportunité complémentaires poursuivies en parallèle ont conduit à définir des </w:t>
      </w:r>
      <w:r w:rsidRPr="00A51C82">
        <w:rPr>
          <w:rFonts w:eastAsia="MS Mincho"/>
          <w:b/>
          <w:szCs w:val="20"/>
          <w:lang w:eastAsia="ja-JP"/>
        </w:rPr>
        <w:t>options de tracés possibles</w:t>
      </w:r>
      <w:r w:rsidRPr="00A51C82">
        <w:rPr>
          <w:rFonts w:eastAsia="MS Mincho"/>
          <w:szCs w:val="20"/>
          <w:lang w:eastAsia="ja-JP"/>
        </w:rPr>
        <w:t xml:space="preserve"> à l’intérieur du fuseau défini à l’origine (infrastructures regroupées en trois lignes : ligne rouge, ligne bleue, ligne verte).</w:t>
      </w:r>
    </w:p>
    <w:p w14:paraId="6EC61125" w14:textId="77777777" w:rsidR="008072BC" w:rsidRDefault="008072BC" w:rsidP="004C4CA3">
      <w:pPr>
        <w:jc w:val="both"/>
        <w:rPr>
          <w:rFonts w:eastAsia="MS Mincho"/>
          <w:szCs w:val="20"/>
          <w:lang w:eastAsia="ja-JP"/>
        </w:rPr>
      </w:pPr>
    </w:p>
    <w:p w14:paraId="405AEBE9" w14:textId="4A02F6E2" w:rsidR="00A51C82" w:rsidRPr="005631C9" w:rsidRDefault="00A51C82" w:rsidP="004C4CA3">
      <w:pPr>
        <w:jc w:val="both"/>
        <w:rPr>
          <w:rFonts w:eastAsia="MS Mincho"/>
          <w:szCs w:val="20"/>
          <w:lang w:eastAsia="ja-JP"/>
        </w:rPr>
      </w:pPr>
      <w:r w:rsidRPr="005631C9">
        <w:rPr>
          <w:rFonts w:eastAsia="MS Mincho"/>
          <w:szCs w:val="20"/>
          <w:lang w:eastAsia="ja-JP"/>
        </w:rPr>
        <w:t xml:space="preserve">Le projet présenté au débat public constituait ainsi une synthèse des premières études réalisées pour apprécier l’intérêt et la faisabilité technique du projet. Des </w:t>
      </w:r>
      <w:r w:rsidRPr="005631C9">
        <w:rPr>
          <w:rFonts w:eastAsia="MS Mincho"/>
          <w:b/>
          <w:szCs w:val="20"/>
          <w:lang w:eastAsia="ja-JP"/>
        </w:rPr>
        <w:t>variantes de tracés et d’implantations de gares</w:t>
      </w:r>
      <w:r w:rsidRPr="005631C9">
        <w:rPr>
          <w:rFonts w:eastAsia="MS Mincho"/>
          <w:szCs w:val="20"/>
          <w:lang w:eastAsia="ja-JP"/>
        </w:rPr>
        <w:t xml:space="preserve">, accompagnées </w:t>
      </w:r>
      <w:r w:rsidR="005631C9" w:rsidRPr="005631C9">
        <w:rPr>
          <w:rFonts w:eastAsia="MS Mincho"/>
          <w:szCs w:val="20"/>
          <w:lang w:eastAsia="ja-JP"/>
        </w:rPr>
        <w:t>d’une analyse multicritère</w:t>
      </w:r>
      <w:r w:rsidRPr="005631C9">
        <w:rPr>
          <w:rFonts w:eastAsia="MS Mincho"/>
          <w:szCs w:val="20"/>
          <w:lang w:eastAsia="ja-JP"/>
        </w:rPr>
        <w:t>, étaient également proposées dans différents secteurs géographiques (sections Roissy – Le Bourget, Saint-Denis – La Défense, Rueil – Versailles, Versailles – Massy, Issy-les-Moulineaux – Saint-Cloud).</w:t>
      </w:r>
    </w:p>
    <w:p w14:paraId="25EDB390" w14:textId="77777777" w:rsidR="005F754A" w:rsidRPr="005631C9" w:rsidRDefault="005F754A" w:rsidP="004C4CA3">
      <w:pPr>
        <w:jc w:val="both"/>
        <w:rPr>
          <w:rFonts w:eastAsia="MS Mincho"/>
          <w:szCs w:val="20"/>
          <w:lang w:eastAsia="ja-JP"/>
        </w:rPr>
      </w:pPr>
    </w:p>
    <w:p w14:paraId="0C1A58C0" w14:textId="23CC2505" w:rsidR="00A51C82" w:rsidRPr="005631C9" w:rsidRDefault="00A51C82" w:rsidP="004C4CA3">
      <w:pPr>
        <w:jc w:val="both"/>
        <w:rPr>
          <w:rFonts w:eastAsia="MS Mincho"/>
          <w:szCs w:val="20"/>
          <w:lang w:eastAsia="ja-JP"/>
        </w:rPr>
      </w:pPr>
      <w:r w:rsidRPr="005631C9">
        <w:rPr>
          <w:rFonts w:eastAsia="MS Mincho"/>
          <w:szCs w:val="20"/>
          <w:lang w:eastAsia="ja-JP"/>
        </w:rPr>
        <w:lastRenderedPageBreak/>
        <w:t>Par ailleurs, conformément aux dispositions du IX de l’article 3 de la loi relative au Grand Paris, la procédure de débat public sur le réseau de transport public du Grand Paris a été lancée conjointement à celle relative au projet de rocade par métro automatique « </w:t>
      </w:r>
      <w:r w:rsidRPr="005631C9">
        <w:rPr>
          <w:rFonts w:eastAsia="MS Mincho"/>
          <w:b/>
          <w:szCs w:val="20"/>
          <w:lang w:eastAsia="ja-JP"/>
        </w:rPr>
        <w:t>Arc Express</w:t>
      </w:r>
      <w:r w:rsidRPr="005631C9">
        <w:rPr>
          <w:rFonts w:eastAsia="MS Mincho"/>
          <w:szCs w:val="20"/>
          <w:lang w:eastAsia="ja-JP"/>
        </w:rPr>
        <w:t> », piloté par le STIF</w:t>
      </w:r>
      <w:r w:rsidR="00094982" w:rsidRPr="005631C9">
        <w:rPr>
          <w:rFonts w:eastAsia="MS Mincho"/>
          <w:szCs w:val="20"/>
          <w:lang w:eastAsia="ja-JP"/>
        </w:rPr>
        <w:t xml:space="preserve"> </w:t>
      </w:r>
      <w:r w:rsidRPr="005631C9">
        <w:rPr>
          <w:rFonts w:eastAsia="MS Mincho"/>
          <w:szCs w:val="20"/>
          <w:lang w:eastAsia="ja-JP"/>
        </w:rPr>
        <w:t>(devenu Île-de-France Mobilités</w:t>
      </w:r>
      <w:r w:rsidR="003A44EF" w:rsidRPr="005631C9">
        <w:rPr>
          <w:rFonts w:eastAsia="MS Mincho"/>
          <w:szCs w:val="20"/>
          <w:lang w:eastAsia="ja-JP"/>
        </w:rPr>
        <w:t>).</w:t>
      </w:r>
      <w:r w:rsidRPr="005631C9">
        <w:rPr>
          <w:rFonts w:eastAsia="MS Mincho"/>
          <w:szCs w:val="20"/>
          <w:lang w:eastAsia="ja-JP"/>
        </w:rPr>
        <w:t xml:space="preserve"> L’</w:t>
      </w:r>
      <w:r w:rsidRPr="005631C9">
        <w:rPr>
          <w:rFonts w:eastAsia="MS Mincho"/>
          <w:b/>
          <w:szCs w:val="20"/>
          <w:lang w:eastAsia="ja-JP"/>
        </w:rPr>
        <w:t>organisation conjointe des deux débats publics</w:t>
      </w:r>
      <w:r w:rsidRPr="005631C9">
        <w:rPr>
          <w:rFonts w:eastAsia="MS Mincho"/>
          <w:szCs w:val="20"/>
          <w:lang w:eastAsia="ja-JP"/>
        </w:rPr>
        <w:t xml:space="preserve"> a ainsi permis au public de disposer d’une présentation très large des différentes options envisagées par les acteurs publics en termes de liaisons, de tracés et d’implantations de gares, </w:t>
      </w:r>
      <w:r w:rsidR="002D2DA2" w:rsidRPr="005631C9">
        <w:rPr>
          <w:rFonts w:eastAsia="MS Mincho"/>
          <w:szCs w:val="20"/>
          <w:lang w:eastAsia="ja-JP"/>
        </w:rPr>
        <w:t xml:space="preserve">dans la </w:t>
      </w:r>
      <w:r w:rsidRPr="005631C9">
        <w:rPr>
          <w:rFonts w:eastAsia="MS Mincho"/>
          <w:szCs w:val="20"/>
          <w:lang w:eastAsia="ja-JP"/>
        </w:rPr>
        <w:t>perspective de la création d’un nouveau réseau de transport en commun à vocation structurante en région Île-de-France (</w:t>
      </w:r>
      <w:r w:rsidRPr="005631C9">
        <w:rPr>
          <w:rFonts w:eastAsia="MS Mincho"/>
          <w:i/>
          <w:szCs w:val="20"/>
          <w:lang w:eastAsia="ja-JP"/>
        </w:rPr>
        <w:t>cf</w:t>
      </w:r>
      <w:r w:rsidRPr="005631C9">
        <w:rPr>
          <w:rFonts w:eastAsia="MS Mincho"/>
          <w:szCs w:val="20"/>
          <w:lang w:eastAsia="ja-JP"/>
        </w:rPr>
        <w:t>. illustration ci-après, extraite du dossier du maître d’ouvrage pour le débat public sur le réseau de transport public du Grand Paris).</w:t>
      </w:r>
    </w:p>
    <w:p w14:paraId="69CB8228" w14:textId="0EB33689" w:rsidR="00A51C82" w:rsidRPr="00A51C82" w:rsidRDefault="005F754A" w:rsidP="004C4CA3">
      <w:pPr>
        <w:jc w:val="both"/>
        <w:rPr>
          <w:rFonts w:eastAsia="MS Mincho"/>
          <w:szCs w:val="20"/>
          <w:lang w:eastAsia="ja-JP"/>
        </w:rPr>
      </w:pPr>
      <w:r w:rsidRPr="00A51C82">
        <w:rPr>
          <w:noProof/>
          <w:lang w:eastAsia="fr-FR"/>
        </w:rPr>
        <w:drawing>
          <wp:anchor distT="0" distB="0" distL="114300" distR="114300" simplePos="0" relativeHeight="251661824" behindDoc="0" locked="0" layoutInCell="1" allowOverlap="1" wp14:anchorId="1005B870" wp14:editId="4D20116C">
            <wp:simplePos x="0" y="0"/>
            <wp:positionH relativeFrom="column">
              <wp:posOffset>109220</wp:posOffset>
            </wp:positionH>
            <wp:positionV relativeFrom="paragraph">
              <wp:posOffset>129540</wp:posOffset>
            </wp:positionV>
            <wp:extent cx="6175787" cy="5429250"/>
            <wp:effectExtent l="0" t="0" r="0" b="0"/>
            <wp:wrapTopAndBottom/>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9">
                      <a:extLst>
                        <a:ext uri="{28A0092B-C50C-407E-A947-70E740481C1C}">
                          <a14:useLocalDpi xmlns:a14="http://schemas.microsoft.com/office/drawing/2010/main" val="0"/>
                        </a:ext>
                      </a:extLst>
                    </a:blip>
                    <a:srcRect l="32530" t="19141" r="17227" b="10178"/>
                    <a:stretch>
                      <a:fillRect/>
                    </a:stretch>
                  </pic:blipFill>
                  <pic:spPr bwMode="auto">
                    <a:xfrm>
                      <a:off x="0" y="0"/>
                      <a:ext cx="6175787" cy="5429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4D3284" w14:textId="7C66CC29" w:rsidR="00A51C82" w:rsidRPr="00A51C82" w:rsidRDefault="00A51C82" w:rsidP="004C4CA3">
      <w:pPr>
        <w:jc w:val="both"/>
        <w:rPr>
          <w:rFonts w:eastAsia="MS Mincho"/>
          <w:szCs w:val="20"/>
          <w:lang w:eastAsia="ja-JP"/>
        </w:rPr>
      </w:pPr>
    </w:p>
    <w:p w14:paraId="13C9BC92" w14:textId="62494941" w:rsidR="00A51C82" w:rsidRPr="00A51C82" w:rsidRDefault="00A13130" w:rsidP="004C4CA3">
      <w:pPr>
        <w:jc w:val="both"/>
        <w:rPr>
          <w:rFonts w:eastAsia="MS Mincho"/>
          <w:szCs w:val="20"/>
          <w:lang w:eastAsia="ja-JP"/>
        </w:rPr>
      </w:pPr>
      <w:r>
        <w:rPr>
          <w:rFonts w:eastAsia="MS Mincho"/>
          <w:szCs w:val="20"/>
          <w:lang w:eastAsia="ja-JP"/>
        </w:rPr>
        <w:br w:type="column"/>
      </w:r>
      <w:r w:rsidR="00A51C82" w:rsidRPr="00A51C82">
        <w:rPr>
          <w:rFonts w:eastAsia="MS Mincho"/>
          <w:szCs w:val="20"/>
          <w:lang w:eastAsia="ja-JP"/>
        </w:rPr>
        <w:t>Le dossier du maître d’ouvrage pour le débat public sur le réseau de transport public du Grand Paris rappelait par ailleurs que le projet proposé avait vocation à évoluer pour tenir compte des avis exprimés dans le cadre de la concertation</w:t>
      </w:r>
      <w:r w:rsidR="00A51C82" w:rsidRPr="00A51C82">
        <w:rPr>
          <w:rFonts w:eastAsia="MS Mincho"/>
          <w:szCs w:val="20"/>
          <w:vertAlign w:val="superscript"/>
          <w:lang w:eastAsia="ja-JP"/>
        </w:rPr>
        <w:footnoteReference w:id="12"/>
      </w:r>
      <w:r w:rsidR="00A51C82" w:rsidRPr="00A51C82">
        <w:rPr>
          <w:rFonts w:eastAsia="MS Mincho"/>
          <w:szCs w:val="20"/>
          <w:lang w:eastAsia="ja-JP"/>
        </w:rPr>
        <w:t> :</w:t>
      </w:r>
    </w:p>
    <w:p w14:paraId="3D53E576" w14:textId="77777777" w:rsidR="00A51C82" w:rsidRPr="00A51C82" w:rsidRDefault="00A51C82" w:rsidP="004C4CA3">
      <w:pPr>
        <w:jc w:val="both"/>
        <w:rPr>
          <w:rFonts w:eastAsia="MS Mincho"/>
          <w:szCs w:val="20"/>
          <w:lang w:eastAsia="ja-JP"/>
        </w:rPr>
      </w:pPr>
    </w:p>
    <w:p w14:paraId="5696B117" w14:textId="77777777" w:rsidR="00A51C82" w:rsidRPr="00A51C82" w:rsidRDefault="00A51C82" w:rsidP="004C4CA3">
      <w:pPr>
        <w:jc w:val="both"/>
        <w:rPr>
          <w:rFonts w:eastAsia="MS Mincho"/>
          <w:i/>
          <w:szCs w:val="20"/>
          <w:lang w:eastAsia="ja-JP"/>
        </w:rPr>
      </w:pPr>
      <w:r w:rsidRPr="00A51C82">
        <w:rPr>
          <w:rFonts w:eastAsia="MS Mincho"/>
          <w:i/>
          <w:szCs w:val="20"/>
          <w:lang w:eastAsia="ja-JP"/>
        </w:rPr>
        <w:t>« Les tracés et les implantations de gares proposées, de même que leur nombre, n’ont pas de caractère définitif. Ils sont l’objet du débat public : en fonction des échanges, des réactions et des propositions, la définition du tracé et la position des gares pourront être modifiées. Ce ne sera qu’à l’issue du débat public que la Société du Grand Paris arrêtera le schéma d’ensemble du réseau. »</w:t>
      </w:r>
    </w:p>
    <w:p w14:paraId="6E14954C" w14:textId="77777777" w:rsidR="00A51C82" w:rsidRPr="00A51C82" w:rsidRDefault="00A51C82" w:rsidP="004C4CA3">
      <w:pPr>
        <w:jc w:val="both"/>
        <w:rPr>
          <w:rFonts w:eastAsia="MS Mincho"/>
          <w:i/>
          <w:szCs w:val="20"/>
          <w:lang w:eastAsia="ja-JP"/>
        </w:rPr>
      </w:pPr>
    </w:p>
    <w:p w14:paraId="26B06B90" w14:textId="5F7F41C1" w:rsidR="00A51C82" w:rsidRPr="00A51C82" w:rsidRDefault="00A51C82" w:rsidP="004C4CA3">
      <w:pPr>
        <w:jc w:val="both"/>
        <w:rPr>
          <w:rFonts w:eastAsia="MS Mincho"/>
          <w:szCs w:val="20"/>
          <w:lang w:eastAsia="ja-JP"/>
        </w:rPr>
      </w:pPr>
      <w:r w:rsidRPr="00A51C82">
        <w:rPr>
          <w:rFonts w:eastAsia="MS Mincho"/>
          <w:szCs w:val="20"/>
          <w:lang w:eastAsia="ja-JP"/>
        </w:rPr>
        <w:t xml:space="preserve">Enfin, les projets présentés au débat public (réseau de transport public du Grand Paris et Arc Express) étaient tous deux prévus en </w:t>
      </w:r>
      <w:r w:rsidRPr="00A51C82">
        <w:rPr>
          <w:rFonts w:eastAsia="MS Mincho"/>
          <w:b/>
          <w:szCs w:val="20"/>
          <w:lang w:eastAsia="ja-JP"/>
        </w:rPr>
        <w:t>mode « métro automatique »</w:t>
      </w:r>
      <w:r w:rsidRPr="00A51C82">
        <w:rPr>
          <w:rFonts w:eastAsia="MS Mincho"/>
          <w:szCs w:val="20"/>
          <w:lang w:eastAsia="ja-JP"/>
        </w:rPr>
        <w:t xml:space="preserve">. Dans l’un comme l’autre des dossiers présentés par les maîtres d’ouvrage, le choix d’un mode de type métro était justifié au regard du trafic prévisionnel attendu sur les nouvelles lignes. Dans le cas du réseau de transport public du Grand Paris, le mode métro est par ailleurs explicitement mentionné au I de l’article 2 de la loi relative au Grand Paris (voir extrait cité </w:t>
      </w:r>
      <w:r w:rsidR="00222C3E">
        <w:rPr>
          <w:rFonts w:eastAsia="MS Mincho"/>
          <w:szCs w:val="20"/>
          <w:lang w:eastAsia="ja-JP"/>
        </w:rPr>
        <w:t>page 9 de ce document</w:t>
      </w:r>
      <w:r w:rsidRPr="00A51C82">
        <w:rPr>
          <w:rFonts w:eastAsia="MS Mincho"/>
          <w:szCs w:val="20"/>
          <w:lang w:eastAsia="ja-JP"/>
        </w:rPr>
        <w:t xml:space="preserve">). </w:t>
      </w:r>
    </w:p>
    <w:p w14:paraId="591B3CF7" w14:textId="2B6EFA85" w:rsidR="00A51C82" w:rsidRPr="00A51C82" w:rsidRDefault="00A51C82" w:rsidP="00412C10">
      <w:pPr>
        <w:pStyle w:val="Titre3"/>
        <w:numPr>
          <w:ilvl w:val="3"/>
          <w:numId w:val="33"/>
        </w:numPr>
      </w:pPr>
      <w:bookmarkStart w:id="47" w:name="_Toc406757037"/>
      <w:bookmarkStart w:id="48" w:name="_Toc46917060"/>
      <w:bookmarkStart w:id="49" w:name="_Toc63352131"/>
      <w:r w:rsidRPr="00D26DFC">
        <w:t>L’émergence d’un projet partagé</w:t>
      </w:r>
      <w:r w:rsidR="00222C3E">
        <w:t xml:space="preserve"> et </w:t>
      </w:r>
      <w:r w:rsidRPr="00D26DFC">
        <w:t>la naissance du Grand Paris Expr</w:t>
      </w:r>
      <w:r w:rsidR="00D26DFC" w:rsidRPr="00140449">
        <w:t>ess</w:t>
      </w:r>
      <w:bookmarkEnd w:id="47"/>
      <w:bookmarkEnd w:id="48"/>
      <w:bookmarkEnd w:id="49"/>
    </w:p>
    <w:p w14:paraId="6E58F96C" w14:textId="77777777" w:rsidR="005631C9" w:rsidRDefault="005631C9" w:rsidP="004C4CA3">
      <w:pPr>
        <w:jc w:val="both"/>
        <w:rPr>
          <w:rFonts w:eastAsia="MS Mincho"/>
          <w:szCs w:val="20"/>
          <w:lang w:eastAsia="ja-JP"/>
        </w:rPr>
      </w:pPr>
    </w:p>
    <w:p w14:paraId="04FEBEC7" w14:textId="46095043" w:rsidR="00A51C82" w:rsidRPr="005631C9" w:rsidRDefault="00A51C82" w:rsidP="004C4CA3">
      <w:pPr>
        <w:jc w:val="both"/>
        <w:rPr>
          <w:rFonts w:eastAsia="MS Mincho"/>
          <w:szCs w:val="20"/>
          <w:lang w:eastAsia="ja-JP"/>
        </w:rPr>
      </w:pPr>
      <w:r w:rsidRPr="005631C9">
        <w:rPr>
          <w:rFonts w:eastAsia="MS Mincho"/>
          <w:szCs w:val="20"/>
          <w:lang w:eastAsia="ja-JP"/>
        </w:rPr>
        <w:t xml:space="preserve">Les débats publics relatifs aux projets « Réseau de transport public du Grand Paris » et « Arc Express » ont mis en </w:t>
      </w:r>
      <w:r w:rsidR="00A34055" w:rsidRPr="005631C9">
        <w:rPr>
          <w:rFonts w:eastAsia="MS Mincho"/>
          <w:szCs w:val="20"/>
          <w:lang w:eastAsia="ja-JP"/>
        </w:rPr>
        <w:t xml:space="preserve">évidence </w:t>
      </w:r>
      <w:r w:rsidRPr="005631C9">
        <w:rPr>
          <w:rFonts w:eastAsia="MS Mincho"/>
          <w:szCs w:val="20"/>
          <w:lang w:eastAsia="ja-JP"/>
        </w:rPr>
        <w:t xml:space="preserve">le souci du public d’un projet commun de développement des réseaux de transport collectif en Île-de-France. Pour répondre à cette attente, l’Etat et la Région ont conjointement rédigé un protocole relatif aux transports publics en Île-de-France, présenté le 26 janvier 2011 sous forme de contribution commune aux deux débats publics, dans lequel ils s’accordaient en grande partie sur un </w:t>
      </w:r>
      <w:r w:rsidRPr="005631C9">
        <w:rPr>
          <w:rFonts w:eastAsia="MS Mincho"/>
          <w:b/>
          <w:szCs w:val="20"/>
          <w:lang w:eastAsia="ja-JP"/>
        </w:rPr>
        <w:t>projet convergent de réseau</w:t>
      </w:r>
      <w:r w:rsidRPr="005631C9">
        <w:rPr>
          <w:rFonts w:eastAsia="MS Mincho"/>
          <w:szCs w:val="20"/>
          <w:lang w:eastAsia="ja-JP"/>
        </w:rPr>
        <w:t xml:space="preserve"> désigné sous l’appellation </w:t>
      </w:r>
      <w:r w:rsidRPr="005631C9">
        <w:rPr>
          <w:rFonts w:eastAsia="MS Mincho"/>
          <w:b/>
          <w:szCs w:val="20"/>
          <w:lang w:eastAsia="ja-JP"/>
        </w:rPr>
        <w:t>« Grand Paris Express »</w:t>
      </w:r>
      <w:r w:rsidRPr="005631C9">
        <w:rPr>
          <w:rFonts w:eastAsia="MS Mincho"/>
          <w:szCs w:val="20"/>
          <w:lang w:eastAsia="ja-JP"/>
        </w:rPr>
        <w:t>.</w:t>
      </w:r>
    </w:p>
    <w:p w14:paraId="3BE9931D" w14:textId="77777777" w:rsidR="00A51C82" w:rsidRPr="00A51C82" w:rsidRDefault="00A51C82" w:rsidP="004C4CA3">
      <w:pPr>
        <w:jc w:val="both"/>
        <w:rPr>
          <w:rFonts w:eastAsia="MS Mincho"/>
          <w:szCs w:val="20"/>
          <w:lang w:eastAsia="ja-JP"/>
        </w:rPr>
      </w:pPr>
    </w:p>
    <w:p w14:paraId="0ABD8991" w14:textId="20C41637" w:rsidR="00A51C82" w:rsidRPr="00A51C82" w:rsidRDefault="00A51C82" w:rsidP="004C4CA3">
      <w:pPr>
        <w:jc w:val="both"/>
        <w:rPr>
          <w:rFonts w:eastAsia="MS Mincho"/>
          <w:szCs w:val="20"/>
          <w:lang w:eastAsia="ja-JP"/>
        </w:rPr>
      </w:pPr>
      <w:r w:rsidRPr="00A51C82">
        <w:rPr>
          <w:rFonts w:eastAsia="MS Mincho"/>
          <w:szCs w:val="20"/>
          <w:lang w:eastAsia="ja-JP"/>
        </w:rPr>
        <w:t xml:space="preserve">Les orientations du protocole d’accord Etat-Région ont guidé de manière significative les conclusions de </w:t>
      </w:r>
      <w:r w:rsidR="00830DC0" w:rsidRPr="00A51C82">
        <w:rPr>
          <w:rFonts w:eastAsia="MS Mincho"/>
          <w:szCs w:val="20"/>
          <w:lang w:eastAsia="ja-JP"/>
        </w:rPr>
        <w:t>l’«</w:t>
      </w:r>
      <w:r w:rsidRPr="00A51C82">
        <w:rPr>
          <w:rFonts w:eastAsia="MS Mincho"/>
          <w:szCs w:val="20"/>
          <w:lang w:eastAsia="ja-JP"/>
        </w:rPr>
        <w:t> </w:t>
      </w:r>
      <w:r w:rsidRPr="00A51C82">
        <w:rPr>
          <w:rFonts w:eastAsia="MS Mincho"/>
          <w:b/>
          <w:szCs w:val="20"/>
          <w:lang w:eastAsia="ja-JP"/>
        </w:rPr>
        <w:t>acte motivé</w:t>
      </w:r>
      <w:r w:rsidRPr="00A51C82">
        <w:rPr>
          <w:rFonts w:eastAsia="MS Mincho"/>
          <w:szCs w:val="20"/>
          <w:lang w:eastAsia="ja-JP"/>
        </w:rPr>
        <w:t> » par lequel la Société du Grand Paris devait indiquer les conséquences qu’elle tirait du bilan du débat public, préciser les modifications apportées au projet initial et ainsi établir le schéma d’ensemble du réseau de transport public du Grand Paris.</w:t>
      </w:r>
    </w:p>
    <w:p w14:paraId="245344D6" w14:textId="77777777" w:rsidR="00A51C82" w:rsidRPr="00A51C82" w:rsidRDefault="00A51C82" w:rsidP="004C4CA3">
      <w:pPr>
        <w:jc w:val="both"/>
        <w:rPr>
          <w:rFonts w:eastAsia="MS Mincho"/>
          <w:szCs w:val="20"/>
          <w:lang w:eastAsia="ja-JP"/>
        </w:rPr>
      </w:pPr>
    </w:p>
    <w:p w14:paraId="29849252" w14:textId="3E2444C8" w:rsidR="00A51C82" w:rsidRPr="00A51C82" w:rsidRDefault="00A51C82" w:rsidP="004C4CA3">
      <w:pPr>
        <w:jc w:val="both"/>
        <w:rPr>
          <w:rFonts w:eastAsia="MS Mincho"/>
          <w:szCs w:val="20"/>
          <w:lang w:eastAsia="ja-JP"/>
        </w:rPr>
      </w:pPr>
      <w:r w:rsidRPr="00A51C82">
        <w:rPr>
          <w:rFonts w:eastAsia="MS Mincho"/>
          <w:szCs w:val="20"/>
          <w:lang w:eastAsia="ja-JP"/>
        </w:rPr>
        <w:t xml:space="preserve">Cet acte motivé a été approuvé à l’unanimité par le Conseil de surveillance de la Société du Grand Paris le 26 mai 2011. </w:t>
      </w:r>
      <w:r w:rsidRPr="00A51C82">
        <w:rPr>
          <w:rFonts w:eastAsia="MS Mincho"/>
          <w:b/>
          <w:szCs w:val="20"/>
          <w:lang w:eastAsia="ja-JP"/>
        </w:rPr>
        <w:t>Les éléments issus du débat public</w:t>
      </w:r>
      <w:r w:rsidRPr="00A51C82">
        <w:rPr>
          <w:rFonts w:eastAsia="MS Mincho"/>
          <w:b/>
          <w:sz w:val="18"/>
          <w:szCs w:val="18"/>
          <w:lang w:eastAsia="ja-JP"/>
        </w:rPr>
        <w:t xml:space="preserve"> </w:t>
      </w:r>
      <w:r w:rsidRPr="00A51C82">
        <w:rPr>
          <w:rFonts w:eastAsia="MS Mincho"/>
          <w:b/>
          <w:szCs w:val="20"/>
          <w:lang w:eastAsia="ja-JP"/>
        </w:rPr>
        <w:t xml:space="preserve">ont globalement conforté les orientations du projet </w:t>
      </w:r>
      <w:r w:rsidRPr="00A51C82">
        <w:rPr>
          <w:rFonts w:eastAsia="MS Mincho"/>
          <w:szCs w:val="20"/>
          <w:lang w:eastAsia="ja-JP"/>
        </w:rPr>
        <w:t xml:space="preserve">et confirmé son opportunité et sa pertinence. Pour prendre en compte l’ensemble des avis exprimés dans le cadre du débat, </w:t>
      </w:r>
      <w:r w:rsidRPr="00A51C82">
        <w:rPr>
          <w:rFonts w:eastAsia="MS Mincho"/>
          <w:b/>
          <w:szCs w:val="20"/>
          <w:lang w:eastAsia="ja-JP"/>
        </w:rPr>
        <w:t>des modifications ou précisions ont été apportées à la configuration générale du réseau de métro à l’échelle régionale</w:t>
      </w:r>
      <w:r w:rsidRPr="00A51C82">
        <w:rPr>
          <w:rFonts w:eastAsia="MS Mincho"/>
          <w:szCs w:val="20"/>
          <w:lang w:eastAsia="ja-JP"/>
        </w:rPr>
        <w:t xml:space="preserve">, notamment : suppression du tronc commun Pleyel – Roissy entre les lignes </w:t>
      </w:r>
      <w:r w:rsidR="00222C3E">
        <w:rPr>
          <w:rFonts w:eastAsia="MS Mincho"/>
          <w:szCs w:val="20"/>
          <w:lang w:eastAsia="ja-JP"/>
        </w:rPr>
        <w:t>rouge</w:t>
      </w:r>
      <w:r w:rsidRPr="00A51C82">
        <w:rPr>
          <w:rFonts w:eastAsia="MS Mincho"/>
          <w:szCs w:val="20"/>
          <w:lang w:eastAsia="ja-JP"/>
        </w:rPr>
        <w:t xml:space="preserve"> et bleue, limitation à Saint-Denis Pleyel du prolongement Nord de la ligne 14, constitution d’une ligne de rocade continue entre le sud et le nord des Hauts-de-Seine, évolution des caractéristiques de la liaison Orly – Versailles (avec desserte par un métro automatique à capacité adaptée, susceptible d’évoluer avec les besoins de transport), séquencement de la mise en œuvre de la liaison Orly – Versailles – Nanterre. Un réseau complémentaire structurant ou « ligne orange » était par ailleurs proposé pour compléter les liaisons offertes par le réseau de transport public du Grand Paris (centre de la Seine-Saint-Denis ainsi que nord des Hauts-de-Seine). Enfin, des évolutions à l’échelle des territoires ont été retenues à la suite du débat public en matière de tracés et d’implantation prévisionnelle des gares ; à titre d’exemple, la carte ci-contre</w:t>
      </w:r>
      <w:r w:rsidR="00094982">
        <w:rPr>
          <w:rFonts w:eastAsia="MS Mincho"/>
          <w:szCs w:val="20"/>
          <w:lang w:eastAsia="ja-JP"/>
        </w:rPr>
        <w:t xml:space="preserve"> </w:t>
      </w:r>
      <w:r w:rsidRPr="00A51C82">
        <w:rPr>
          <w:rFonts w:eastAsia="MS Mincho"/>
          <w:szCs w:val="20"/>
          <w:lang w:eastAsia="ja-JP"/>
        </w:rPr>
        <w:t>illustre les évolutions apportées à l’implantation des gares du réseau à la suite du débat public.</w:t>
      </w:r>
    </w:p>
    <w:p w14:paraId="5DEE1FB1" w14:textId="77777777" w:rsidR="00A51C82" w:rsidRPr="00A51C82" w:rsidRDefault="00A51C82" w:rsidP="004C4CA3">
      <w:pPr>
        <w:jc w:val="both"/>
        <w:rPr>
          <w:rFonts w:eastAsia="MS Mincho"/>
          <w:color w:val="4F81BD"/>
          <w:szCs w:val="20"/>
          <w:lang w:eastAsia="ja-JP"/>
        </w:rPr>
      </w:pPr>
    </w:p>
    <w:p w14:paraId="1342A338" w14:textId="4FC4A412" w:rsidR="00A51C82" w:rsidRDefault="00A51C82" w:rsidP="004C4CA3">
      <w:pPr>
        <w:keepNext/>
        <w:keepLines/>
        <w:autoSpaceDE w:val="0"/>
        <w:autoSpaceDN w:val="0"/>
        <w:adjustRightInd w:val="0"/>
        <w:jc w:val="both"/>
        <w:rPr>
          <w:rFonts w:eastAsia="Times New Roman"/>
          <w:szCs w:val="20"/>
          <w:lang w:eastAsia="ja-JP"/>
        </w:rPr>
      </w:pPr>
      <w:r w:rsidRPr="00A51C82">
        <w:rPr>
          <w:rFonts w:eastAsia="Times New Roman"/>
          <w:szCs w:val="20"/>
          <w:lang w:eastAsia="ja-JP"/>
        </w:rPr>
        <w:lastRenderedPageBreak/>
        <w:t xml:space="preserve">Les orientations de l’acte motivé se sont fondées sur </w:t>
      </w:r>
      <w:r w:rsidR="008072BC" w:rsidRPr="00A51C82">
        <w:rPr>
          <w:rFonts w:eastAsia="Times New Roman"/>
          <w:szCs w:val="20"/>
          <w:lang w:eastAsia="ja-JP"/>
        </w:rPr>
        <w:t xml:space="preserve">une </w:t>
      </w:r>
      <w:r w:rsidR="008072BC" w:rsidRPr="00A51C82">
        <w:rPr>
          <w:rFonts w:eastAsia="Times New Roman"/>
          <w:b/>
          <w:szCs w:val="20"/>
          <w:lang w:eastAsia="ja-JP"/>
        </w:rPr>
        <w:t>analyse multicritère</w:t>
      </w:r>
      <w:r w:rsidRPr="00A51C82">
        <w:rPr>
          <w:rFonts w:eastAsia="Times New Roman"/>
          <w:szCs w:val="20"/>
          <w:lang w:eastAsia="ja-JP"/>
        </w:rPr>
        <w:t xml:space="preserve"> portant sur les paramètres suivants :</w:t>
      </w:r>
    </w:p>
    <w:p w14:paraId="7E7C4D9E" w14:textId="77777777" w:rsidR="00094982" w:rsidRPr="00A51C82" w:rsidRDefault="00094982" w:rsidP="004C4CA3">
      <w:pPr>
        <w:keepNext/>
        <w:keepLines/>
        <w:autoSpaceDE w:val="0"/>
        <w:autoSpaceDN w:val="0"/>
        <w:adjustRightInd w:val="0"/>
        <w:jc w:val="both"/>
        <w:rPr>
          <w:rFonts w:eastAsia="Times New Roman"/>
          <w:szCs w:val="20"/>
          <w:lang w:eastAsia="ja-JP"/>
        </w:rPr>
      </w:pPr>
    </w:p>
    <w:p w14:paraId="01BAA209" w14:textId="77777777" w:rsidR="00A51C82" w:rsidRPr="00A51C82" w:rsidRDefault="00A51C82" w:rsidP="0083506E">
      <w:pPr>
        <w:keepNext/>
        <w:keepLines/>
        <w:numPr>
          <w:ilvl w:val="0"/>
          <w:numId w:val="13"/>
        </w:numPr>
        <w:spacing w:before="120" w:after="120"/>
        <w:ind w:left="714" w:hanging="357"/>
        <w:contextualSpacing/>
        <w:jc w:val="both"/>
        <w:rPr>
          <w:rFonts w:eastAsia="Times New Roman"/>
          <w:szCs w:val="20"/>
          <w:lang w:eastAsia="ja-JP"/>
        </w:rPr>
      </w:pPr>
      <w:r w:rsidRPr="00A51C82">
        <w:rPr>
          <w:rFonts w:eastAsia="Times New Roman"/>
          <w:szCs w:val="20"/>
          <w:lang w:eastAsia="ja-JP"/>
        </w:rPr>
        <w:t>enjeux en matière de déplacements (prévisions de trafic, effets de désaturation du réseau existant, opportunités de maillage) ;</w:t>
      </w:r>
    </w:p>
    <w:p w14:paraId="6FE6DBA7" w14:textId="77777777" w:rsidR="00A51C82" w:rsidRPr="00A51C82" w:rsidRDefault="00A51C82" w:rsidP="0083506E">
      <w:pPr>
        <w:keepNext/>
        <w:keepLines/>
        <w:numPr>
          <w:ilvl w:val="0"/>
          <w:numId w:val="13"/>
        </w:numPr>
        <w:spacing w:before="120" w:after="120"/>
        <w:ind w:left="714" w:hanging="357"/>
        <w:contextualSpacing/>
        <w:jc w:val="both"/>
        <w:rPr>
          <w:rFonts w:eastAsia="Times New Roman"/>
          <w:szCs w:val="20"/>
          <w:lang w:eastAsia="ja-JP"/>
        </w:rPr>
      </w:pPr>
      <w:r w:rsidRPr="00A51C82">
        <w:rPr>
          <w:rFonts w:eastAsia="Times New Roman"/>
          <w:szCs w:val="20"/>
          <w:lang w:eastAsia="ja-JP"/>
        </w:rPr>
        <w:t>enjeux en matière d’apport économique, social et urbain (accompagnement de projets de développement ou d’aménagement) ;</w:t>
      </w:r>
    </w:p>
    <w:p w14:paraId="06859234" w14:textId="77777777" w:rsidR="00A51C82" w:rsidRPr="00A51C82" w:rsidRDefault="00A51C82" w:rsidP="0083506E">
      <w:pPr>
        <w:keepNext/>
        <w:keepLines/>
        <w:numPr>
          <w:ilvl w:val="0"/>
          <w:numId w:val="13"/>
        </w:numPr>
        <w:spacing w:before="120" w:after="120"/>
        <w:ind w:left="714" w:hanging="357"/>
        <w:contextualSpacing/>
        <w:jc w:val="both"/>
        <w:rPr>
          <w:rFonts w:eastAsia="Times New Roman"/>
          <w:szCs w:val="20"/>
          <w:lang w:eastAsia="ja-JP"/>
        </w:rPr>
      </w:pPr>
      <w:r w:rsidRPr="00A51C82">
        <w:rPr>
          <w:rFonts w:eastAsia="Times New Roman"/>
          <w:szCs w:val="20"/>
          <w:lang w:eastAsia="ja-JP"/>
        </w:rPr>
        <w:t>le cas échéant, caractéristiques d’insertion et niveau de complexité estimé des ouvrages.</w:t>
      </w:r>
    </w:p>
    <w:p w14:paraId="4D469B19" w14:textId="77777777" w:rsidR="00A51C82" w:rsidRPr="00A51C82" w:rsidRDefault="00A51C82" w:rsidP="004C4CA3">
      <w:pPr>
        <w:keepNext/>
        <w:keepLines/>
        <w:autoSpaceDE w:val="0"/>
        <w:autoSpaceDN w:val="0"/>
        <w:adjustRightInd w:val="0"/>
        <w:jc w:val="both"/>
        <w:rPr>
          <w:rFonts w:eastAsia="Times New Roman"/>
          <w:color w:val="4F81BD"/>
          <w:szCs w:val="20"/>
          <w:lang w:eastAsia="ja-JP"/>
        </w:rPr>
      </w:pPr>
    </w:p>
    <w:p w14:paraId="28B8EF7E" w14:textId="49BA828F" w:rsidR="00A51C82" w:rsidRDefault="00A51C82" w:rsidP="004C4CA3">
      <w:pPr>
        <w:jc w:val="both"/>
        <w:rPr>
          <w:rFonts w:eastAsia="MS Mincho"/>
          <w:szCs w:val="20"/>
          <w:lang w:eastAsia="ja-JP"/>
        </w:rPr>
      </w:pPr>
      <w:r w:rsidRPr="00A51C82">
        <w:rPr>
          <w:rFonts w:eastAsia="MS Mincho"/>
          <w:szCs w:val="20"/>
          <w:lang w:eastAsia="ja-JP"/>
        </w:rPr>
        <w:t>Sur la base de l’acte motivé du 26 mai 2011, le schéma d’ensemble du réseau de transport public du Grand Paris a été approuvé par décret en Conseil d’Etat le 24 août 2011.</w:t>
      </w:r>
      <w:r w:rsidRPr="00A51C82">
        <w:rPr>
          <w:rFonts w:eastAsia="MS Mincho"/>
          <w:sz w:val="18"/>
          <w:szCs w:val="18"/>
          <w:lang w:eastAsia="ja-JP"/>
        </w:rPr>
        <w:t xml:space="preserve"> </w:t>
      </w:r>
      <w:r w:rsidRPr="00A51C82">
        <w:rPr>
          <w:rFonts w:eastAsia="MS Mincho"/>
          <w:szCs w:val="20"/>
          <w:lang w:eastAsia="ja-JP"/>
        </w:rPr>
        <w:t>Il constitue un jalon majeur dans la définition du programme, ainsi qu’un document de référence pour les études menées depuis lors en vue de préciser la faisabilité et les hypothèses de conception des ouvrages à réaliser :</w:t>
      </w:r>
    </w:p>
    <w:p w14:paraId="61852F56" w14:textId="3D16F75D" w:rsidR="005631C9" w:rsidRPr="00A51C82" w:rsidRDefault="005631C9" w:rsidP="004C4CA3">
      <w:pPr>
        <w:jc w:val="both"/>
        <w:rPr>
          <w:rFonts w:eastAsia="MS Mincho"/>
          <w:szCs w:val="20"/>
          <w:lang w:eastAsia="ja-JP"/>
        </w:rPr>
      </w:pPr>
      <w:r w:rsidRPr="00D26DFC">
        <w:rPr>
          <w:noProof/>
          <w:lang w:eastAsia="fr-FR"/>
        </w:rPr>
        <w:drawing>
          <wp:anchor distT="0" distB="0" distL="114300" distR="114300" simplePos="0" relativeHeight="251664896" behindDoc="0" locked="0" layoutInCell="1" allowOverlap="1" wp14:anchorId="69C049DA" wp14:editId="48036EA4">
            <wp:simplePos x="0" y="0"/>
            <wp:positionH relativeFrom="column">
              <wp:align>right</wp:align>
            </wp:positionH>
            <wp:positionV relativeFrom="paragraph">
              <wp:posOffset>217170</wp:posOffset>
            </wp:positionV>
            <wp:extent cx="6457950" cy="4422775"/>
            <wp:effectExtent l="0" t="0" r="0" b="0"/>
            <wp:wrapSquare wrapText="bothSides"/>
            <wp:docPr id="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57950" cy="4422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C86D58" w14:textId="77777777" w:rsidR="00A51C82" w:rsidRPr="00A51C82" w:rsidRDefault="00A51C82" w:rsidP="004C4CA3">
      <w:pPr>
        <w:keepNext/>
        <w:keepLines/>
        <w:ind w:left="720"/>
        <w:jc w:val="both"/>
        <w:rPr>
          <w:rFonts w:eastAsia="MS Mincho"/>
          <w:szCs w:val="20"/>
          <w:lang w:eastAsia="ja-JP"/>
        </w:rPr>
      </w:pPr>
    </w:p>
    <w:p w14:paraId="7917A820" w14:textId="1777DD14" w:rsidR="00A51C82" w:rsidRPr="00A51C82" w:rsidRDefault="00A13130" w:rsidP="0083506E">
      <w:pPr>
        <w:keepNext/>
        <w:keepLines/>
        <w:numPr>
          <w:ilvl w:val="0"/>
          <w:numId w:val="14"/>
        </w:numPr>
        <w:jc w:val="both"/>
        <w:rPr>
          <w:rFonts w:eastAsia="MS Mincho"/>
          <w:szCs w:val="20"/>
          <w:lang w:eastAsia="ja-JP"/>
        </w:rPr>
      </w:pPr>
      <w:r>
        <w:rPr>
          <w:rFonts w:eastAsia="MS Mincho"/>
          <w:b/>
          <w:i/>
          <w:szCs w:val="20"/>
          <w:lang w:eastAsia="ja-JP"/>
        </w:rPr>
        <w:br w:type="column"/>
      </w:r>
      <w:r w:rsidR="00A51C82" w:rsidRPr="00A51C82">
        <w:rPr>
          <w:rFonts w:eastAsia="MS Mincho"/>
          <w:b/>
          <w:i/>
          <w:szCs w:val="20"/>
          <w:lang w:eastAsia="ja-JP"/>
        </w:rPr>
        <w:t>Pour le réseau de transport public du Grand Paris</w:t>
      </w:r>
      <w:r w:rsidR="00A51C82" w:rsidRPr="00A51C82">
        <w:rPr>
          <w:rFonts w:eastAsia="MS Mincho"/>
          <w:szCs w:val="20"/>
          <w:lang w:eastAsia="ja-JP"/>
        </w:rPr>
        <w:t>, des études de faisabilité réalisées en 2011 et en 2012 ont précisé les caractéristiques techniques du projet en prenant pour base les orientations du schéma d’ensemble (principes d’organisation des lignes, positions des gares). Les études, menées en partenariat avec les collectivités territoriales et les acteurs institutionnels concernés, ont</w:t>
      </w:r>
      <w:r w:rsidR="00156BA6">
        <w:rPr>
          <w:rFonts w:eastAsia="MS Mincho"/>
          <w:szCs w:val="20"/>
          <w:lang w:eastAsia="ja-JP"/>
        </w:rPr>
        <w:t xml:space="preserve"> notamment porté sur les option</w:t>
      </w:r>
      <w:r w:rsidR="00A51C82" w:rsidRPr="00A51C82">
        <w:rPr>
          <w:rFonts w:eastAsia="MS Mincho"/>
          <w:szCs w:val="20"/>
          <w:lang w:eastAsia="ja-JP"/>
        </w:rPr>
        <w:t>s d’implantation précise des gares, les variantes locales de tracés et l’insertion des lignes.</w:t>
      </w:r>
    </w:p>
    <w:p w14:paraId="0DA305E8" w14:textId="77777777" w:rsidR="00A13130" w:rsidRPr="00D26DFC" w:rsidRDefault="00A13130" w:rsidP="00A13130">
      <w:pPr>
        <w:keepNext/>
        <w:keepLines/>
        <w:ind w:left="720"/>
        <w:jc w:val="both"/>
        <w:rPr>
          <w:rFonts w:eastAsia="MS Mincho"/>
          <w:sz w:val="24"/>
          <w:lang w:eastAsia="ja-JP"/>
        </w:rPr>
      </w:pPr>
    </w:p>
    <w:p w14:paraId="42264D54" w14:textId="77777777" w:rsidR="00A13130" w:rsidRPr="00A51C82" w:rsidRDefault="00A13130" w:rsidP="00A13130">
      <w:pPr>
        <w:keepNext/>
        <w:keepLines/>
        <w:numPr>
          <w:ilvl w:val="0"/>
          <w:numId w:val="14"/>
        </w:numPr>
        <w:jc w:val="both"/>
        <w:rPr>
          <w:rFonts w:eastAsia="MS Mincho"/>
          <w:sz w:val="24"/>
          <w:lang w:eastAsia="ja-JP"/>
        </w:rPr>
      </w:pPr>
      <w:r w:rsidRPr="00A51C82">
        <w:rPr>
          <w:rFonts w:eastAsia="MS Mincho"/>
          <w:szCs w:val="20"/>
          <w:lang w:eastAsia="ja-JP"/>
        </w:rPr>
        <w:t xml:space="preserve">Le schéma d’ensemble proposait des hypothèses de tracés, de gares et d’organisation de l’exploitation pour le </w:t>
      </w:r>
      <w:r w:rsidRPr="00A51C82">
        <w:rPr>
          <w:rFonts w:eastAsia="MS Mincho"/>
          <w:b/>
          <w:i/>
          <w:szCs w:val="20"/>
          <w:lang w:eastAsia="ja-JP"/>
        </w:rPr>
        <w:t>réseau complémentaire structurant</w:t>
      </w:r>
      <w:r w:rsidRPr="00A51C82">
        <w:rPr>
          <w:rFonts w:eastAsia="MS Mincho"/>
          <w:szCs w:val="20"/>
          <w:lang w:eastAsia="ja-JP"/>
        </w:rPr>
        <w:t>, qu’il appartenait au STIF</w:t>
      </w:r>
      <w:r>
        <w:rPr>
          <w:rFonts w:eastAsia="MS Mincho"/>
          <w:szCs w:val="20"/>
          <w:lang w:eastAsia="ja-JP"/>
        </w:rPr>
        <w:t xml:space="preserve"> </w:t>
      </w:r>
      <w:r w:rsidRPr="00A51C82">
        <w:rPr>
          <w:rFonts w:eastAsia="MS Mincho"/>
          <w:szCs w:val="20"/>
          <w:lang w:eastAsia="ja-JP"/>
        </w:rPr>
        <w:t xml:space="preserve">(devenu Île-de-France Mobilités) de préciser, de confirmer ou d’amender. A cette fin, le STIF a mené des études de faisabilité en matière d’insertion et d’exploitation, qui ont permis de constituer le </w:t>
      </w:r>
      <w:r w:rsidRPr="00A51C82">
        <w:rPr>
          <w:rFonts w:eastAsia="MS Mincho"/>
          <w:i/>
          <w:szCs w:val="20"/>
          <w:lang w:eastAsia="ja-JP"/>
        </w:rPr>
        <w:t>dossier d’objectifs et de caractéristiques principales</w:t>
      </w:r>
      <w:r w:rsidRPr="00A51C82">
        <w:rPr>
          <w:rFonts w:eastAsia="MS Mincho"/>
          <w:szCs w:val="20"/>
          <w:lang w:eastAsia="ja-JP"/>
        </w:rPr>
        <w:t xml:space="preserve"> du projet de ligne orange</w:t>
      </w:r>
      <w:r>
        <w:rPr>
          <w:rFonts w:eastAsia="MS Mincho"/>
          <w:szCs w:val="20"/>
          <w:lang w:eastAsia="ja-JP"/>
        </w:rPr>
        <w:t xml:space="preserve"> (DOCP)</w:t>
      </w:r>
      <w:r w:rsidRPr="00A51C82">
        <w:rPr>
          <w:rFonts w:eastAsia="MS Mincho"/>
          <w:szCs w:val="20"/>
          <w:lang w:eastAsia="ja-JP"/>
        </w:rPr>
        <w:t xml:space="preserve">, approuvé par le Conseil du STIF en sa séance du 10 octobre 2012. Sur la base de ce document, le projet de ligne orange a fait l’objet d’une concertation spécifique, qui s’est déroulée du 11 février au 30 mars 2013. </w:t>
      </w:r>
    </w:p>
    <w:p w14:paraId="75698C9C" w14:textId="253BA45A" w:rsidR="00A13130" w:rsidRDefault="00A13130" w:rsidP="00A13130">
      <w:pPr>
        <w:jc w:val="both"/>
        <w:rPr>
          <w:rFonts w:eastAsia="MS Mincho"/>
          <w:szCs w:val="20"/>
          <w:lang w:eastAsia="ja-JP"/>
        </w:rPr>
      </w:pPr>
    </w:p>
    <w:p w14:paraId="19BBD085" w14:textId="77777777" w:rsidR="00A13130" w:rsidRPr="00A51C82" w:rsidRDefault="00A13130" w:rsidP="00A13130">
      <w:pPr>
        <w:pStyle w:val="Titre3"/>
      </w:pPr>
      <w:bookmarkStart w:id="50" w:name="_Toc406757038"/>
      <w:bookmarkStart w:id="51" w:name="_Toc46917061"/>
      <w:bookmarkStart w:id="52" w:name="_Toc63352132"/>
      <w:r w:rsidRPr="00A51C82">
        <w:t>Le Nouveau Grand Paris</w:t>
      </w:r>
      <w:bookmarkEnd w:id="50"/>
      <w:bookmarkEnd w:id="51"/>
      <w:bookmarkEnd w:id="52"/>
    </w:p>
    <w:p w14:paraId="553B3EAE" w14:textId="77777777" w:rsidR="00A13130" w:rsidRDefault="00A13130" w:rsidP="00A13130">
      <w:pPr>
        <w:keepNext/>
        <w:keepLines/>
        <w:jc w:val="both"/>
        <w:rPr>
          <w:rFonts w:eastAsia="MS Mincho"/>
          <w:szCs w:val="20"/>
          <w:lang w:eastAsia="ja-JP"/>
        </w:rPr>
      </w:pPr>
    </w:p>
    <w:p w14:paraId="5CE0742C" w14:textId="77777777" w:rsidR="00A13130" w:rsidRPr="00A51C82" w:rsidRDefault="00A13130" w:rsidP="00A13130">
      <w:pPr>
        <w:keepNext/>
        <w:keepLines/>
        <w:jc w:val="both"/>
        <w:rPr>
          <w:rFonts w:eastAsia="MS Mincho"/>
          <w:szCs w:val="20"/>
          <w:lang w:eastAsia="ja-JP"/>
        </w:rPr>
      </w:pPr>
      <w:r w:rsidRPr="00A51C82">
        <w:rPr>
          <w:rFonts w:eastAsia="MS Mincho"/>
          <w:szCs w:val="20"/>
          <w:lang w:eastAsia="ja-JP"/>
        </w:rPr>
        <w:t>En 2012, en perspective du lancement de la phase opérationnelle du projet, le gouvernement a souhaité procéder à une analyse des variantes de programme, de calendrier et de financement du Grand Paris Express.</w:t>
      </w:r>
      <w:r>
        <w:rPr>
          <w:rFonts w:eastAsia="MS Mincho"/>
          <w:szCs w:val="20"/>
          <w:lang w:eastAsia="ja-JP"/>
        </w:rPr>
        <w:t xml:space="preserve"> U</w:t>
      </w:r>
      <w:r w:rsidRPr="00A51C82">
        <w:rPr>
          <w:rFonts w:eastAsia="MS Mincho"/>
          <w:szCs w:val="20"/>
          <w:lang w:eastAsia="ja-JP"/>
        </w:rPr>
        <w:t xml:space="preserve">ne mission d’expertise a été lancée </w:t>
      </w:r>
      <w:r>
        <w:rPr>
          <w:rFonts w:eastAsia="MS Mincho"/>
          <w:szCs w:val="20"/>
          <w:lang w:eastAsia="ja-JP"/>
        </w:rPr>
        <w:t>l</w:t>
      </w:r>
      <w:r w:rsidRPr="00A51C82">
        <w:rPr>
          <w:rFonts w:eastAsia="MS Mincho"/>
          <w:szCs w:val="20"/>
          <w:lang w:eastAsia="ja-JP"/>
        </w:rPr>
        <w:t>e 1</w:t>
      </w:r>
      <w:r w:rsidRPr="00A51C82">
        <w:rPr>
          <w:rFonts w:eastAsia="MS Mincho"/>
          <w:szCs w:val="20"/>
          <w:vertAlign w:val="superscript"/>
          <w:lang w:eastAsia="ja-JP"/>
        </w:rPr>
        <w:t>er</w:t>
      </w:r>
      <w:r w:rsidRPr="00A51C82">
        <w:rPr>
          <w:rFonts w:eastAsia="MS Mincho"/>
          <w:szCs w:val="20"/>
          <w:lang w:eastAsia="ja-JP"/>
        </w:rPr>
        <w:t xml:space="preserve"> septembre 2012</w:t>
      </w:r>
      <w:r>
        <w:rPr>
          <w:rFonts w:eastAsia="MS Mincho"/>
          <w:szCs w:val="20"/>
          <w:lang w:eastAsia="ja-JP"/>
        </w:rPr>
        <w:t xml:space="preserve"> </w:t>
      </w:r>
      <w:r w:rsidRPr="00A51C82">
        <w:rPr>
          <w:rFonts w:eastAsia="MS Mincho"/>
          <w:szCs w:val="20"/>
          <w:lang w:eastAsia="ja-JP"/>
        </w:rPr>
        <w:t xml:space="preserve">et ses conclusions présentées le 13 décembre 2012. </w:t>
      </w:r>
    </w:p>
    <w:p w14:paraId="29D5A975" w14:textId="77777777" w:rsidR="00A13130" w:rsidRPr="00A51C82" w:rsidRDefault="00A13130" w:rsidP="00A13130">
      <w:pPr>
        <w:keepNext/>
        <w:keepLines/>
        <w:jc w:val="both"/>
        <w:rPr>
          <w:rFonts w:eastAsia="MS Mincho"/>
          <w:szCs w:val="20"/>
          <w:lang w:eastAsia="ja-JP"/>
        </w:rPr>
      </w:pPr>
    </w:p>
    <w:p w14:paraId="04D2AF72" w14:textId="77777777" w:rsidR="00A13130" w:rsidRPr="00A51C82" w:rsidRDefault="00A13130" w:rsidP="00A13130">
      <w:pPr>
        <w:keepNext/>
        <w:keepLines/>
        <w:jc w:val="both"/>
        <w:rPr>
          <w:rFonts w:eastAsia="MS Mincho"/>
          <w:szCs w:val="20"/>
          <w:lang w:eastAsia="ja-JP"/>
        </w:rPr>
      </w:pPr>
      <w:r w:rsidRPr="00A51C82">
        <w:rPr>
          <w:rFonts w:eastAsia="MS Mincho"/>
          <w:szCs w:val="20"/>
          <w:lang w:eastAsia="ja-JP"/>
        </w:rPr>
        <w:t xml:space="preserve">Les travaux ont été poursuivis et approfondis au sein d’un groupe de travail inter-administratif, qui a permis d’établir des orientations et d’arrêter des décisions partagées sur la définition des projets (relevant à la fois du Grand Paris Express ainsi que de la modernisation et de l’extension du réseau existant), leur calendrier, leur financement et leur mise en œuvre. Ces orientations ont été présentées le 6 mars 2013 par le Gouvernement sous l’appellation « </w:t>
      </w:r>
      <w:r w:rsidRPr="00A51C82">
        <w:rPr>
          <w:rFonts w:eastAsia="MS Mincho"/>
          <w:b/>
          <w:szCs w:val="20"/>
          <w:lang w:eastAsia="ja-JP"/>
        </w:rPr>
        <w:t>Le Nouveau Grand Paris</w:t>
      </w:r>
      <w:r w:rsidRPr="00A51C82">
        <w:rPr>
          <w:rFonts w:eastAsia="MS Mincho"/>
          <w:szCs w:val="20"/>
          <w:lang w:eastAsia="ja-JP"/>
        </w:rPr>
        <w:t xml:space="preserve"> ».</w:t>
      </w:r>
    </w:p>
    <w:p w14:paraId="6978A956" w14:textId="77777777" w:rsidR="00A13130" w:rsidRPr="00A51C82" w:rsidRDefault="00A13130" w:rsidP="00A13130">
      <w:pPr>
        <w:keepNext/>
        <w:keepLines/>
        <w:jc w:val="both"/>
        <w:rPr>
          <w:rFonts w:eastAsia="MS Mincho"/>
          <w:szCs w:val="20"/>
          <w:lang w:eastAsia="ja-JP"/>
        </w:rPr>
      </w:pPr>
    </w:p>
    <w:p w14:paraId="5505302B" w14:textId="77777777" w:rsidR="00A13130" w:rsidRPr="00A51C82" w:rsidRDefault="00A13130" w:rsidP="00A13130">
      <w:pPr>
        <w:keepNext/>
        <w:keepLines/>
        <w:jc w:val="both"/>
        <w:rPr>
          <w:rFonts w:eastAsia="MS Mincho"/>
          <w:szCs w:val="20"/>
          <w:lang w:eastAsia="ja-JP"/>
        </w:rPr>
      </w:pPr>
      <w:r w:rsidRPr="00A51C82">
        <w:rPr>
          <w:rFonts w:eastAsia="MS Mincho"/>
          <w:szCs w:val="20"/>
          <w:lang w:eastAsia="ja-JP"/>
        </w:rPr>
        <w:t xml:space="preserve">Ce projet global réaffirme les enjeux relatifs au réseau de transport en commun francilien actuel, en mettant l’accent sur les objectifs d’amélioration à court terme du service offert (information voyageurs, fiabilité et régularité des lignes) et sur les opérations de modernisation et d’extension du réseau existant prévues au Plan de mobilisation pour les transports. </w:t>
      </w:r>
      <w:r w:rsidRPr="00A51C82">
        <w:rPr>
          <w:rFonts w:eastAsia="MS Mincho"/>
          <w:b/>
          <w:szCs w:val="20"/>
          <w:lang w:eastAsia="ja-JP"/>
        </w:rPr>
        <w:t xml:space="preserve">En ce qui concerne le réseau Grand Paris Express, les orientations ont consisté notamment à </w:t>
      </w:r>
      <w:r>
        <w:rPr>
          <w:rFonts w:eastAsia="MS Mincho"/>
          <w:b/>
          <w:szCs w:val="20"/>
          <w:lang w:eastAsia="ja-JP"/>
        </w:rPr>
        <w:t xml:space="preserve">réduire </w:t>
      </w:r>
      <w:r w:rsidRPr="00A51C82">
        <w:rPr>
          <w:rFonts w:eastAsia="MS Mincho"/>
          <w:b/>
          <w:szCs w:val="20"/>
          <w:lang w:eastAsia="ja-JP"/>
        </w:rPr>
        <w:t xml:space="preserve">la capacité de transport envisagée sur certains tronçons </w:t>
      </w:r>
      <w:r>
        <w:rPr>
          <w:rFonts w:eastAsia="MS Mincho"/>
          <w:b/>
          <w:szCs w:val="20"/>
          <w:lang w:eastAsia="ja-JP"/>
        </w:rPr>
        <w:t>pour l’</w:t>
      </w:r>
      <w:r w:rsidRPr="00A51C82">
        <w:rPr>
          <w:rFonts w:eastAsia="MS Mincho"/>
          <w:b/>
          <w:szCs w:val="20"/>
          <w:lang w:eastAsia="ja-JP"/>
        </w:rPr>
        <w:t>adapter aux trafics attendus sur la base des prévisions faites à l’époque.</w:t>
      </w:r>
      <w:r w:rsidRPr="00A51C82">
        <w:rPr>
          <w:rFonts w:eastAsia="MS Mincho"/>
          <w:szCs w:val="20"/>
          <w:lang w:eastAsia="ja-JP"/>
        </w:rPr>
        <w:t xml:space="preserve"> </w:t>
      </w:r>
    </w:p>
    <w:p w14:paraId="39B4E309" w14:textId="77777777" w:rsidR="00A13130" w:rsidRPr="00A51C82" w:rsidRDefault="00A13130" w:rsidP="00A13130">
      <w:pPr>
        <w:keepNext/>
        <w:keepLines/>
        <w:jc w:val="both"/>
        <w:rPr>
          <w:rFonts w:eastAsia="MS Mincho"/>
          <w:szCs w:val="20"/>
          <w:lang w:eastAsia="ja-JP"/>
        </w:rPr>
      </w:pPr>
    </w:p>
    <w:p w14:paraId="6B76B01A" w14:textId="77777777" w:rsidR="00A13130" w:rsidRPr="00A51C82" w:rsidRDefault="00A13130" w:rsidP="00A13130">
      <w:pPr>
        <w:keepNext/>
        <w:keepLines/>
        <w:jc w:val="both"/>
        <w:rPr>
          <w:rFonts w:eastAsia="MS Mincho"/>
          <w:szCs w:val="20"/>
          <w:lang w:eastAsia="ja-JP"/>
        </w:rPr>
      </w:pPr>
      <w:r w:rsidRPr="00A51C82">
        <w:rPr>
          <w:rFonts w:eastAsia="MS Mincho"/>
          <w:szCs w:val="20"/>
          <w:lang w:eastAsia="ja-JP"/>
        </w:rPr>
        <w:t xml:space="preserve">La traduction de ces orientations en termes de schéma d’exploitation prévisionnel et de dimensionnement de l’offre de </w:t>
      </w:r>
      <w:r w:rsidRPr="005631C9">
        <w:rPr>
          <w:rFonts w:eastAsia="MS Mincho"/>
          <w:szCs w:val="20"/>
          <w:lang w:eastAsia="ja-JP"/>
        </w:rPr>
        <w:t>transport a conduit à définir, à partir du réseau de transport public du Grand Paris et du réseau complémentaire structurant, trois ensembles de projets constitutifs du Grand Paris Express</w:t>
      </w:r>
      <w:r w:rsidRPr="005631C9">
        <w:rPr>
          <w:rStyle w:val="Appelnotedebasdep"/>
          <w:rFonts w:eastAsia="MS Mincho"/>
          <w:szCs w:val="20"/>
          <w:lang w:eastAsia="ja-JP"/>
        </w:rPr>
        <w:footnoteReference w:id="13"/>
      </w:r>
      <w:r w:rsidRPr="005631C9">
        <w:rPr>
          <w:rFonts w:eastAsia="MS Mincho"/>
          <w:szCs w:val="20"/>
          <w:lang w:eastAsia="ja-JP"/>
        </w:rPr>
        <w:t xml:space="preserve"> :</w:t>
      </w:r>
    </w:p>
    <w:p w14:paraId="434EBB7F" w14:textId="77777777" w:rsidR="00A13130" w:rsidRPr="00A51C82" w:rsidRDefault="00A13130" w:rsidP="00A13130">
      <w:pPr>
        <w:keepNext/>
        <w:keepLines/>
        <w:jc w:val="both"/>
        <w:rPr>
          <w:rFonts w:eastAsia="MS Mincho"/>
          <w:szCs w:val="20"/>
          <w:lang w:eastAsia="ja-JP"/>
        </w:rPr>
      </w:pPr>
    </w:p>
    <w:p w14:paraId="3E7BE043" w14:textId="77777777" w:rsidR="00A13130" w:rsidRPr="00A51C82" w:rsidRDefault="00A13130" w:rsidP="00A13130">
      <w:pPr>
        <w:keepNext/>
        <w:keepLines/>
        <w:numPr>
          <w:ilvl w:val="0"/>
          <w:numId w:val="15"/>
        </w:numPr>
        <w:ind w:left="714" w:hanging="357"/>
        <w:jc w:val="both"/>
        <w:rPr>
          <w:rFonts w:eastAsia="Times New Roman"/>
          <w:szCs w:val="20"/>
          <w:lang w:eastAsia="ja-JP"/>
        </w:rPr>
      </w:pPr>
      <w:r w:rsidRPr="00A51C82">
        <w:rPr>
          <w:rFonts w:eastAsia="Times New Roman"/>
          <w:szCs w:val="20"/>
          <w:lang w:eastAsia="ja-JP"/>
        </w:rPr>
        <w:t>une liaison de rocade (ligne 15), regroupant les tronçons les plus chargés des lignes rouge et orange et assurant tout particulièrement la désaturation des réseaux de transport en commun en cœur d’agglomération ;</w:t>
      </w:r>
    </w:p>
    <w:p w14:paraId="31573E1C" w14:textId="77777777" w:rsidR="00A13130" w:rsidRPr="00A51C82" w:rsidRDefault="00A13130" w:rsidP="00A13130">
      <w:pPr>
        <w:keepNext/>
        <w:keepLines/>
        <w:numPr>
          <w:ilvl w:val="0"/>
          <w:numId w:val="15"/>
        </w:numPr>
        <w:ind w:left="714" w:hanging="357"/>
        <w:jc w:val="both"/>
        <w:rPr>
          <w:rFonts w:eastAsia="Times New Roman"/>
          <w:szCs w:val="20"/>
          <w:lang w:eastAsia="ja-JP"/>
        </w:rPr>
      </w:pPr>
      <w:r w:rsidRPr="00A51C82">
        <w:rPr>
          <w:rFonts w:eastAsia="Times New Roman"/>
          <w:szCs w:val="20"/>
          <w:lang w:eastAsia="ja-JP"/>
        </w:rPr>
        <w:t>des métros automatiques à capacité dite « adaptée » (lignes 16, 17 et 18) pour la desserte des territoires en développement, concernant les tronçons nord-est et est de la ligne rouge ainsi que la ligne verte entre Orly et Versailles ;</w:t>
      </w:r>
    </w:p>
    <w:p w14:paraId="7AF694DB" w14:textId="77777777" w:rsidR="00A13130" w:rsidRPr="00A51C82" w:rsidRDefault="00A13130" w:rsidP="00A13130">
      <w:pPr>
        <w:keepNext/>
        <w:keepLines/>
        <w:numPr>
          <w:ilvl w:val="0"/>
          <w:numId w:val="15"/>
        </w:numPr>
        <w:spacing w:after="280"/>
        <w:jc w:val="both"/>
        <w:rPr>
          <w:rFonts w:eastAsia="Times New Roman"/>
          <w:szCs w:val="20"/>
          <w:lang w:eastAsia="ja-JP"/>
        </w:rPr>
      </w:pPr>
      <w:r w:rsidRPr="00A51C82">
        <w:rPr>
          <w:rFonts w:eastAsia="Times New Roman"/>
          <w:szCs w:val="20"/>
          <w:lang w:eastAsia="ja-JP"/>
        </w:rPr>
        <w:t xml:space="preserve">des prolongements de lignes de métro existantes : ligne 14 au nord (Saint-Denis Pleyel) et au sud (Orly), ligne 11 à l’est (Noisy-Champs). </w:t>
      </w:r>
    </w:p>
    <w:p w14:paraId="7C1CC79D" w14:textId="13F9D9DD" w:rsidR="00A13130" w:rsidRDefault="00A13130" w:rsidP="00A13130">
      <w:pPr>
        <w:jc w:val="both"/>
        <w:rPr>
          <w:rFonts w:eastAsia="MS Mincho"/>
          <w:szCs w:val="20"/>
          <w:lang w:eastAsia="ja-JP"/>
        </w:rPr>
      </w:pPr>
    </w:p>
    <w:p w14:paraId="630B8752" w14:textId="77777777" w:rsidR="00A13130" w:rsidRDefault="00A13130" w:rsidP="00A13130">
      <w:pPr>
        <w:keepNext/>
        <w:keepLines/>
        <w:autoSpaceDE w:val="0"/>
        <w:autoSpaceDN w:val="0"/>
        <w:adjustRightInd w:val="0"/>
        <w:jc w:val="both"/>
        <w:rPr>
          <w:rFonts w:eastAsia="MS Mincho"/>
          <w:szCs w:val="20"/>
          <w:lang w:eastAsia="ja-JP"/>
        </w:rPr>
      </w:pPr>
      <w:r w:rsidRPr="00A51C82">
        <w:rPr>
          <w:rFonts w:eastAsia="MS Mincho"/>
          <w:szCs w:val="20"/>
          <w:lang w:eastAsia="ja-JP"/>
        </w:rPr>
        <w:lastRenderedPageBreak/>
        <w:t>En matière de calendrier, le Nouveau Grand Paris présente un échéancier de mise en service progressive et continue des différents projets relevant à la fois du Plan de mobilisation pour les transports et du programme Grand Paris Express, jusqu’à l’horizon 2030.</w:t>
      </w:r>
      <w:r w:rsidRPr="000C142F">
        <w:rPr>
          <w:rFonts w:eastAsia="MS Mincho"/>
          <w:szCs w:val="20"/>
          <w:lang w:eastAsia="ja-JP"/>
        </w:rPr>
        <w:t xml:space="preserve"> </w:t>
      </w:r>
    </w:p>
    <w:p w14:paraId="4C533871" w14:textId="77777777" w:rsidR="00A13130" w:rsidRDefault="00A13130" w:rsidP="00A13130">
      <w:pPr>
        <w:ind w:left="720"/>
        <w:jc w:val="both"/>
        <w:rPr>
          <w:rFonts w:eastAsia="MS Mincho"/>
          <w:szCs w:val="20"/>
          <w:lang w:eastAsia="ja-JP"/>
        </w:rPr>
      </w:pPr>
    </w:p>
    <w:p w14:paraId="2FA93738" w14:textId="77777777" w:rsidR="00A13130" w:rsidRDefault="00A13130" w:rsidP="00A13130">
      <w:pPr>
        <w:ind w:left="720"/>
        <w:jc w:val="both"/>
        <w:rPr>
          <w:rFonts w:eastAsia="MS Mincho"/>
          <w:szCs w:val="20"/>
          <w:lang w:eastAsia="ja-JP"/>
        </w:rPr>
      </w:pPr>
    </w:p>
    <w:p w14:paraId="7327BD76" w14:textId="77777777" w:rsidR="00A13130" w:rsidRDefault="00A13130" w:rsidP="00A13130">
      <w:pPr>
        <w:jc w:val="both"/>
        <w:rPr>
          <w:rFonts w:eastAsia="MS Mincho"/>
          <w:szCs w:val="20"/>
          <w:lang w:eastAsia="ja-JP"/>
        </w:rPr>
      </w:pPr>
    </w:p>
    <w:p w14:paraId="60187496" w14:textId="6149BB62" w:rsidR="008072BC" w:rsidRDefault="008072BC" w:rsidP="008072BC">
      <w:pPr>
        <w:keepNext/>
        <w:keepLines/>
        <w:autoSpaceDE w:val="0"/>
        <w:autoSpaceDN w:val="0"/>
        <w:adjustRightInd w:val="0"/>
        <w:jc w:val="both"/>
        <w:rPr>
          <w:rFonts w:eastAsia="MS Mincho"/>
          <w:szCs w:val="20"/>
          <w:lang w:eastAsia="ja-JP"/>
        </w:rPr>
      </w:pPr>
      <w:r>
        <w:rPr>
          <w:rFonts w:eastAsia="MS Mincho"/>
          <w:szCs w:val="20"/>
          <w:lang w:eastAsia="ja-JP"/>
        </w:rPr>
        <w:t>L</w:t>
      </w:r>
      <w:r w:rsidRPr="00A51C82">
        <w:rPr>
          <w:rFonts w:eastAsia="MS Mincho"/>
          <w:szCs w:val="20"/>
          <w:lang w:eastAsia="ja-JP"/>
        </w:rPr>
        <w:t xml:space="preserve">a Société du Grand Paris a été chargée de présenter un </w:t>
      </w:r>
      <w:r w:rsidRPr="00A51C82">
        <w:rPr>
          <w:rFonts w:eastAsia="MS Mincho"/>
          <w:b/>
          <w:szCs w:val="20"/>
          <w:lang w:eastAsia="ja-JP"/>
        </w:rPr>
        <w:t>programme d’optimisations techniques et fonctionnelles</w:t>
      </w:r>
      <w:r w:rsidRPr="00A51C82">
        <w:rPr>
          <w:rFonts w:eastAsia="MS Mincho"/>
          <w:szCs w:val="20"/>
          <w:lang w:eastAsia="ja-JP"/>
        </w:rPr>
        <w:t xml:space="preserve"> </w:t>
      </w:r>
      <w:r>
        <w:rPr>
          <w:rFonts w:eastAsia="MS Mincho"/>
          <w:szCs w:val="20"/>
          <w:lang w:eastAsia="ja-JP"/>
        </w:rPr>
        <w:t>pour</w:t>
      </w:r>
      <w:r w:rsidRPr="00A51C82">
        <w:rPr>
          <w:rFonts w:eastAsia="MS Mincho"/>
          <w:szCs w:val="20"/>
          <w:lang w:eastAsia="ja-JP"/>
        </w:rPr>
        <w:t xml:space="preserve"> permett</w:t>
      </w:r>
      <w:r>
        <w:rPr>
          <w:rFonts w:eastAsia="MS Mincho"/>
          <w:szCs w:val="20"/>
          <w:lang w:eastAsia="ja-JP"/>
        </w:rPr>
        <w:t>re</w:t>
      </w:r>
      <w:r w:rsidRPr="00A51C82">
        <w:rPr>
          <w:rFonts w:eastAsia="MS Mincho"/>
          <w:szCs w:val="20"/>
          <w:lang w:eastAsia="ja-JP"/>
        </w:rPr>
        <w:t xml:space="preserve"> d’atteindre un objectif de réduction des coûts d’investissement fixé à 3 milliards d’euros, tout en étant compatible avec le schéma d’ensemble approuvé le 24 août 2011. Le plan d’optimisations préparé par la Société du Grand Paris a fait l’objet d’éc</w:t>
      </w:r>
      <w:r>
        <w:rPr>
          <w:rFonts w:eastAsia="MS Mincho"/>
          <w:szCs w:val="20"/>
          <w:lang w:eastAsia="ja-JP"/>
        </w:rPr>
        <w:t xml:space="preserve">hanges techniques avec le STIF </w:t>
      </w:r>
      <w:r w:rsidRPr="00A51C82">
        <w:rPr>
          <w:rFonts w:eastAsia="MS Mincho"/>
          <w:szCs w:val="20"/>
          <w:lang w:eastAsia="ja-JP"/>
        </w:rPr>
        <w:t xml:space="preserve">(devenu Île-de-France Mobilités), la DRIEA, la direction générale des infrastructures, des transports et de la mer (DGITM) et la Région Île-de-France. Il a été présenté au comité de pilotage interministériel du Nouveau Grand Paris le 28 août 2013 et s’appuie sur les principaux éléments suivants à l’échelle du réseau : </w:t>
      </w:r>
    </w:p>
    <w:p w14:paraId="64A68E2B" w14:textId="77777777" w:rsidR="00836181" w:rsidRPr="00A51C82" w:rsidRDefault="00836181" w:rsidP="008072BC">
      <w:pPr>
        <w:keepNext/>
        <w:keepLines/>
        <w:autoSpaceDE w:val="0"/>
        <w:autoSpaceDN w:val="0"/>
        <w:adjustRightInd w:val="0"/>
        <w:jc w:val="both"/>
        <w:rPr>
          <w:rFonts w:eastAsia="MS Mincho"/>
          <w:szCs w:val="20"/>
          <w:lang w:eastAsia="ja-JP"/>
        </w:rPr>
      </w:pPr>
    </w:p>
    <w:p w14:paraId="253D8F30" w14:textId="77777777" w:rsidR="008072BC" w:rsidRPr="00A51C82" w:rsidRDefault="008072BC" w:rsidP="0083506E">
      <w:pPr>
        <w:keepNext/>
        <w:keepLines/>
        <w:numPr>
          <w:ilvl w:val="0"/>
          <w:numId w:val="13"/>
        </w:numPr>
        <w:contextualSpacing/>
        <w:jc w:val="both"/>
        <w:rPr>
          <w:rFonts w:eastAsia="Times New Roman"/>
          <w:szCs w:val="20"/>
          <w:lang w:eastAsia="ja-JP"/>
        </w:rPr>
      </w:pPr>
      <w:r w:rsidRPr="00A51C82">
        <w:rPr>
          <w:rFonts w:eastAsia="Times New Roman"/>
          <w:szCs w:val="20"/>
          <w:lang w:eastAsia="ja-JP"/>
        </w:rPr>
        <w:t>l’optimisation technique des projets de prolongements de la ligne 14 ;</w:t>
      </w:r>
    </w:p>
    <w:p w14:paraId="45AADF1B" w14:textId="77777777" w:rsidR="008072BC" w:rsidRPr="00A51C82" w:rsidRDefault="008072BC" w:rsidP="0083506E">
      <w:pPr>
        <w:keepNext/>
        <w:keepLines/>
        <w:numPr>
          <w:ilvl w:val="0"/>
          <w:numId w:val="13"/>
        </w:numPr>
        <w:contextualSpacing/>
        <w:jc w:val="both"/>
        <w:rPr>
          <w:rFonts w:eastAsia="Times New Roman"/>
          <w:szCs w:val="20"/>
          <w:lang w:eastAsia="ja-JP"/>
        </w:rPr>
      </w:pPr>
      <w:r w:rsidRPr="00A51C82">
        <w:rPr>
          <w:rFonts w:eastAsia="Times New Roman"/>
          <w:szCs w:val="20"/>
          <w:lang w:eastAsia="ja-JP"/>
        </w:rPr>
        <w:t>l’ajustement de la longueur des quais et de la capacité des trains de la ligne 15 (réduction de la longueur des rames de 120 mètres à 108 mètres) ;</w:t>
      </w:r>
    </w:p>
    <w:p w14:paraId="473DF144" w14:textId="77777777" w:rsidR="008072BC" w:rsidRPr="00A51C82" w:rsidRDefault="008072BC" w:rsidP="0083506E">
      <w:pPr>
        <w:keepNext/>
        <w:keepLines/>
        <w:numPr>
          <w:ilvl w:val="0"/>
          <w:numId w:val="13"/>
        </w:numPr>
        <w:contextualSpacing/>
        <w:jc w:val="both"/>
        <w:rPr>
          <w:rFonts w:eastAsia="Times New Roman"/>
          <w:szCs w:val="20"/>
          <w:lang w:eastAsia="ja-JP"/>
        </w:rPr>
      </w:pPr>
      <w:r w:rsidRPr="00A51C82">
        <w:rPr>
          <w:rFonts w:eastAsia="Times New Roman"/>
          <w:szCs w:val="20"/>
          <w:lang w:eastAsia="ja-JP"/>
        </w:rPr>
        <w:t>l’adaptation de la longueur des quais et de la capacité des trains des lignes 16 et 17 (réduction de la longueur des rames de 120 mètres à 54 mètres), avec le choix de systèmes identiques à ceux de la ligne 15, permettant des économies d’échelle ;</w:t>
      </w:r>
    </w:p>
    <w:p w14:paraId="2E5D8B1B" w14:textId="77777777" w:rsidR="008072BC" w:rsidRPr="00A51C82" w:rsidRDefault="008072BC" w:rsidP="0083506E">
      <w:pPr>
        <w:keepNext/>
        <w:keepLines/>
        <w:numPr>
          <w:ilvl w:val="0"/>
          <w:numId w:val="13"/>
        </w:numPr>
        <w:contextualSpacing/>
        <w:jc w:val="both"/>
        <w:rPr>
          <w:rFonts w:eastAsia="Times New Roman"/>
          <w:szCs w:val="20"/>
          <w:lang w:eastAsia="ja-JP"/>
        </w:rPr>
      </w:pPr>
      <w:r w:rsidRPr="00A51C82">
        <w:rPr>
          <w:rFonts w:eastAsia="Times New Roman"/>
          <w:szCs w:val="20"/>
          <w:lang w:eastAsia="ja-JP"/>
        </w:rPr>
        <w:t>la simplification de l’agencement des lignes 14, 15 et 16-17 à Saint-Denis Pleyel, permettant de réduire fortement la complexité des ouvrages et des méthodes constructives pour cette gare imbriquée ;</w:t>
      </w:r>
    </w:p>
    <w:p w14:paraId="1C3E7E2A" w14:textId="57E12CDC" w:rsidR="008072BC" w:rsidRPr="00836181" w:rsidRDefault="008072BC" w:rsidP="0083506E">
      <w:pPr>
        <w:keepNext/>
        <w:keepLines/>
        <w:numPr>
          <w:ilvl w:val="0"/>
          <w:numId w:val="13"/>
        </w:numPr>
        <w:contextualSpacing/>
        <w:jc w:val="both"/>
        <w:rPr>
          <w:rFonts w:eastAsia="Times New Roman"/>
          <w:szCs w:val="20"/>
          <w:lang w:eastAsia="ja-JP"/>
        </w:rPr>
      </w:pPr>
      <w:r w:rsidRPr="00A51C82">
        <w:rPr>
          <w:rFonts w:eastAsia="Times New Roman"/>
          <w:szCs w:val="20"/>
          <w:lang w:eastAsia="ja-JP"/>
        </w:rPr>
        <w:t>la réalisation de la ligne 18 avec un métro « adapté ».</w:t>
      </w:r>
    </w:p>
    <w:p w14:paraId="247AC7A8" w14:textId="7BC86948" w:rsidR="008072BC" w:rsidRPr="00A51C82" w:rsidRDefault="008072BC" w:rsidP="00412C10">
      <w:pPr>
        <w:pStyle w:val="Titre3"/>
        <w:numPr>
          <w:ilvl w:val="3"/>
          <w:numId w:val="33"/>
        </w:numPr>
      </w:pPr>
      <w:bookmarkStart w:id="53" w:name="_Toc46917062"/>
      <w:bookmarkStart w:id="54" w:name="_Toc63352133"/>
      <w:r w:rsidRPr="00A51C82">
        <w:t>Les décisions de février 2018</w:t>
      </w:r>
      <w:bookmarkEnd w:id="53"/>
      <w:bookmarkEnd w:id="54"/>
    </w:p>
    <w:p w14:paraId="154A4CEE" w14:textId="77777777" w:rsidR="008072BC" w:rsidRDefault="008072BC" w:rsidP="008072BC">
      <w:pPr>
        <w:widowControl w:val="0"/>
        <w:jc w:val="both"/>
        <w:rPr>
          <w:rFonts w:eastAsia="MS Mincho"/>
          <w:szCs w:val="20"/>
          <w:lang w:eastAsia="ja-JP"/>
        </w:rPr>
      </w:pPr>
    </w:p>
    <w:p w14:paraId="5E75F238" w14:textId="12DE7CAA" w:rsidR="008072BC" w:rsidRDefault="008072BC" w:rsidP="008072BC">
      <w:pPr>
        <w:widowControl w:val="0"/>
        <w:jc w:val="both"/>
        <w:rPr>
          <w:rFonts w:eastAsia="MS Mincho"/>
          <w:szCs w:val="20"/>
          <w:lang w:eastAsia="ja-JP"/>
        </w:rPr>
      </w:pPr>
      <w:r w:rsidRPr="00A51C82">
        <w:rPr>
          <w:rFonts w:eastAsia="MS Mincho"/>
          <w:szCs w:val="20"/>
          <w:lang w:eastAsia="ja-JP"/>
        </w:rPr>
        <w:t xml:space="preserve">La priorité accordée au contrôle de l’endettement public par le gouvernement installé après les élections présidentielles de mai 2017 </w:t>
      </w:r>
      <w:r>
        <w:rPr>
          <w:rFonts w:eastAsia="MS Mincho"/>
          <w:szCs w:val="20"/>
          <w:lang w:eastAsia="ja-JP"/>
        </w:rPr>
        <w:t>a amené</w:t>
      </w:r>
      <w:r w:rsidRPr="00A51C82">
        <w:rPr>
          <w:rFonts w:eastAsia="MS Mincho"/>
          <w:szCs w:val="20"/>
          <w:lang w:eastAsia="ja-JP"/>
        </w:rPr>
        <w:t xml:space="preserve"> un réexamen </w:t>
      </w:r>
      <w:r>
        <w:rPr>
          <w:rFonts w:eastAsia="MS Mincho"/>
          <w:szCs w:val="20"/>
          <w:lang w:eastAsia="ja-JP"/>
        </w:rPr>
        <w:t xml:space="preserve">du calendrier du projet </w:t>
      </w:r>
      <w:r w:rsidRPr="00A51C82">
        <w:rPr>
          <w:rFonts w:eastAsia="MS Mincho"/>
          <w:szCs w:val="20"/>
          <w:lang w:eastAsia="ja-JP"/>
        </w:rPr>
        <w:t>par le gouvernement à l’automne 2017</w:t>
      </w:r>
      <w:r w:rsidR="00836181" w:rsidRPr="00836181">
        <w:rPr>
          <w:rFonts w:eastAsia="MS Mincho"/>
          <w:szCs w:val="20"/>
          <w:lang w:eastAsia="ja-JP"/>
        </w:rPr>
        <w:t xml:space="preserve"> </w:t>
      </w:r>
      <w:r w:rsidR="00836181" w:rsidRPr="00A51C82">
        <w:rPr>
          <w:rFonts w:eastAsia="MS Mincho"/>
          <w:szCs w:val="20"/>
          <w:lang w:eastAsia="ja-JP"/>
        </w:rPr>
        <w:t>avec la volonté affirmée de doter la Société du Grand Paris d’une « feuille de route</w:t>
      </w:r>
      <w:r w:rsidR="00836181">
        <w:rPr>
          <w:rFonts w:eastAsia="MS Mincho"/>
          <w:szCs w:val="20"/>
          <w:lang w:eastAsia="ja-JP"/>
        </w:rPr>
        <w:t> »</w:t>
      </w:r>
      <w:r w:rsidR="00F2269E">
        <w:rPr>
          <w:rFonts w:eastAsia="MS Mincho"/>
          <w:szCs w:val="20"/>
          <w:lang w:eastAsia="ja-JP"/>
        </w:rPr>
        <w:t xml:space="preserve"> la plus réaliste possible</w:t>
      </w:r>
      <w:r w:rsidRPr="00A51C82">
        <w:rPr>
          <w:rFonts w:eastAsia="MS Mincho"/>
          <w:szCs w:val="20"/>
          <w:lang w:eastAsia="ja-JP"/>
        </w:rPr>
        <w:t xml:space="preserve">. </w:t>
      </w:r>
      <w:r w:rsidR="00575BD3">
        <w:rPr>
          <w:rFonts w:eastAsia="MS Mincho"/>
          <w:szCs w:val="20"/>
          <w:lang w:eastAsia="ja-JP"/>
        </w:rPr>
        <w:t>Un</w:t>
      </w:r>
      <w:r w:rsidRPr="00A51C82">
        <w:rPr>
          <w:rFonts w:eastAsia="MS Mincho"/>
          <w:szCs w:val="20"/>
          <w:lang w:eastAsia="ja-JP"/>
        </w:rPr>
        <w:t xml:space="preserve"> rapport de la Cour des Comptes déposé en décembre 2017 </w:t>
      </w:r>
      <w:r>
        <w:rPr>
          <w:rFonts w:eastAsia="MS Mincho"/>
          <w:szCs w:val="20"/>
          <w:lang w:eastAsia="ja-JP"/>
        </w:rPr>
        <w:t xml:space="preserve">avait </w:t>
      </w:r>
      <w:r w:rsidRPr="00A51C82">
        <w:rPr>
          <w:rFonts w:eastAsia="MS Mincho"/>
          <w:szCs w:val="20"/>
          <w:lang w:eastAsia="ja-JP"/>
        </w:rPr>
        <w:t xml:space="preserve">fait état d’une actualisation significative des coûts du projet. Le gouvernement </w:t>
      </w:r>
      <w:r>
        <w:rPr>
          <w:rFonts w:eastAsia="MS Mincho"/>
          <w:szCs w:val="20"/>
          <w:lang w:eastAsia="ja-JP"/>
        </w:rPr>
        <w:t xml:space="preserve">a </w:t>
      </w:r>
      <w:r w:rsidRPr="00A51C82">
        <w:rPr>
          <w:rFonts w:eastAsia="MS Mincho"/>
          <w:szCs w:val="20"/>
          <w:lang w:eastAsia="ja-JP"/>
        </w:rPr>
        <w:t>décid</w:t>
      </w:r>
      <w:r>
        <w:rPr>
          <w:rFonts w:eastAsia="MS Mincho"/>
          <w:szCs w:val="20"/>
          <w:lang w:eastAsia="ja-JP"/>
        </w:rPr>
        <w:t>é</w:t>
      </w:r>
      <w:r w:rsidRPr="00A51C82">
        <w:rPr>
          <w:rFonts w:eastAsia="MS Mincho"/>
          <w:szCs w:val="20"/>
          <w:lang w:eastAsia="ja-JP"/>
        </w:rPr>
        <w:t xml:space="preserve"> de faire le point sur les coûts et le calendrier possibles du projet, </w:t>
      </w:r>
      <w:r>
        <w:rPr>
          <w:rFonts w:eastAsia="MS Mincho"/>
          <w:szCs w:val="20"/>
          <w:lang w:eastAsia="ja-JP"/>
        </w:rPr>
        <w:t xml:space="preserve">et, dans ce cadre, </w:t>
      </w:r>
      <w:r w:rsidRPr="00A51C82">
        <w:rPr>
          <w:rFonts w:eastAsia="MS Mincho"/>
          <w:szCs w:val="20"/>
          <w:lang w:eastAsia="ja-JP"/>
        </w:rPr>
        <w:t>d’en étaler la réalisation pour réduire la pression sur l’endettement public et de faire entrer le projet dans une phase nouvelle en donnant la priorité à la ge</w:t>
      </w:r>
      <w:r>
        <w:rPr>
          <w:rFonts w:eastAsia="MS Mincho"/>
          <w:szCs w:val="20"/>
          <w:lang w:eastAsia="ja-JP"/>
        </w:rPr>
        <w:t>stion managériale et budgétaire</w:t>
      </w:r>
      <w:r w:rsidRPr="00A51C82">
        <w:rPr>
          <w:rFonts w:eastAsia="MS Mincho"/>
          <w:szCs w:val="20"/>
          <w:lang w:eastAsia="ja-JP"/>
        </w:rPr>
        <w:t>.</w:t>
      </w:r>
    </w:p>
    <w:p w14:paraId="6DDA2B2D" w14:textId="77777777" w:rsidR="008072BC" w:rsidRPr="00A51C82" w:rsidRDefault="008072BC" w:rsidP="008072BC">
      <w:pPr>
        <w:widowControl w:val="0"/>
        <w:jc w:val="both"/>
        <w:rPr>
          <w:rFonts w:eastAsia="MS Mincho"/>
          <w:szCs w:val="20"/>
          <w:lang w:eastAsia="ja-JP"/>
        </w:rPr>
      </w:pPr>
    </w:p>
    <w:p w14:paraId="65B75F92" w14:textId="77777777" w:rsidR="008072BC" w:rsidRPr="00A51C82" w:rsidRDefault="008072BC" w:rsidP="008072BC">
      <w:pPr>
        <w:widowControl w:val="0"/>
        <w:jc w:val="both"/>
        <w:rPr>
          <w:rFonts w:eastAsia="MS Mincho"/>
          <w:szCs w:val="20"/>
          <w:lang w:eastAsia="ja-JP"/>
        </w:rPr>
      </w:pPr>
      <w:r w:rsidRPr="00A51C82">
        <w:rPr>
          <w:rFonts w:eastAsia="MS Mincho"/>
          <w:szCs w:val="20"/>
          <w:lang w:eastAsia="ja-JP"/>
        </w:rPr>
        <w:t xml:space="preserve">Après une concertation avec toutes les parties prenantes, le Premier ministre a confirmé le projet dans ses annonces du 22 février 2018 et a présenté le calendrier prévisible de réalisation des travaux, sur la base des éléments techniques les plus récents disponibles à cette date. Il a entendu définir un rythme crédible et soutenable de réalisation des différentes lignes tenant compte des </w:t>
      </w:r>
      <w:r>
        <w:rPr>
          <w:rFonts w:eastAsia="MS Mincho"/>
          <w:szCs w:val="20"/>
          <w:lang w:eastAsia="ja-JP"/>
        </w:rPr>
        <w:t xml:space="preserve">contraintes techniques inhérentes à un tel projet, d’ampleur inédite en Europe, et de la capacité de </w:t>
      </w:r>
      <w:r w:rsidRPr="00A51C82">
        <w:rPr>
          <w:rFonts w:eastAsia="MS Mincho"/>
          <w:szCs w:val="20"/>
          <w:lang w:eastAsia="ja-JP"/>
        </w:rPr>
        <w:t xml:space="preserve">l’ensemble des entreprises </w:t>
      </w:r>
      <w:r>
        <w:rPr>
          <w:rFonts w:eastAsia="MS Mincho"/>
          <w:szCs w:val="20"/>
          <w:lang w:eastAsia="ja-JP"/>
        </w:rPr>
        <w:t xml:space="preserve">concernées </w:t>
      </w:r>
      <w:r w:rsidRPr="00A51C82">
        <w:rPr>
          <w:rFonts w:eastAsia="MS Mincho"/>
          <w:szCs w:val="20"/>
          <w:lang w:eastAsia="ja-JP"/>
        </w:rPr>
        <w:t>(bureaux de contrôle, ingénieries, entreprises</w:t>
      </w:r>
      <w:r>
        <w:rPr>
          <w:rFonts w:eastAsia="MS Mincho"/>
          <w:szCs w:val="20"/>
          <w:lang w:eastAsia="ja-JP"/>
        </w:rPr>
        <w:t xml:space="preserve"> </w:t>
      </w:r>
      <w:r w:rsidRPr="00A51C82">
        <w:rPr>
          <w:rFonts w:eastAsia="MS Mincho"/>
          <w:szCs w:val="20"/>
          <w:lang w:eastAsia="ja-JP"/>
        </w:rPr>
        <w:t>de travaux, centrales à béton, gestionnaires d’exutoires...) de répondre</w:t>
      </w:r>
      <w:r>
        <w:rPr>
          <w:rFonts w:eastAsia="MS Mincho"/>
          <w:szCs w:val="20"/>
          <w:lang w:eastAsia="ja-JP"/>
        </w:rPr>
        <w:t xml:space="preserve"> </w:t>
      </w:r>
      <w:r w:rsidRPr="00A51C82">
        <w:rPr>
          <w:rFonts w:eastAsia="MS Mincho"/>
          <w:szCs w:val="20"/>
          <w:lang w:eastAsia="ja-JP"/>
        </w:rPr>
        <w:t>à la demande</w:t>
      </w:r>
      <w:r>
        <w:rPr>
          <w:rFonts w:eastAsia="MS Mincho"/>
          <w:szCs w:val="20"/>
          <w:lang w:eastAsia="ja-JP"/>
        </w:rPr>
        <w:t xml:space="preserve"> ainsi que </w:t>
      </w:r>
      <w:r w:rsidRPr="00A51C82">
        <w:rPr>
          <w:rFonts w:eastAsia="MS Mincho"/>
          <w:szCs w:val="20"/>
          <w:lang w:eastAsia="ja-JP"/>
        </w:rPr>
        <w:t xml:space="preserve">des limites en termes de ressources humaines et de logistique de chantier. </w:t>
      </w:r>
    </w:p>
    <w:p w14:paraId="46DA588D" w14:textId="77777777" w:rsidR="008072BC" w:rsidRPr="00A51C82" w:rsidRDefault="008072BC" w:rsidP="008072BC">
      <w:pPr>
        <w:widowControl w:val="0"/>
        <w:jc w:val="both"/>
        <w:rPr>
          <w:rFonts w:eastAsia="MS Mincho"/>
          <w:szCs w:val="20"/>
          <w:lang w:eastAsia="ja-JP"/>
        </w:rPr>
      </w:pPr>
    </w:p>
    <w:p w14:paraId="4184045F" w14:textId="77777777" w:rsidR="008072BC" w:rsidRPr="00A51C82" w:rsidRDefault="008072BC" w:rsidP="008072BC">
      <w:pPr>
        <w:widowControl w:val="0"/>
        <w:jc w:val="both"/>
        <w:rPr>
          <w:rFonts w:eastAsia="MS Mincho"/>
          <w:szCs w:val="20"/>
          <w:lang w:eastAsia="ja-JP"/>
        </w:rPr>
      </w:pPr>
      <w:r w:rsidRPr="00A51C82">
        <w:rPr>
          <w:rFonts w:eastAsia="MS Mincho"/>
          <w:szCs w:val="20"/>
          <w:lang w:eastAsia="ja-JP"/>
        </w:rPr>
        <w:t>Le Gouvernement a confirmé un objectif de mise en service de certaines lignes à l’horizon 2024 pour répondre aux deux priorités suivantes :</w:t>
      </w:r>
    </w:p>
    <w:p w14:paraId="00A8809D" w14:textId="77777777" w:rsidR="008072BC" w:rsidRPr="00A51C82" w:rsidRDefault="008072BC" w:rsidP="008072BC">
      <w:pPr>
        <w:widowControl w:val="0"/>
        <w:jc w:val="both"/>
        <w:rPr>
          <w:rFonts w:eastAsia="MS Mincho"/>
          <w:szCs w:val="20"/>
          <w:lang w:eastAsia="ja-JP"/>
        </w:rPr>
      </w:pPr>
    </w:p>
    <w:p w14:paraId="5B5AC12E" w14:textId="6198955C" w:rsidR="008072BC" w:rsidRPr="0073613B" w:rsidRDefault="008072BC" w:rsidP="0083506E">
      <w:pPr>
        <w:keepNext/>
        <w:keepLines/>
        <w:numPr>
          <w:ilvl w:val="0"/>
          <w:numId w:val="13"/>
        </w:numPr>
        <w:contextualSpacing/>
        <w:jc w:val="both"/>
        <w:rPr>
          <w:rFonts w:eastAsia="Times New Roman"/>
          <w:szCs w:val="20"/>
          <w:lang w:eastAsia="ja-JP"/>
        </w:rPr>
      </w:pPr>
      <w:r w:rsidRPr="0073613B">
        <w:rPr>
          <w:rFonts w:eastAsia="Times New Roman"/>
          <w:szCs w:val="20"/>
          <w:lang w:eastAsia="ja-JP"/>
        </w:rPr>
        <w:t>la mise en service des lignes qui bénéficient au plus grand nombre de franciliens à l’horizon 2024, car supportant le trafic de passagers le plus important :</w:t>
      </w:r>
    </w:p>
    <w:p w14:paraId="5E8140FE" w14:textId="77777777" w:rsidR="00C51CC4" w:rsidRPr="00A51C82" w:rsidRDefault="00C51CC4" w:rsidP="008072BC">
      <w:pPr>
        <w:widowControl w:val="0"/>
        <w:jc w:val="both"/>
        <w:rPr>
          <w:rFonts w:eastAsia="MS Mincho"/>
          <w:szCs w:val="20"/>
          <w:lang w:eastAsia="ja-JP"/>
        </w:rPr>
      </w:pPr>
    </w:p>
    <w:p w14:paraId="43B1D9C1" w14:textId="77777777" w:rsidR="008072BC" w:rsidRPr="00A51C82" w:rsidRDefault="008072BC" w:rsidP="0083506E">
      <w:pPr>
        <w:widowControl w:val="0"/>
        <w:numPr>
          <w:ilvl w:val="3"/>
          <w:numId w:val="25"/>
        </w:numPr>
        <w:ind w:left="1134" w:hanging="425"/>
        <w:jc w:val="both"/>
        <w:rPr>
          <w:rFonts w:eastAsia="MS Mincho"/>
          <w:szCs w:val="20"/>
          <w:lang w:eastAsia="ja-JP"/>
        </w:rPr>
      </w:pPr>
      <w:r w:rsidRPr="00A51C82">
        <w:rPr>
          <w:rFonts w:eastAsia="MS Mincho"/>
          <w:szCs w:val="20"/>
          <w:lang w:eastAsia="ja-JP"/>
        </w:rPr>
        <w:t>Les extensions de la ligne 14 au nord et le tronçon commun des lignes 16 et 17, jusqu’en Seine-Saint-Denis ;</w:t>
      </w:r>
    </w:p>
    <w:p w14:paraId="18FB9077" w14:textId="77777777" w:rsidR="008072BC" w:rsidRPr="00A51C82" w:rsidRDefault="008072BC" w:rsidP="0083506E">
      <w:pPr>
        <w:widowControl w:val="0"/>
        <w:numPr>
          <w:ilvl w:val="3"/>
          <w:numId w:val="25"/>
        </w:numPr>
        <w:ind w:left="1134" w:hanging="425"/>
        <w:jc w:val="both"/>
        <w:rPr>
          <w:rFonts w:eastAsia="MS Mincho"/>
          <w:szCs w:val="20"/>
          <w:lang w:eastAsia="ja-JP"/>
        </w:rPr>
      </w:pPr>
      <w:r w:rsidRPr="00A51C82">
        <w:rPr>
          <w:rFonts w:eastAsia="MS Mincho"/>
          <w:szCs w:val="20"/>
          <w:lang w:eastAsia="ja-JP"/>
        </w:rPr>
        <w:t>L’extension de la ligne 14 au sud jusqu’à l’aéroport d’Orly ;</w:t>
      </w:r>
    </w:p>
    <w:p w14:paraId="05E1E66C" w14:textId="55BD7EB7" w:rsidR="008072BC" w:rsidRDefault="008072BC" w:rsidP="0083506E">
      <w:pPr>
        <w:widowControl w:val="0"/>
        <w:numPr>
          <w:ilvl w:val="3"/>
          <w:numId w:val="25"/>
        </w:numPr>
        <w:ind w:left="1134" w:hanging="425"/>
        <w:jc w:val="both"/>
        <w:rPr>
          <w:rFonts w:eastAsia="MS Mincho"/>
          <w:szCs w:val="20"/>
          <w:lang w:eastAsia="ja-JP"/>
        </w:rPr>
      </w:pPr>
      <w:r w:rsidRPr="00A51C82">
        <w:rPr>
          <w:rFonts w:eastAsia="MS Mincho"/>
          <w:szCs w:val="20"/>
          <w:lang w:eastAsia="ja-JP"/>
        </w:rPr>
        <w:t>La ligne 15 sud, qui offre une liaison transversale entre les territoires au sud de Paris ;</w:t>
      </w:r>
    </w:p>
    <w:p w14:paraId="465171C2" w14:textId="510A0123" w:rsidR="008072BC" w:rsidRPr="00575BD3" w:rsidRDefault="00575BD3" w:rsidP="0083506E">
      <w:pPr>
        <w:widowControl w:val="0"/>
        <w:numPr>
          <w:ilvl w:val="3"/>
          <w:numId w:val="25"/>
        </w:numPr>
        <w:ind w:left="1134" w:hanging="425"/>
        <w:jc w:val="both"/>
        <w:rPr>
          <w:rFonts w:eastAsia="MS Mincho"/>
          <w:szCs w:val="20"/>
          <w:lang w:eastAsia="ja-JP"/>
        </w:rPr>
      </w:pPr>
      <w:r>
        <w:rPr>
          <w:rFonts w:eastAsia="MS Mincho"/>
          <w:szCs w:val="20"/>
          <w:lang w:eastAsia="ja-JP"/>
        </w:rPr>
        <w:t xml:space="preserve">La </w:t>
      </w:r>
      <w:r w:rsidR="008072BC" w:rsidRPr="00575BD3">
        <w:rPr>
          <w:rFonts w:eastAsia="MS Mincho"/>
          <w:szCs w:val="20"/>
          <w:lang w:eastAsia="ja-JP"/>
        </w:rPr>
        <w:t xml:space="preserve">ligne 14 et le tronc commun des lignes 16 et 17 </w:t>
      </w:r>
      <w:r w:rsidRPr="00575BD3">
        <w:rPr>
          <w:rFonts w:eastAsia="MS Mincho"/>
          <w:szCs w:val="20"/>
          <w:lang w:eastAsia="ja-JP"/>
        </w:rPr>
        <w:t>étaient présentées comme</w:t>
      </w:r>
      <w:r w:rsidR="008072BC" w:rsidRPr="00575BD3">
        <w:rPr>
          <w:rFonts w:eastAsia="MS Mincho"/>
          <w:szCs w:val="20"/>
          <w:lang w:eastAsia="ja-JP"/>
        </w:rPr>
        <w:t xml:space="preserve"> nécessaires pour le bon déroulement des Jeux Olympiques et Paralympiques de Paris 2024.</w:t>
      </w:r>
    </w:p>
    <w:p w14:paraId="3D8605FB" w14:textId="77777777" w:rsidR="008072BC" w:rsidRDefault="008072BC" w:rsidP="008072BC">
      <w:pPr>
        <w:widowControl w:val="0"/>
        <w:jc w:val="both"/>
        <w:rPr>
          <w:rFonts w:eastAsia="MS Mincho"/>
          <w:szCs w:val="20"/>
          <w:lang w:eastAsia="ja-JP"/>
        </w:rPr>
      </w:pPr>
    </w:p>
    <w:p w14:paraId="59A0343E" w14:textId="23426703" w:rsidR="008072BC" w:rsidRPr="0073613B" w:rsidRDefault="008072BC" w:rsidP="0083506E">
      <w:pPr>
        <w:keepNext/>
        <w:keepLines/>
        <w:numPr>
          <w:ilvl w:val="0"/>
          <w:numId w:val="13"/>
        </w:numPr>
        <w:contextualSpacing/>
        <w:jc w:val="both"/>
        <w:rPr>
          <w:rFonts w:eastAsia="Times New Roman"/>
          <w:szCs w:val="20"/>
          <w:lang w:eastAsia="ja-JP"/>
        </w:rPr>
      </w:pPr>
      <w:r w:rsidRPr="0073613B">
        <w:rPr>
          <w:rFonts w:eastAsia="Times New Roman"/>
          <w:szCs w:val="20"/>
          <w:lang w:eastAsia="ja-JP"/>
        </w:rPr>
        <w:t>l’objectif d’une mise en service de la ligne 16 entre le Bourget et Clichy-Montfermeil à l’horizon 2024, essentielle pour la cohésion territoriale de la Métropole</w:t>
      </w:r>
      <w:r w:rsidR="00575BD3" w:rsidRPr="0073613B">
        <w:rPr>
          <w:rFonts w:eastAsia="Times New Roman"/>
          <w:szCs w:val="20"/>
          <w:lang w:eastAsia="ja-JP"/>
        </w:rPr>
        <w:t>, le prolongement de la ligne jusqu’à Noisy-Champs étant réalisé au plus tard en 2030</w:t>
      </w:r>
      <w:r w:rsidRPr="0073613B">
        <w:rPr>
          <w:rFonts w:eastAsia="Times New Roman"/>
          <w:szCs w:val="20"/>
          <w:lang w:eastAsia="ja-JP"/>
        </w:rPr>
        <w:t>. La ligne 16 représente en effet un levier majeur de développement économique et de rééquilibrage entre les territoires.</w:t>
      </w:r>
    </w:p>
    <w:p w14:paraId="720101FE" w14:textId="77777777" w:rsidR="008072BC" w:rsidRPr="000C142F" w:rsidRDefault="008072BC" w:rsidP="008072BC">
      <w:pPr>
        <w:widowControl w:val="0"/>
        <w:jc w:val="both"/>
        <w:rPr>
          <w:rFonts w:eastAsia="MS Mincho"/>
          <w:szCs w:val="20"/>
          <w:lang w:eastAsia="ja-JP"/>
        </w:rPr>
      </w:pPr>
    </w:p>
    <w:p w14:paraId="2BB65474" w14:textId="77777777" w:rsidR="008072BC" w:rsidRPr="000C142F" w:rsidRDefault="008072BC" w:rsidP="008072BC">
      <w:pPr>
        <w:widowControl w:val="0"/>
        <w:jc w:val="both"/>
        <w:rPr>
          <w:rFonts w:eastAsia="MS Mincho"/>
          <w:szCs w:val="20"/>
          <w:lang w:eastAsia="ja-JP"/>
        </w:rPr>
      </w:pPr>
      <w:r w:rsidRPr="000C142F">
        <w:rPr>
          <w:rFonts w:eastAsia="MS Mincho"/>
          <w:szCs w:val="20"/>
          <w:lang w:eastAsia="ja-JP"/>
        </w:rPr>
        <w:t>Pour toutes les autres lignes, l’objectif a été affirmé d’assurer une mise en service la plus rapide possible, avant 2030, en maîtrisant les coûts à terminaison et en respectant les délais de livraison, et que des travaux significatifs soient rapidement engagés sur chacune des lignes avec les montants financiers correspondant.</w:t>
      </w:r>
    </w:p>
    <w:p w14:paraId="4C20458A" w14:textId="0CD29E44" w:rsidR="000C142F" w:rsidRDefault="000C142F" w:rsidP="000C142F">
      <w:pPr>
        <w:keepNext/>
        <w:keepLines/>
        <w:autoSpaceDE w:val="0"/>
        <w:autoSpaceDN w:val="0"/>
        <w:adjustRightInd w:val="0"/>
        <w:jc w:val="both"/>
        <w:rPr>
          <w:rFonts w:eastAsia="MS Mincho"/>
          <w:szCs w:val="20"/>
          <w:lang w:eastAsia="ja-JP"/>
        </w:rPr>
      </w:pPr>
    </w:p>
    <w:p w14:paraId="42BAB658" w14:textId="3D6275D4" w:rsidR="00A51C82" w:rsidRPr="00A13130" w:rsidRDefault="00A13130" w:rsidP="00A13130">
      <w:pPr>
        <w:pStyle w:val="Titre2"/>
      </w:pPr>
      <w:bookmarkStart w:id="55" w:name="_Toc406757039"/>
      <w:bookmarkStart w:id="56" w:name="_Toc46917063"/>
      <w:r w:rsidRPr="00A13130">
        <w:br w:type="column"/>
      </w:r>
      <w:bookmarkStart w:id="57" w:name="_Toc63352134"/>
      <w:r w:rsidR="00A51C82" w:rsidRPr="00A13130">
        <w:lastRenderedPageBreak/>
        <w:t>Les prévisions de trafic</w:t>
      </w:r>
      <w:bookmarkEnd w:id="55"/>
      <w:bookmarkEnd w:id="56"/>
      <w:bookmarkEnd w:id="57"/>
    </w:p>
    <w:p w14:paraId="0FF2342D" w14:textId="77777777" w:rsidR="00013563" w:rsidRDefault="00013563" w:rsidP="004C4CA3">
      <w:pPr>
        <w:spacing w:after="200"/>
        <w:jc w:val="both"/>
      </w:pPr>
    </w:p>
    <w:p w14:paraId="59C84C88" w14:textId="054FA139" w:rsidR="00A51C82" w:rsidRPr="00A51C82" w:rsidRDefault="00A51C82" w:rsidP="004C4CA3">
      <w:pPr>
        <w:spacing w:after="200"/>
        <w:jc w:val="both"/>
      </w:pPr>
      <w:r w:rsidRPr="00A51C82">
        <w:t>Sont présentés ici les résultats d</w:t>
      </w:r>
      <w:r w:rsidR="00836181">
        <w:t xml:space="preserve">es </w:t>
      </w:r>
      <w:r w:rsidRPr="00A51C82">
        <w:t xml:space="preserve">études correspondant au réseau Grand Paris Express dans sa totalité, de manière à apprécier les effets associés à la réalisation de l’ensemble du programme. Ces études d’ensemble ont donné lieu à des actualisations </w:t>
      </w:r>
      <w:r w:rsidR="00094982">
        <w:t xml:space="preserve">en </w:t>
      </w:r>
      <w:r w:rsidR="00094982" w:rsidRPr="000C142F">
        <w:t xml:space="preserve">2019 </w:t>
      </w:r>
      <w:r w:rsidR="00F048FA" w:rsidRPr="000C142F">
        <w:t xml:space="preserve">tenant </w:t>
      </w:r>
      <w:r w:rsidRPr="000C142F">
        <w:t xml:space="preserve">compte </w:t>
      </w:r>
      <w:r w:rsidRPr="00A51C82">
        <w:t xml:space="preserve">des nouvelles données offertes par la </w:t>
      </w:r>
      <w:r w:rsidR="00013563">
        <w:t>publication des résultats de l’E</w:t>
      </w:r>
      <w:r w:rsidRPr="00A51C82">
        <w:t>nquête g</w:t>
      </w:r>
      <w:r w:rsidR="00013563">
        <w:t>lobale</w:t>
      </w:r>
      <w:r w:rsidRPr="00A51C82">
        <w:t xml:space="preserve"> transports effectuée en 2010</w:t>
      </w:r>
      <w:r w:rsidR="00F048FA">
        <w:rPr>
          <w:color w:val="FF0000"/>
        </w:rPr>
        <w:t xml:space="preserve"> </w:t>
      </w:r>
      <w:r w:rsidR="00032D56">
        <w:t xml:space="preserve">; </w:t>
      </w:r>
      <w:r w:rsidR="00836181">
        <w:t xml:space="preserve">alors que </w:t>
      </w:r>
      <w:r w:rsidRPr="00A51C82">
        <w:t xml:space="preserve">les dossiers d’enquête publique présentés </w:t>
      </w:r>
      <w:r w:rsidR="00E51F05">
        <w:t>entre 2013 et 2016</w:t>
      </w:r>
      <w:r w:rsidRPr="00A51C82">
        <w:t xml:space="preserve"> </w:t>
      </w:r>
      <w:r w:rsidR="00032D56">
        <w:t xml:space="preserve">avaient été basés sur </w:t>
      </w:r>
      <w:r w:rsidR="00032D56" w:rsidRPr="00032D56">
        <w:t>l’Enquête globale transports effectuée en 20</w:t>
      </w:r>
      <w:r w:rsidR="00032D56">
        <w:t>01</w:t>
      </w:r>
      <w:r w:rsidRPr="00A51C82">
        <w:t>.</w:t>
      </w:r>
    </w:p>
    <w:p w14:paraId="742CE15C" w14:textId="6C19CEDD" w:rsidR="00A51C82" w:rsidRPr="00D26DFC" w:rsidRDefault="00A51C82" w:rsidP="003C3160">
      <w:pPr>
        <w:pStyle w:val="Titre3"/>
      </w:pPr>
      <w:bookmarkStart w:id="58" w:name="_Toc48903206"/>
      <w:bookmarkStart w:id="59" w:name="_Toc48904191"/>
      <w:bookmarkStart w:id="60" w:name="_Toc48907168"/>
      <w:bookmarkStart w:id="61" w:name="_Toc48907536"/>
      <w:bookmarkStart w:id="62" w:name="_Toc330932606"/>
      <w:bookmarkStart w:id="63" w:name="_Toc406757040"/>
      <w:bookmarkStart w:id="64" w:name="_Toc46917064"/>
      <w:bookmarkStart w:id="65" w:name="_Toc63352135"/>
      <w:bookmarkEnd w:id="58"/>
      <w:bookmarkEnd w:id="59"/>
      <w:bookmarkEnd w:id="60"/>
      <w:bookmarkEnd w:id="61"/>
      <w:r w:rsidRPr="00D26DFC">
        <w:t>Hypothèses prises en compte</w:t>
      </w:r>
      <w:bookmarkEnd w:id="62"/>
      <w:bookmarkEnd w:id="63"/>
      <w:bookmarkEnd w:id="64"/>
      <w:bookmarkEnd w:id="65"/>
    </w:p>
    <w:p w14:paraId="78CE6C19" w14:textId="77777777" w:rsidR="00A51C82" w:rsidRPr="00A51C82" w:rsidRDefault="00A51C82" w:rsidP="004C4CA3">
      <w:pPr>
        <w:keepNext/>
        <w:keepLines/>
        <w:spacing w:before="200"/>
        <w:jc w:val="both"/>
        <w:outlineLvl w:val="3"/>
        <w:rPr>
          <w:rFonts w:eastAsia="Times New Roman"/>
          <w:bCs/>
          <w:i/>
          <w:iCs/>
          <w:color w:val="931638"/>
          <w:szCs w:val="20"/>
          <w:lang w:val="x-none" w:bidi="he-IL"/>
        </w:rPr>
      </w:pPr>
      <w:r w:rsidRPr="00A51C82">
        <w:rPr>
          <w:rFonts w:eastAsia="Times New Roman"/>
          <w:bCs/>
          <w:i/>
          <w:iCs/>
          <w:color w:val="931638"/>
          <w:szCs w:val="20"/>
          <w:lang w:val="x-none" w:bidi="he-IL"/>
        </w:rPr>
        <w:t>Horizons de projet</w:t>
      </w:r>
    </w:p>
    <w:p w14:paraId="2215E7A8" w14:textId="77777777" w:rsidR="00013563" w:rsidRDefault="00013563" w:rsidP="004C4CA3">
      <w:pPr>
        <w:jc w:val="both"/>
      </w:pPr>
    </w:p>
    <w:p w14:paraId="3D64D326" w14:textId="5AE8C9A5" w:rsidR="00A51C82" w:rsidRDefault="00A51C82" w:rsidP="004C4CA3">
      <w:pPr>
        <w:jc w:val="both"/>
      </w:pPr>
      <w:r w:rsidRPr="00A51C82">
        <w:t>Pour l’analyse du programme dans son ensemble, les horizons d’étude suivants ont été pris en compte :</w:t>
      </w:r>
    </w:p>
    <w:p w14:paraId="2F8CA9C8" w14:textId="77777777" w:rsidR="00836181" w:rsidRPr="00A51C82" w:rsidRDefault="00836181" w:rsidP="004C4CA3">
      <w:pPr>
        <w:jc w:val="both"/>
      </w:pPr>
    </w:p>
    <w:p w14:paraId="415304B6" w14:textId="77777777" w:rsidR="00737B9D" w:rsidRDefault="00A51C82" w:rsidP="0083506E">
      <w:pPr>
        <w:numPr>
          <w:ilvl w:val="0"/>
          <w:numId w:val="7"/>
        </w:numPr>
        <w:jc w:val="both"/>
      </w:pPr>
      <w:r w:rsidRPr="00A51C82">
        <w:t xml:space="preserve">L’horizon </w:t>
      </w:r>
      <w:r w:rsidRPr="00A51C82">
        <w:rPr>
          <w:b/>
        </w:rPr>
        <w:t>2030</w:t>
      </w:r>
      <w:r w:rsidRPr="00A51C82">
        <w:t xml:space="preserve"> correspond à l’horizon de réalisation de l’ensemble du réseau, hors liaisons Versailles–Nanterre et Saint-Denis Pleyel–Nanterre</w:t>
      </w:r>
    </w:p>
    <w:p w14:paraId="60053EB5" w14:textId="28E89515" w:rsidR="00A51C82" w:rsidRPr="00A51C82" w:rsidRDefault="00A51C82" w:rsidP="00737B9D">
      <w:pPr>
        <w:ind w:left="360"/>
        <w:jc w:val="both"/>
      </w:pPr>
      <w:r w:rsidRPr="00A51C82">
        <w:t xml:space="preserve"> </w:t>
      </w:r>
    </w:p>
    <w:p w14:paraId="444380CB" w14:textId="77777777" w:rsidR="00A51C82" w:rsidRPr="00A51C82" w:rsidRDefault="00A51C82" w:rsidP="0083506E">
      <w:pPr>
        <w:numPr>
          <w:ilvl w:val="0"/>
          <w:numId w:val="7"/>
        </w:numPr>
        <w:jc w:val="both"/>
      </w:pPr>
      <w:r w:rsidRPr="00A51C82">
        <w:t xml:space="preserve">Le calendrier de réalisation des liaisons Versailles–Nanterre et Saint-Denis Pleyel–Colombes– Nanterre n’est pas défini à ce jour. Par convention, dans l’évaluation socio-économique de l’ensemble du programme, ces liaisons ont été considérées comme réalisées en </w:t>
      </w:r>
      <w:r w:rsidRPr="00A51C82">
        <w:rPr>
          <w:b/>
        </w:rPr>
        <w:t>2035</w:t>
      </w:r>
      <w:r w:rsidRPr="00A51C82">
        <w:t>, de manière à compléter à cette date l’intégralité du schéma d’ensemble du réseau approuvé en 2011.</w:t>
      </w:r>
    </w:p>
    <w:p w14:paraId="6CB0B9D2" w14:textId="77777777" w:rsidR="00A51C82" w:rsidRPr="00A51C82" w:rsidRDefault="00A51C82" w:rsidP="004C4CA3">
      <w:pPr>
        <w:keepNext/>
        <w:keepLines/>
        <w:spacing w:before="200"/>
        <w:jc w:val="both"/>
        <w:outlineLvl w:val="3"/>
        <w:rPr>
          <w:rFonts w:eastAsia="Times New Roman"/>
          <w:bCs/>
          <w:i/>
          <w:iCs/>
          <w:color w:val="931638"/>
          <w:szCs w:val="20"/>
          <w:lang w:val="x-none" w:bidi="he-IL"/>
        </w:rPr>
      </w:pPr>
      <w:r w:rsidRPr="00A51C82">
        <w:rPr>
          <w:rFonts w:eastAsia="Times New Roman"/>
          <w:bCs/>
          <w:i/>
          <w:iCs/>
          <w:color w:val="931638"/>
          <w:szCs w:val="20"/>
          <w:lang w:val="x-none" w:bidi="he-IL"/>
        </w:rPr>
        <w:t>Projections socio-démographiques</w:t>
      </w:r>
    </w:p>
    <w:p w14:paraId="52D59178" w14:textId="77777777" w:rsidR="00013563" w:rsidRDefault="00013563" w:rsidP="004C4CA3">
      <w:pPr>
        <w:jc w:val="both"/>
      </w:pPr>
    </w:p>
    <w:p w14:paraId="634F8D73" w14:textId="77777777" w:rsidR="000C4AEF" w:rsidRDefault="00FA615C" w:rsidP="004C4CA3">
      <w:pPr>
        <w:jc w:val="both"/>
      </w:pPr>
      <w:r w:rsidRPr="00FA615C">
        <w:t xml:space="preserve">L’instruction du Gouvernement du 16 juin 2014 </w:t>
      </w:r>
      <w:r w:rsidR="000C4AEF" w:rsidRPr="00FA615C">
        <w:t xml:space="preserve">relative à l’évaluation des projets de transport </w:t>
      </w:r>
      <w:r w:rsidR="000C4AEF">
        <w:t xml:space="preserve">demande d’apprécier l’impact de la réalisation du Grand Paris Express en comparant deux situations, une </w:t>
      </w:r>
      <w:r w:rsidRPr="00FA615C">
        <w:t>«</w:t>
      </w:r>
      <w:r w:rsidR="000C4AEF">
        <w:t xml:space="preserve"> situation de </w:t>
      </w:r>
      <w:r w:rsidRPr="00FA615C">
        <w:t>référence »</w:t>
      </w:r>
      <w:r w:rsidR="000C4AEF">
        <w:t xml:space="preserve"> dans laquelle l’infrastructure n’est pas réalisée et une « situation de projet » dans laquelle l’infrastructure est réalisée. Le scénario (appelé option dans l’instruction) </w:t>
      </w:r>
      <w:r w:rsidRPr="00FA615C">
        <w:t>est constitué de l’ensemble des hypothèses d’évolution les plus plausibles sur la durée de projection de l’évaluation et non maîtrisées par le maître d’ouvrage du projet (exogène au projet).</w:t>
      </w:r>
      <w:r w:rsidR="000C4AEF">
        <w:t xml:space="preserve"> C’est en quelque sorte une tendance de l’évolution démographique, économique et de transport, sans le projet. </w:t>
      </w:r>
    </w:p>
    <w:p w14:paraId="575F4B4C" w14:textId="77777777" w:rsidR="000C4AEF" w:rsidRDefault="000C4AEF" w:rsidP="004C4CA3">
      <w:pPr>
        <w:jc w:val="both"/>
      </w:pPr>
    </w:p>
    <w:p w14:paraId="663A7CE3" w14:textId="4CC1A534" w:rsidR="00A51C82" w:rsidRPr="00A51C82" w:rsidRDefault="00A51C82" w:rsidP="004C4CA3">
      <w:pPr>
        <w:jc w:val="both"/>
      </w:pPr>
      <w:r w:rsidRPr="00A70E0C">
        <w:t xml:space="preserve">Les cadrages en matière de population et d’emplois retenus pour les situations futures s’appuient sur différentes options de croissance </w:t>
      </w:r>
      <w:r w:rsidR="000C4AEF">
        <w:t xml:space="preserve">globale de </w:t>
      </w:r>
      <w:r w:rsidRPr="00A70E0C">
        <w:t>la région</w:t>
      </w:r>
      <w:r w:rsidR="007B7BC2" w:rsidRPr="00A70E0C">
        <w:rPr>
          <w:strike/>
        </w:rPr>
        <w:t xml:space="preserve"> </w:t>
      </w:r>
      <w:r w:rsidRPr="00A70E0C">
        <w:t xml:space="preserve">Île-de-France, permettant d’apprécier </w:t>
      </w:r>
      <w:r w:rsidR="000C4AEF">
        <w:t xml:space="preserve">les évolutions tendancielles et </w:t>
      </w:r>
      <w:r w:rsidRPr="00A70E0C">
        <w:t xml:space="preserve">les effets de la réalisation du réseau Grand Paris Express sur </w:t>
      </w:r>
      <w:r w:rsidR="000C4AEF">
        <w:t xml:space="preserve">la </w:t>
      </w:r>
      <w:r w:rsidR="008E63B8">
        <w:t xml:space="preserve">répartition </w:t>
      </w:r>
      <w:r w:rsidR="000C4AEF">
        <w:t xml:space="preserve">territorialisée de la population, de l’emploi et </w:t>
      </w:r>
      <w:r w:rsidR="008E63B8">
        <w:t xml:space="preserve">sur </w:t>
      </w:r>
      <w:r w:rsidRPr="00A70E0C">
        <w:t>les déplacements</w:t>
      </w:r>
      <w:r w:rsidR="00F048FA" w:rsidRPr="00F048FA">
        <w:rPr>
          <w:color w:val="FF0000"/>
        </w:rPr>
        <w:t>,</w:t>
      </w:r>
      <w:r w:rsidRPr="00A70E0C">
        <w:t xml:space="preserve"> pour une variété d’hypothèses. Les hypothèses macro-économiques ayant permis de construire </w:t>
      </w:r>
      <w:r w:rsidR="003A44EF" w:rsidRPr="00A70E0C">
        <w:t>les différentes options utilisées</w:t>
      </w:r>
      <w:r w:rsidRPr="00A70E0C">
        <w:t xml:space="preserve"> sont présentées au titre 5.2 ci-après (« </w:t>
      </w:r>
      <w:r w:rsidRPr="00A70E0C">
        <w:rPr>
          <w:i/>
        </w:rPr>
        <w:t>Les options étudiées et le cadre de référence macroéconomique</w:t>
      </w:r>
      <w:r w:rsidRPr="00A70E0C">
        <w:t> </w:t>
      </w:r>
      <w:r w:rsidRPr="00A51C82">
        <w:t xml:space="preserve">»). </w:t>
      </w:r>
    </w:p>
    <w:p w14:paraId="6CD5F790" w14:textId="77777777" w:rsidR="00A51C82" w:rsidRPr="00A51C82" w:rsidRDefault="00A51C82" w:rsidP="004C4CA3">
      <w:pPr>
        <w:jc w:val="both"/>
      </w:pPr>
    </w:p>
    <w:p w14:paraId="67874D1D" w14:textId="174FFA94" w:rsidR="00A51C82" w:rsidRPr="008E63B8" w:rsidRDefault="007B4D0E" w:rsidP="004C4CA3">
      <w:pPr>
        <w:jc w:val="both"/>
        <w:rPr>
          <w:b/>
        </w:rPr>
      </w:pPr>
      <w:r w:rsidRPr="008E63B8">
        <w:rPr>
          <w:b/>
        </w:rPr>
        <w:t>Le</w:t>
      </w:r>
      <w:r w:rsidR="00A51C82" w:rsidRPr="008E63B8">
        <w:rPr>
          <w:b/>
        </w:rPr>
        <w:t xml:space="preserve"> cadrage retenu pour caractériser l’évolution </w:t>
      </w:r>
      <w:r w:rsidR="008E63B8" w:rsidRPr="008E63B8">
        <w:rPr>
          <w:b/>
        </w:rPr>
        <w:t xml:space="preserve">tendancielle </w:t>
      </w:r>
      <w:r w:rsidR="00A51C82" w:rsidRPr="008E63B8">
        <w:rPr>
          <w:b/>
        </w:rPr>
        <w:t>socio-démographique de la région Île-de-</w:t>
      </w:r>
      <w:r w:rsidR="008E63B8" w:rsidRPr="008E63B8">
        <w:rPr>
          <w:b/>
        </w:rPr>
        <w:t xml:space="preserve">France, </w:t>
      </w:r>
      <w:r w:rsidR="00F048FA" w:rsidRPr="008E63B8">
        <w:rPr>
          <w:b/>
        </w:rPr>
        <w:t xml:space="preserve">c’est-à-dire </w:t>
      </w:r>
      <w:r w:rsidRPr="008E63B8">
        <w:rPr>
          <w:b/>
        </w:rPr>
        <w:t xml:space="preserve">ce qui se serait produit </w:t>
      </w:r>
      <w:r w:rsidR="00A51C82" w:rsidRPr="008E63B8">
        <w:rPr>
          <w:b/>
        </w:rPr>
        <w:t xml:space="preserve">sans </w:t>
      </w:r>
      <w:r w:rsidRPr="008E63B8">
        <w:rPr>
          <w:b/>
        </w:rPr>
        <w:t xml:space="preserve">la </w:t>
      </w:r>
      <w:r w:rsidR="00A51C82" w:rsidRPr="008E63B8">
        <w:rPr>
          <w:b/>
        </w:rPr>
        <w:t>réalisation du projet Grand Paris Express</w:t>
      </w:r>
      <w:r w:rsidRPr="008E63B8">
        <w:rPr>
          <w:b/>
        </w:rPr>
        <w:t xml:space="preserve">, </w:t>
      </w:r>
      <w:r w:rsidR="008E63B8" w:rsidRPr="008E63B8">
        <w:rPr>
          <w:b/>
        </w:rPr>
        <w:t xml:space="preserve">est </w:t>
      </w:r>
      <w:r w:rsidRPr="008E63B8">
        <w:rPr>
          <w:b/>
        </w:rPr>
        <w:t>le prolongement des tendances passées en termes de croissance socio-démographique.</w:t>
      </w:r>
    </w:p>
    <w:p w14:paraId="5A485109" w14:textId="77777777" w:rsidR="000C142F" w:rsidRPr="000C142F" w:rsidRDefault="000C142F" w:rsidP="004C4CA3">
      <w:pPr>
        <w:jc w:val="both"/>
      </w:pPr>
    </w:p>
    <w:tbl>
      <w:tblPr>
        <w:tblW w:w="7928" w:type="dxa"/>
        <w:jc w:val="center"/>
        <w:tblCellMar>
          <w:left w:w="0" w:type="dxa"/>
          <w:right w:w="0" w:type="dxa"/>
        </w:tblCellMar>
        <w:tblLook w:val="04A0" w:firstRow="1" w:lastRow="0" w:firstColumn="1" w:lastColumn="0" w:noHBand="0" w:noVBand="1"/>
      </w:tblPr>
      <w:tblGrid>
        <w:gridCol w:w="3965"/>
        <w:gridCol w:w="3963"/>
      </w:tblGrid>
      <w:tr w:rsidR="005E22D5" w:rsidRPr="00A51C82" w14:paraId="248A788F" w14:textId="77777777" w:rsidTr="001B258F">
        <w:trPr>
          <w:trHeight w:val="20"/>
          <w:jc w:val="center"/>
        </w:trPr>
        <w:tc>
          <w:tcPr>
            <w:tcW w:w="39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6DE042" w14:textId="78DBD985" w:rsidR="005E22D5" w:rsidRPr="00A51C82" w:rsidRDefault="005E22D5" w:rsidP="004C4CA3">
            <w:pPr>
              <w:jc w:val="both"/>
              <w:rPr>
                <w:b/>
                <w:i/>
                <w:color w:val="931638"/>
                <w:sz w:val="18"/>
                <w:szCs w:val="18"/>
              </w:rPr>
            </w:pPr>
            <w:r>
              <w:rPr>
                <w:b/>
                <w:i/>
                <w:color w:val="931638"/>
                <w:sz w:val="18"/>
                <w:szCs w:val="18"/>
              </w:rPr>
              <w:t>C</w:t>
            </w:r>
            <w:r w:rsidRPr="00A51C82">
              <w:rPr>
                <w:b/>
                <w:i/>
                <w:color w:val="931638"/>
                <w:sz w:val="18"/>
                <w:szCs w:val="18"/>
              </w:rPr>
              <w:t>roissance 2005-2030</w:t>
            </w:r>
          </w:p>
        </w:tc>
        <w:tc>
          <w:tcPr>
            <w:tcW w:w="3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410C47" w14:textId="083330FA" w:rsidR="005E22D5" w:rsidRPr="00A51C82" w:rsidRDefault="005E22D5" w:rsidP="00102EDC">
            <w:pPr>
              <w:jc w:val="center"/>
              <w:rPr>
                <w:b/>
                <w:i/>
                <w:color w:val="931638"/>
                <w:sz w:val="18"/>
                <w:szCs w:val="18"/>
              </w:rPr>
            </w:pPr>
            <w:r w:rsidRPr="00A51C82">
              <w:rPr>
                <w:b/>
                <w:i/>
                <w:color w:val="931638"/>
                <w:sz w:val="18"/>
                <w:szCs w:val="18"/>
              </w:rPr>
              <w:t>Référence tendancielle</w:t>
            </w:r>
            <w:r w:rsidR="00FF6005">
              <w:rPr>
                <w:b/>
                <w:i/>
                <w:color w:val="931638"/>
                <w:sz w:val="18"/>
                <w:szCs w:val="18"/>
              </w:rPr>
              <w:t xml:space="preserve"> </w:t>
            </w:r>
          </w:p>
        </w:tc>
      </w:tr>
      <w:tr w:rsidR="005E22D5" w:rsidRPr="00A51C82" w14:paraId="7A788A44" w14:textId="77777777" w:rsidTr="001B258F">
        <w:trPr>
          <w:trHeight w:val="20"/>
          <w:jc w:val="center"/>
        </w:trPr>
        <w:tc>
          <w:tcPr>
            <w:tcW w:w="3965"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6F3FC93B" w14:textId="77777777" w:rsidR="005E22D5" w:rsidRPr="00A51C82" w:rsidRDefault="005E22D5" w:rsidP="004C4CA3">
            <w:pPr>
              <w:jc w:val="both"/>
              <w:rPr>
                <w:rFonts w:eastAsia="Calibri" w:cs="Calibri"/>
                <w:i/>
                <w:iCs/>
                <w:color w:val="1F497D"/>
                <w:kern w:val="24"/>
                <w:szCs w:val="20"/>
                <w:lang w:eastAsia="fr-FR"/>
              </w:rPr>
            </w:pPr>
            <w:r w:rsidRPr="00A51C82">
              <w:rPr>
                <w:color w:val="931638"/>
                <w:sz w:val="18"/>
                <w:szCs w:val="18"/>
              </w:rPr>
              <w:t>Population Île-de-France (P)</w:t>
            </w:r>
          </w:p>
        </w:tc>
        <w:tc>
          <w:tcPr>
            <w:tcW w:w="3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1EE377" w14:textId="5757709D" w:rsidR="005E22D5" w:rsidRPr="00D5372B" w:rsidRDefault="005E22D5" w:rsidP="00D5372B">
            <w:pPr>
              <w:jc w:val="center"/>
              <w:rPr>
                <w:rFonts w:eastAsia="Times New Roman" w:cs="Arial"/>
                <w:b/>
                <w:sz w:val="18"/>
                <w:szCs w:val="18"/>
                <w:lang w:eastAsia="fr-FR"/>
              </w:rPr>
            </w:pPr>
            <w:r w:rsidRPr="00A51C82">
              <w:rPr>
                <w:rFonts w:eastAsia="Calibri" w:cs="Calibri"/>
                <w:b/>
                <w:kern w:val="24"/>
                <w:sz w:val="18"/>
                <w:szCs w:val="18"/>
                <w:lang w:eastAsia="fr-FR"/>
              </w:rPr>
              <w:t>+ 1 350 000 P</w:t>
            </w:r>
          </w:p>
        </w:tc>
      </w:tr>
      <w:tr w:rsidR="005E22D5" w:rsidRPr="00A51C82" w14:paraId="55A14003" w14:textId="77777777" w:rsidTr="001B258F">
        <w:trPr>
          <w:trHeight w:val="20"/>
          <w:jc w:val="center"/>
        </w:trPr>
        <w:tc>
          <w:tcPr>
            <w:tcW w:w="3965"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5D3C0D" w14:textId="77777777" w:rsidR="005E22D5" w:rsidRPr="00A51C82" w:rsidRDefault="005E22D5" w:rsidP="004C4CA3">
            <w:pPr>
              <w:jc w:val="both"/>
              <w:rPr>
                <w:rFonts w:eastAsia="Calibri" w:cs="Calibri"/>
                <w:i/>
                <w:iCs/>
                <w:color w:val="1F497D"/>
                <w:kern w:val="24"/>
                <w:szCs w:val="20"/>
                <w:lang w:eastAsia="fr-FR"/>
              </w:rPr>
            </w:pPr>
          </w:p>
        </w:tc>
        <w:tc>
          <w:tcPr>
            <w:tcW w:w="3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D5A78B" w14:textId="77777777" w:rsidR="005E22D5" w:rsidRPr="00A51C82" w:rsidRDefault="005E22D5" w:rsidP="00102EDC">
            <w:pPr>
              <w:jc w:val="center"/>
              <w:rPr>
                <w:b/>
                <w:i/>
                <w:sz w:val="18"/>
                <w:szCs w:val="18"/>
              </w:rPr>
            </w:pPr>
            <w:r w:rsidRPr="00A51C82">
              <w:rPr>
                <w:b/>
                <w:i/>
                <w:sz w:val="18"/>
                <w:szCs w:val="18"/>
              </w:rPr>
              <w:t>+ 54 000 P / an</w:t>
            </w:r>
          </w:p>
        </w:tc>
      </w:tr>
      <w:tr w:rsidR="005E22D5" w:rsidRPr="00A51C82" w14:paraId="71E12BA1" w14:textId="77777777" w:rsidTr="001B258F">
        <w:trPr>
          <w:trHeight w:val="20"/>
          <w:jc w:val="center"/>
        </w:trPr>
        <w:tc>
          <w:tcPr>
            <w:tcW w:w="3965"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2621A8BB" w14:textId="77777777" w:rsidR="005E22D5" w:rsidRPr="00A51C82" w:rsidRDefault="005E22D5" w:rsidP="004C4CA3">
            <w:pPr>
              <w:jc w:val="both"/>
              <w:rPr>
                <w:rFonts w:eastAsia="Times New Roman" w:cs="Arial"/>
                <w:color w:val="1F497D"/>
                <w:szCs w:val="20"/>
                <w:lang w:eastAsia="fr-FR"/>
              </w:rPr>
            </w:pPr>
            <w:r w:rsidRPr="00A51C82">
              <w:rPr>
                <w:color w:val="931638"/>
                <w:sz w:val="18"/>
                <w:szCs w:val="18"/>
              </w:rPr>
              <w:t>Emplois Île-de-France (E)</w:t>
            </w:r>
          </w:p>
        </w:tc>
        <w:tc>
          <w:tcPr>
            <w:tcW w:w="3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D55F2E" w14:textId="0EB1766A" w:rsidR="005E22D5" w:rsidRPr="00D5372B" w:rsidRDefault="005E22D5" w:rsidP="00D5372B">
            <w:pPr>
              <w:jc w:val="center"/>
              <w:rPr>
                <w:rFonts w:eastAsia="Times New Roman" w:cs="Arial"/>
                <w:b/>
                <w:sz w:val="18"/>
                <w:szCs w:val="18"/>
                <w:lang w:eastAsia="fr-FR"/>
              </w:rPr>
            </w:pPr>
            <w:r w:rsidRPr="00A51C82">
              <w:rPr>
                <w:rFonts w:eastAsia="Calibri" w:cs="Calibri"/>
                <w:b/>
                <w:kern w:val="24"/>
                <w:sz w:val="18"/>
                <w:szCs w:val="18"/>
                <w:lang w:eastAsia="fr-FR"/>
              </w:rPr>
              <w:t>+ 685 000 E</w:t>
            </w:r>
          </w:p>
        </w:tc>
      </w:tr>
      <w:tr w:rsidR="005E22D5" w:rsidRPr="00A51C82" w14:paraId="6E70C943" w14:textId="77777777" w:rsidTr="001B258F">
        <w:trPr>
          <w:trHeight w:val="20"/>
          <w:jc w:val="center"/>
        </w:trPr>
        <w:tc>
          <w:tcPr>
            <w:tcW w:w="3965"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653A4CA" w14:textId="77777777" w:rsidR="005E22D5" w:rsidRPr="00A51C82" w:rsidRDefault="005E22D5" w:rsidP="004C4CA3">
            <w:pPr>
              <w:jc w:val="both"/>
              <w:rPr>
                <w:rFonts w:eastAsia="Calibri" w:cs="Calibri"/>
                <w:i/>
                <w:iCs/>
                <w:color w:val="1F497D"/>
                <w:kern w:val="24"/>
                <w:szCs w:val="20"/>
                <w:lang w:eastAsia="fr-FR"/>
              </w:rPr>
            </w:pPr>
          </w:p>
        </w:tc>
        <w:tc>
          <w:tcPr>
            <w:tcW w:w="3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E5C967" w14:textId="77777777" w:rsidR="005E22D5" w:rsidRPr="00A51C82" w:rsidRDefault="005E22D5" w:rsidP="00102EDC">
            <w:pPr>
              <w:jc w:val="center"/>
              <w:rPr>
                <w:b/>
                <w:i/>
                <w:sz w:val="18"/>
                <w:szCs w:val="18"/>
              </w:rPr>
            </w:pPr>
            <w:r w:rsidRPr="00A51C82">
              <w:rPr>
                <w:b/>
                <w:i/>
                <w:sz w:val="18"/>
                <w:szCs w:val="18"/>
              </w:rPr>
              <w:t>+27 400 E / an</w:t>
            </w:r>
          </w:p>
        </w:tc>
      </w:tr>
    </w:tbl>
    <w:p w14:paraId="77E5FFBB" w14:textId="77777777" w:rsidR="004C514F" w:rsidRDefault="004C514F" w:rsidP="004C4CA3">
      <w:pPr>
        <w:jc w:val="both"/>
      </w:pPr>
    </w:p>
    <w:p w14:paraId="4F73C7F4" w14:textId="77777777" w:rsidR="005E22D5" w:rsidRDefault="005E22D5" w:rsidP="004C4CA3">
      <w:pPr>
        <w:jc w:val="both"/>
      </w:pPr>
    </w:p>
    <w:p w14:paraId="057DE668" w14:textId="7A1030B6" w:rsidR="00A51C82" w:rsidRPr="00A51C82" w:rsidRDefault="00A13130" w:rsidP="004C4CA3">
      <w:pPr>
        <w:jc w:val="both"/>
      </w:pPr>
      <w:r>
        <w:br w:type="column"/>
      </w:r>
      <w:bookmarkStart w:id="66" w:name="_Hlk69633018"/>
      <w:bookmarkStart w:id="67" w:name="_Hlk69633222"/>
      <w:r w:rsidR="00A51C82" w:rsidRPr="00A51C82">
        <w:rPr>
          <w:b/>
        </w:rPr>
        <w:t>Pour caractériser la situation avec projet</w:t>
      </w:r>
      <w:r w:rsidR="00A51C82" w:rsidRPr="00A51C82">
        <w:t>,</w:t>
      </w:r>
      <w:r w:rsidR="00A51C82" w:rsidRPr="00A51C82">
        <w:rPr>
          <w:b/>
        </w:rPr>
        <w:t xml:space="preserve"> </w:t>
      </w:r>
      <w:r w:rsidR="005E22D5" w:rsidRPr="00E263A5">
        <w:t>deux</w:t>
      </w:r>
      <w:r w:rsidR="00A51C82" w:rsidRPr="005E22D5">
        <w:rPr>
          <w:color w:val="FF0000"/>
        </w:rPr>
        <w:t xml:space="preserve"> </w:t>
      </w:r>
      <w:r w:rsidR="004C514F" w:rsidRPr="00A51C82">
        <w:t xml:space="preserve">« options de projet » </w:t>
      </w:r>
      <w:r w:rsidR="00A51C82" w:rsidRPr="00A51C82">
        <w:t>socio-démographiques (selon l’instruction de juin 2014) ont été pris</w:t>
      </w:r>
      <w:r w:rsidR="005E22D5">
        <w:t>es</w:t>
      </w:r>
      <w:r w:rsidR="00A51C82" w:rsidRPr="00A51C82">
        <w:t xml:space="preserve"> en </w:t>
      </w:r>
      <w:r w:rsidR="007B7BC2" w:rsidRPr="00A51C82">
        <w:t>compte :</w:t>
      </w:r>
    </w:p>
    <w:p w14:paraId="49FCD336" w14:textId="77777777" w:rsidR="00A51C82" w:rsidRPr="00A51C82" w:rsidRDefault="00A51C82" w:rsidP="004C4CA3">
      <w:pPr>
        <w:jc w:val="both"/>
      </w:pPr>
    </w:p>
    <w:p w14:paraId="7207D78C" w14:textId="3B12CE38" w:rsidR="0073613B" w:rsidRDefault="007B7BC2" w:rsidP="0083506E">
      <w:pPr>
        <w:numPr>
          <w:ilvl w:val="0"/>
          <w:numId w:val="7"/>
        </w:numPr>
        <w:jc w:val="both"/>
      </w:pPr>
      <w:r>
        <w:t>l</w:t>
      </w:r>
      <w:r w:rsidRPr="00A51C82">
        <w:t>’</w:t>
      </w:r>
      <w:r w:rsidR="00225D2D">
        <w:t xml:space="preserve"> </w:t>
      </w:r>
      <w:r w:rsidRPr="00A51C82">
        <w:t>«</w:t>
      </w:r>
      <w:r w:rsidR="00A51C82" w:rsidRPr="00A51C82">
        <w:t> </w:t>
      </w:r>
      <w:r w:rsidR="00A51C82" w:rsidRPr="008E63B8">
        <w:t xml:space="preserve">option </w:t>
      </w:r>
      <w:r w:rsidR="005E22D5" w:rsidRPr="008E63B8">
        <w:t>basse</w:t>
      </w:r>
      <w:r w:rsidR="00A51C82" w:rsidRPr="00E263A5">
        <w:t xml:space="preserve"> » </w:t>
      </w:r>
      <w:r w:rsidR="00A51C82" w:rsidRPr="00A51C82">
        <w:t>(</w:t>
      </w:r>
      <w:r w:rsidR="008E63B8" w:rsidRPr="008E63B8">
        <w:rPr>
          <w:b/>
          <w:bCs/>
        </w:rPr>
        <w:t xml:space="preserve">scénario bas </w:t>
      </w:r>
      <w:r w:rsidR="00A51C82" w:rsidRPr="008E63B8">
        <w:rPr>
          <w:b/>
          <w:bCs/>
        </w:rPr>
        <w:t>S1)</w:t>
      </w:r>
      <w:r w:rsidR="00A51C82" w:rsidRPr="00A51C82">
        <w:t xml:space="preserve"> correspond à une hypothèse de croissance de l’emploi de </w:t>
      </w:r>
      <w:r w:rsidR="00836181">
        <w:t>+</w:t>
      </w:r>
      <w:r w:rsidR="00A51C82" w:rsidRPr="00A51C82">
        <w:t>115</w:t>
      </w:r>
      <w:r w:rsidR="0073613B">
        <w:t> </w:t>
      </w:r>
      <w:r w:rsidR="00A51C82" w:rsidRPr="00A51C82">
        <w:t xml:space="preserve">000 emplois supplémentaires par rapport à la référence, du fait de la réalisation du projet. </w:t>
      </w:r>
    </w:p>
    <w:p w14:paraId="3A2DB0C6" w14:textId="77777777" w:rsidR="0073613B" w:rsidRDefault="0073613B" w:rsidP="0073613B">
      <w:pPr>
        <w:ind w:left="720"/>
        <w:jc w:val="both"/>
      </w:pPr>
    </w:p>
    <w:p w14:paraId="59401074" w14:textId="5CA175E6" w:rsidR="00A51C82" w:rsidRPr="00A51C82" w:rsidRDefault="007B7BC2" w:rsidP="0083506E">
      <w:pPr>
        <w:numPr>
          <w:ilvl w:val="0"/>
          <w:numId w:val="7"/>
        </w:numPr>
        <w:jc w:val="both"/>
      </w:pPr>
      <w:r>
        <w:t>l</w:t>
      </w:r>
      <w:r w:rsidRPr="00A51C82">
        <w:t>’</w:t>
      </w:r>
      <w:r w:rsidR="00225D2D">
        <w:t xml:space="preserve"> </w:t>
      </w:r>
      <w:r w:rsidRPr="00A51C82">
        <w:t>«</w:t>
      </w:r>
      <w:r w:rsidR="00A51C82" w:rsidRPr="00A51C82">
        <w:t> </w:t>
      </w:r>
      <w:r w:rsidR="00A51C82" w:rsidRPr="008E63B8">
        <w:rPr>
          <w:bCs/>
          <w:i/>
        </w:rPr>
        <w:t>option haute</w:t>
      </w:r>
      <w:r w:rsidR="00A51C82" w:rsidRPr="00A51C82">
        <w:t> » (</w:t>
      </w:r>
      <w:r w:rsidR="008E63B8" w:rsidRPr="008E63B8">
        <w:rPr>
          <w:b/>
          <w:bCs/>
        </w:rPr>
        <w:t xml:space="preserve">scénario haut </w:t>
      </w:r>
      <w:r w:rsidR="00A51C82" w:rsidRPr="008E63B8">
        <w:rPr>
          <w:b/>
          <w:bCs/>
        </w:rPr>
        <w:t>S2</w:t>
      </w:r>
      <w:r w:rsidR="00A51C82" w:rsidRPr="00A51C82">
        <w:t xml:space="preserve">) traduit un niveau d’ambition plus élevé de la croissance de la région capitale, tel qu’exprimé au travers de la loi du 3 juin 2010 relative au Grand Paris (hypothèse de </w:t>
      </w:r>
      <w:r w:rsidR="00836181">
        <w:t>+</w:t>
      </w:r>
      <w:r w:rsidR="00A51C82" w:rsidRPr="00A51C82">
        <w:t>315</w:t>
      </w:r>
      <w:r w:rsidR="0084080B">
        <w:t> </w:t>
      </w:r>
      <w:r w:rsidR="00A51C82" w:rsidRPr="00A51C82">
        <w:t xml:space="preserve">000 emplois supplémentaires par rapport à la référence). </w:t>
      </w:r>
    </w:p>
    <w:p w14:paraId="09C421CA" w14:textId="77777777" w:rsidR="00A51C82" w:rsidRPr="00A51C82" w:rsidRDefault="00A51C82" w:rsidP="004C4CA3">
      <w:pPr>
        <w:ind w:firstLine="709"/>
        <w:jc w:val="both"/>
        <w:rPr>
          <w:b/>
        </w:rPr>
      </w:pPr>
    </w:p>
    <w:p w14:paraId="4A737BE2" w14:textId="77777777" w:rsidR="004259BD" w:rsidRDefault="004259BD" w:rsidP="004C4CA3">
      <w:pPr>
        <w:jc w:val="both"/>
        <w:rPr>
          <w:b/>
        </w:rPr>
      </w:pPr>
      <w:r w:rsidRPr="00A51C82">
        <w:rPr>
          <w:b/>
        </w:rPr>
        <w:t xml:space="preserve">Il faut souligner que </w:t>
      </w:r>
      <w:r>
        <w:rPr>
          <w:b/>
        </w:rPr>
        <w:t xml:space="preserve">les </w:t>
      </w:r>
      <w:r w:rsidRPr="00A51C82">
        <w:rPr>
          <w:b/>
        </w:rPr>
        <w:t>rec</w:t>
      </w:r>
      <w:r>
        <w:rPr>
          <w:b/>
        </w:rPr>
        <w:t>herches effectuées ont montré, comme on le verra plus loin,</w:t>
      </w:r>
      <w:r w:rsidRPr="00A51C82">
        <w:rPr>
          <w:b/>
        </w:rPr>
        <w:t xml:space="preserve"> que le niveau des emplois induits</w:t>
      </w:r>
      <w:r>
        <w:rPr>
          <w:b/>
        </w:rPr>
        <w:t xml:space="preserve"> </w:t>
      </w:r>
      <w:r w:rsidRPr="00A51C82">
        <w:rPr>
          <w:b/>
        </w:rPr>
        <w:t>par le Grand Paris Express</w:t>
      </w:r>
      <w:r>
        <w:rPr>
          <w:b/>
          <w:color w:val="FF0000"/>
        </w:rPr>
        <w:t xml:space="preserve"> </w:t>
      </w:r>
      <w:r w:rsidRPr="00A51C82">
        <w:rPr>
          <w:b/>
        </w:rPr>
        <w:t>est compris entre 115</w:t>
      </w:r>
      <w:r>
        <w:rPr>
          <w:b/>
        </w:rPr>
        <w:t> </w:t>
      </w:r>
      <w:r w:rsidRPr="00A51C82">
        <w:rPr>
          <w:b/>
        </w:rPr>
        <w:t>000 e</w:t>
      </w:r>
      <w:r>
        <w:rPr>
          <w:b/>
        </w:rPr>
        <w:t xml:space="preserve">t </w:t>
      </w:r>
    </w:p>
    <w:bookmarkEnd w:id="66"/>
    <w:p w14:paraId="7AAC5124" w14:textId="77777777" w:rsidR="004259BD" w:rsidRPr="00A51C82" w:rsidRDefault="004259BD" w:rsidP="004259BD">
      <w:pPr>
        <w:jc w:val="both"/>
      </w:pPr>
      <w:r w:rsidRPr="00A51C82">
        <w:rPr>
          <w:b/>
        </w:rPr>
        <w:t>Pour caractériser la situation avec projet</w:t>
      </w:r>
      <w:r w:rsidRPr="00A51C82">
        <w:t>,</w:t>
      </w:r>
      <w:r w:rsidRPr="00A51C82">
        <w:rPr>
          <w:b/>
        </w:rPr>
        <w:t xml:space="preserve"> </w:t>
      </w:r>
      <w:r w:rsidRPr="00E263A5">
        <w:t>deux</w:t>
      </w:r>
      <w:r w:rsidRPr="005E22D5">
        <w:rPr>
          <w:color w:val="FF0000"/>
        </w:rPr>
        <w:t xml:space="preserve"> </w:t>
      </w:r>
      <w:r w:rsidRPr="00A51C82">
        <w:t>« options de projet » socio-démographiques (selon l’instruction de juin 2014) ont été pris</w:t>
      </w:r>
      <w:r>
        <w:t>es</w:t>
      </w:r>
      <w:r w:rsidRPr="00A51C82">
        <w:t xml:space="preserve"> en compte :</w:t>
      </w:r>
    </w:p>
    <w:p w14:paraId="3FB1C7CA" w14:textId="77777777" w:rsidR="004259BD" w:rsidRPr="00A51C82" w:rsidRDefault="004259BD" w:rsidP="004259BD">
      <w:pPr>
        <w:jc w:val="both"/>
      </w:pPr>
    </w:p>
    <w:p w14:paraId="224A7803" w14:textId="77777777" w:rsidR="004259BD" w:rsidRDefault="004259BD" w:rsidP="004259BD">
      <w:pPr>
        <w:numPr>
          <w:ilvl w:val="0"/>
          <w:numId w:val="7"/>
        </w:numPr>
        <w:jc w:val="both"/>
      </w:pPr>
      <w:r>
        <w:t>l</w:t>
      </w:r>
      <w:r w:rsidRPr="00A51C82">
        <w:t>’</w:t>
      </w:r>
      <w:r>
        <w:t xml:space="preserve"> </w:t>
      </w:r>
      <w:r w:rsidRPr="00A51C82">
        <w:t>« </w:t>
      </w:r>
      <w:r w:rsidRPr="008E63B8">
        <w:t>option basse</w:t>
      </w:r>
      <w:r w:rsidRPr="00E263A5">
        <w:t xml:space="preserve"> » </w:t>
      </w:r>
      <w:r w:rsidRPr="00A51C82">
        <w:t>(</w:t>
      </w:r>
      <w:r w:rsidRPr="008E63B8">
        <w:rPr>
          <w:b/>
          <w:bCs/>
        </w:rPr>
        <w:t>scénario bas S1)</w:t>
      </w:r>
      <w:r w:rsidRPr="00A51C82">
        <w:t xml:space="preserve"> correspond à une hypothèse de croissance de l’emploi de </w:t>
      </w:r>
      <w:r>
        <w:t>+</w:t>
      </w:r>
      <w:r w:rsidRPr="00A51C82">
        <w:t>115</w:t>
      </w:r>
      <w:r>
        <w:t> </w:t>
      </w:r>
      <w:r w:rsidRPr="00A51C82">
        <w:t xml:space="preserve">000 emplois supplémentaires par rapport à la référence, du fait de la réalisation du projet. </w:t>
      </w:r>
    </w:p>
    <w:p w14:paraId="1DEAC696" w14:textId="77777777" w:rsidR="004259BD" w:rsidRDefault="004259BD" w:rsidP="004259BD">
      <w:pPr>
        <w:ind w:left="720"/>
        <w:jc w:val="both"/>
      </w:pPr>
    </w:p>
    <w:p w14:paraId="52D12482" w14:textId="77777777" w:rsidR="004259BD" w:rsidRPr="00A51C82" w:rsidRDefault="004259BD" w:rsidP="004259BD">
      <w:pPr>
        <w:numPr>
          <w:ilvl w:val="0"/>
          <w:numId w:val="7"/>
        </w:numPr>
        <w:jc w:val="both"/>
      </w:pPr>
      <w:r>
        <w:t>l</w:t>
      </w:r>
      <w:r w:rsidRPr="00A51C82">
        <w:t>’</w:t>
      </w:r>
      <w:r>
        <w:t xml:space="preserve"> </w:t>
      </w:r>
      <w:r w:rsidRPr="00A51C82">
        <w:t>« </w:t>
      </w:r>
      <w:r w:rsidRPr="008E63B8">
        <w:rPr>
          <w:bCs/>
          <w:i/>
        </w:rPr>
        <w:t>option haute</w:t>
      </w:r>
      <w:r w:rsidRPr="00A51C82">
        <w:t> » (</w:t>
      </w:r>
      <w:r w:rsidRPr="008E63B8">
        <w:rPr>
          <w:b/>
          <w:bCs/>
        </w:rPr>
        <w:t>scénario haut S2</w:t>
      </w:r>
      <w:r w:rsidRPr="00A51C82">
        <w:t xml:space="preserve">) traduit un niveau d’ambition plus élevé de la croissance de la région capitale, tel qu’exprimé au travers de la loi du 3 juin 2010 relative au Grand Paris (hypothèse de </w:t>
      </w:r>
      <w:r>
        <w:t>+</w:t>
      </w:r>
      <w:r w:rsidRPr="00A51C82">
        <w:t>315</w:t>
      </w:r>
      <w:r>
        <w:t> </w:t>
      </w:r>
      <w:r w:rsidRPr="00A51C82">
        <w:t xml:space="preserve">000 emplois supplémentaires par rapport à la référence). </w:t>
      </w:r>
    </w:p>
    <w:p w14:paraId="3C727C06" w14:textId="77777777" w:rsidR="004259BD" w:rsidRPr="00A51C82" w:rsidRDefault="004259BD" w:rsidP="004259BD">
      <w:pPr>
        <w:ind w:firstLine="709"/>
        <w:jc w:val="both"/>
        <w:rPr>
          <w:b/>
        </w:rPr>
      </w:pPr>
    </w:p>
    <w:bookmarkEnd w:id="67"/>
    <w:p w14:paraId="7AD09510" w14:textId="2666DD12" w:rsidR="00DC0B87" w:rsidRPr="00DC0B87" w:rsidRDefault="00BD5FCF" w:rsidP="00DC0B87">
      <w:pPr>
        <w:spacing w:before="60" w:after="60"/>
        <w:jc w:val="both"/>
        <w:rPr>
          <w:b/>
        </w:rPr>
      </w:pPr>
      <w:r>
        <w:rPr>
          <w:b/>
        </w:rPr>
        <w:t xml:space="preserve">Il </w:t>
      </w:r>
      <w:r w:rsidR="00DC0B87" w:rsidRPr="00DC0B87">
        <w:rPr>
          <w:b/>
        </w:rPr>
        <w:t>faut souligner que les recherches effectuées depuis une dizaine d’années ont montré, comme on le verra plus loin, que le niveau des emplois induits par le Grand Paris Express est compris entre 115 000 et au moins 315 000 , c’est-à-dire que le Grand Paris Express aura un effet majeur sur le nombre des emplois créés dans la région entre 2005 et 2030.</w:t>
      </w:r>
    </w:p>
    <w:p w14:paraId="2EF38884" w14:textId="77777777" w:rsidR="00DC0B87" w:rsidRPr="00DC0B87" w:rsidRDefault="00DC0B87" w:rsidP="00DC0B87">
      <w:pPr>
        <w:spacing w:before="60" w:after="60"/>
        <w:jc w:val="both"/>
        <w:rPr>
          <w:b/>
        </w:rPr>
      </w:pPr>
    </w:p>
    <w:p w14:paraId="4FC8F39D" w14:textId="533BBB87" w:rsidR="00DC0B87" w:rsidRPr="00DC0B87" w:rsidRDefault="00DC0B87" w:rsidP="00DC0B87">
      <w:pPr>
        <w:spacing w:before="60" w:after="60"/>
        <w:jc w:val="both"/>
        <w:rPr>
          <w:bCs/>
        </w:rPr>
      </w:pPr>
      <w:r w:rsidRPr="00DC0B87">
        <w:rPr>
          <w:bCs/>
        </w:rPr>
        <w:t>Le cadrage régional établi pour chaque option de croissance socio-démographique s’accompagne d’hypothèses d’évolution de la population et de l’emploi à l’échelle des différents territoires traversés par le projet. Ces hypothèses sont ensuite transposées dans les découpages en zones in-fra-communales utilisés normalement dans les modèles de prévisions de trafic.</w:t>
      </w:r>
    </w:p>
    <w:p w14:paraId="6B36A8B2" w14:textId="77777777" w:rsidR="00DC0B87" w:rsidRPr="00DC0B87" w:rsidRDefault="00DC0B87" w:rsidP="00DC0B87">
      <w:pPr>
        <w:spacing w:before="60" w:after="60"/>
        <w:jc w:val="both"/>
        <w:rPr>
          <w:bCs/>
        </w:rPr>
      </w:pPr>
    </w:p>
    <w:p w14:paraId="07E8E412" w14:textId="6242F104" w:rsidR="00A51C82" w:rsidRDefault="00DC0B87" w:rsidP="00DC0B87">
      <w:pPr>
        <w:spacing w:before="60" w:after="60"/>
        <w:jc w:val="both"/>
        <w:rPr>
          <w:bCs/>
        </w:rPr>
      </w:pPr>
      <w:r w:rsidRPr="00DC0B87">
        <w:rPr>
          <w:bCs/>
        </w:rPr>
        <w:t>Les cadrages socio-démographiques de base résultent des modélisations effectuées par la Société du Grand Paris sur la base des données disponibles à l’INSEE :</w:t>
      </w:r>
    </w:p>
    <w:p w14:paraId="1E76BAF1" w14:textId="77777777" w:rsidR="00DC0B87" w:rsidRPr="00DC0B87" w:rsidRDefault="00DC0B87" w:rsidP="00DC0B87">
      <w:pPr>
        <w:spacing w:before="60" w:after="60"/>
        <w:jc w:val="both"/>
        <w:rPr>
          <w:bCs/>
        </w:rPr>
      </w:pP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2253"/>
        <w:gridCol w:w="2253"/>
      </w:tblGrid>
      <w:tr w:rsidR="005E22D5" w:rsidRPr="00A51C82" w14:paraId="3D2C4CF6" w14:textId="77777777" w:rsidTr="001B258F">
        <w:trPr>
          <w:trHeight w:val="20"/>
          <w:jc w:val="center"/>
        </w:trPr>
        <w:tc>
          <w:tcPr>
            <w:tcW w:w="3006" w:type="dxa"/>
            <w:shd w:val="clear" w:color="auto" w:fill="auto"/>
            <w:vAlign w:val="center"/>
          </w:tcPr>
          <w:p w14:paraId="0C824E06" w14:textId="77777777" w:rsidR="005E22D5" w:rsidRPr="00A51C82" w:rsidRDefault="005E22D5" w:rsidP="00D5372B">
            <w:pPr>
              <w:jc w:val="center"/>
              <w:rPr>
                <w:b/>
                <w:i/>
                <w:color w:val="931638"/>
                <w:sz w:val="18"/>
                <w:szCs w:val="18"/>
              </w:rPr>
            </w:pPr>
            <w:r w:rsidRPr="00A51C82">
              <w:br w:type="page"/>
            </w:r>
            <w:r w:rsidRPr="00A51C82">
              <w:rPr>
                <w:b/>
                <w:i/>
                <w:color w:val="931638"/>
                <w:sz w:val="18"/>
                <w:szCs w:val="18"/>
              </w:rPr>
              <w:t>Croissance</w:t>
            </w:r>
          </w:p>
          <w:p w14:paraId="7DF7FA97" w14:textId="77777777" w:rsidR="005E22D5" w:rsidRPr="005F5736" w:rsidRDefault="005E22D5" w:rsidP="00D5372B">
            <w:pPr>
              <w:jc w:val="center"/>
              <w:rPr>
                <w:b/>
                <w:i/>
                <w:color w:val="931638"/>
                <w:sz w:val="18"/>
                <w:szCs w:val="18"/>
              </w:rPr>
            </w:pPr>
            <w:r w:rsidRPr="00A51C82">
              <w:rPr>
                <w:b/>
                <w:i/>
                <w:color w:val="931638"/>
                <w:sz w:val="18"/>
                <w:szCs w:val="18"/>
              </w:rPr>
              <w:t>2005-2030</w:t>
            </w:r>
          </w:p>
        </w:tc>
        <w:tc>
          <w:tcPr>
            <w:tcW w:w="2253" w:type="dxa"/>
            <w:tcBorders>
              <w:top w:val="single" w:sz="12" w:space="0" w:color="auto"/>
              <w:left w:val="single" w:sz="12" w:space="0" w:color="auto"/>
              <w:right w:val="single" w:sz="12" w:space="0" w:color="auto"/>
            </w:tcBorders>
            <w:shd w:val="clear" w:color="auto" w:fill="FFFFFF"/>
            <w:vAlign w:val="center"/>
          </w:tcPr>
          <w:p w14:paraId="23E59ECA" w14:textId="0B944CBD" w:rsidR="00E263A5" w:rsidRPr="00A51C82" w:rsidRDefault="00E263A5" w:rsidP="00E263A5">
            <w:pPr>
              <w:jc w:val="center"/>
              <w:rPr>
                <w:b/>
                <w:i/>
                <w:color w:val="931638"/>
                <w:szCs w:val="20"/>
              </w:rPr>
            </w:pPr>
            <w:r w:rsidRPr="00A51C82">
              <w:rPr>
                <w:b/>
                <w:i/>
                <w:color w:val="931638"/>
                <w:szCs w:val="20"/>
              </w:rPr>
              <w:t xml:space="preserve">Option </w:t>
            </w:r>
            <w:r>
              <w:rPr>
                <w:b/>
                <w:i/>
                <w:color w:val="931638"/>
                <w:szCs w:val="20"/>
              </w:rPr>
              <w:t>b</w:t>
            </w:r>
            <w:r w:rsidRPr="00A51C82">
              <w:rPr>
                <w:b/>
                <w:i/>
                <w:color w:val="931638"/>
                <w:szCs w:val="20"/>
              </w:rPr>
              <w:t>a</w:t>
            </w:r>
            <w:r>
              <w:rPr>
                <w:b/>
                <w:i/>
                <w:color w:val="931638"/>
                <w:szCs w:val="20"/>
              </w:rPr>
              <w:t>ss</w:t>
            </w:r>
            <w:r w:rsidRPr="00A51C82">
              <w:rPr>
                <w:b/>
                <w:i/>
                <w:color w:val="931638"/>
                <w:szCs w:val="20"/>
              </w:rPr>
              <w:t>e</w:t>
            </w:r>
          </w:p>
          <w:p w14:paraId="09E662BB" w14:textId="77777777" w:rsidR="005E22D5" w:rsidRPr="00A51C82" w:rsidRDefault="005E22D5" w:rsidP="005F5736">
            <w:pPr>
              <w:jc w:val="center"/>
              <w:rPr>
                <w:b/>
                <w:i/>
                <w:color w:val="931638"/>
                <w:szCs w:val="20"/>
              </w:rPr>
            </w:pPr>
            <w:r w:rsidRPr="00A51C82">
              <w:rPr>
                <w:b/>
                <w:i/>
                <w:color w:val="931638"/>
                <w:szCs w:val="20"/>
              </w:rPr>
              <w:t>(S1)</w:t>
            </w:r>
          </w:p>
        </w:tc>
        <w:tc>
          <w:tcPr>
            <w:tcW w:w="2253" w:type="dxa"/>
            <w:tcBorders>
              <w:left w:val="single" w:sz="12" w:space="0" w:color="auto"/>
            </w:tcBorders>
            <w:shd w:val="clear" w:color="auto" w:fill="FFFFFF"/>
            <w:vAlign w:val="center"/>
          </w:tcPr>
          <w:p w14:paraId="66665BE0" w14:textId="4CCA9E48" w:rsidR="005E22D5" w:rsidRPr="00A51C82" w:rsidRDefault="005E22D5" w:rsidP="005F5736">
            <w:pPr>
              <w:jc w:val="center"/>
              <w:rPr>
                <w:b/>
                <w:i/>
                <w:color w:val="931638"/>
                <w:szCs w:val="20"/>
              </w:rPr>
            </w:pPr>
            <w:r w:rsidRPr="00A51C82">
              <w:rPr>
                <w:b/>
                <w:i/>
                <w:color w:val="931638"/>
                <w:szCs w:val="20"/>
              </w:rPr>
              <w:t>Option haute</w:t>
            </w:r>
          </w:p>
          <w:p w14:paraId="7FDF8633" w14:textId="77777777" w:rsidR="005E22D5" w:rsidRPr="00A51C82" w:rsidRDefault="005E22D5" w:rsidP="005F5736">
            <w:pPr>
              <w:jc w:val="center"/>
              <w:rPr>
                <w:b/>
                <w:i/>
                <w:color w:val="931638"/>
                <w:szCs w:val="20"/>
              </w:rPr>
            </w:pPr>
            <w:r w:rsidRPr="00A51C82">
              <w:rPr>
                <w:b/>
                <w:i/>
                <w:color w:val="931638"/>
                <w:szCs w:val="20"/>
              </w:rPr>
              <w:t>(S2)</w:t>
            </w:r>
          </w:p>
        </w:tc>
      </w:tr>
      <w:tr w:rsidR="005E22D5" w:rsidRPr="00A51C82" w14:paraId="4C09362D" w14:textId="77777777" w:rsidTr="001B258F">
        <w:trPr>
          <w:trHeight w:val="20"/>
          <w:jc w:val="center"/>
        </w:trPr>
        <w:tc>
          <w:tcPr>
            <w:tcW w:w="3006" w:type="dxa"/>
            <w:vMerge w:val="restart"/>
            <w:shd w:val="clear" w:color="auto" w:fill="auto"/>
            <w:vAlign w:val="center"/>
          </w:tcPr>
          <w:p w14:paraId="08BF6F12" w14:textId="2D59FA93" w:rsidR="005E22D5" w:rsidRPr="00A51C82" w:rsidRDefault="005E22D5" w:rsidP="00D5372B">
            <w:pPr>
              <w:jc w:val="both"/>
              <w:rPr>
                <w:color w:val="931638"/>
                <w:sz w:val="18"/>
                <w:szCs w:val="18"/>
              </w:rPr>
            </w:pPr>
            <w:r w:rsidRPr="00A51C82">
              <w:rPr>
                <w:color w:val="931638"/>
                <w:sz w:val="18"/>
                <w:szCs w:val="18"/>
              </w:rPr>
              <w:t>Population Île-de-France (P)</w:t>
            </w:r>
          </w:p>
        </w:tc>
        <w:tc>
          <w:tcPr>
            <w:tcW w:w="2253" w:type="dxa"/>
            <w:tcBorders>
              <w:left w:val="single" w:sz="12" w:space="0" w:color="auto"/>
              <w:right w:val="single" w:sz="12" w:space="0" w:color="auto"/>
            </w:tcBorders>
            <w:shd w:val="clear" w:color="auto" w:fill="FFFFFF"/>
            <w:vAlign w:val="center"/>
          </w:tcPr>
          <w:p w14:paraId="02C80CFA" w14:textId="48E46AB4" w:rsidR="005E22D5" w:rsidRPr="00D5372B" w:rsidRDefault="005E22D5" w:rsidP="00D5372B">
            <w:pPr>
              <w:jc w:val="center"/>
              <w:rPr>
                <w:b/>
                <w:sz w:val="18"/>
                <w:szCs w:val="18"/>
              </w:rPr>
            </w:pPr>
            <w:r w:rsidRPr="00A51C82">
              <w:rPr>
                <w:b/>
                <w:sz w:val="18"/>
                <w:szCs w:val="18"/>
              </w:rPr>
              <w:t>+1 400 000 P</w:t>
            </w:r>
          </w:p>
        </w:tc>
        <w:tc>
          <w:tcPr>
            <w:tcW w:w="2253" w:type="dxa"/>
            <w:tcBorders>
              <w:left w:val="single" w:sz="12" w:space="0" w:color="auto"/>
            </w:tcBorders>
            <w:shd w:val="clear" w:color="auto" w:fill="FFFFFF"/>
            <w:vAlign w:val="center"/>
          </w:tcPr>
          <w:p w14:paraId="43A5D5D5" w14:textId="559548D0" w:rsidR="005E22D5" w:rsidRPr="00D5372B" w:rsidRDefault="005E22D5" w:rsidP="00D5372B">
            <w:pPr>
              <w:jc w:val="center"/>
              <w:rPr>
                <w:b/>
                <w:sz w:val="18"/>
                <w:szCs w:val="18"/>
              </w:rPr>
            </w:pPr>
            <w:r w:rsidRPr="00A51C82">
              <w:rPr>
                <w:b/>
                <w:sz w:val="18"/>
                <w:szCs w:val="18"/>
              </w:rPr>
              <w:t>+1 500 000 P</w:t>
            </w:r>
          </w:p>
        </w:tc>
      </w:tr>
      <w:tr w:rsidR="005E22D5" w:rsidRPr="00A51C82" w14:paraId="7186789E" w14:textId="77777777" w:rsidTr="001B258F">
        <w:trPr>
          <w:trHeight w:val="20"/>
          <w:jc w:val="center"/>
        </w:trPr>
        <w:tc>
          <w:tcPr>
            <w:tcW w:w="3006" w:type="dxa"/>
            <w:vMerge/>
            <w:shd w:val="clear" w:color="auto" w:fill="auto"/>
            <w:vAlign w:val="center"/>
          </w:tcPr>
          <w:p w14:paraId="18704879" w14:textId="77777777" w:rsidR="005E22D5" w:rsidRPr="00A51C82" w:rsidRDefault="005E22D5" w:rsidP="005F5736">
            <w:pPr>
              <w:jc w:val="both"/>
              <w:rPr>
                <w:color w:val="931638"/>
                <w:sz w:val="18"/>
                <w:szCs w:val="18"/>
              </w:rPr>
            </w:pPr>
          </w:p>
        </w:tc>
        <w:tc>
          <w:tcPr>
            <w:tcW w:w="2253" w:type="dxa"/>
            <w:tcBorders>
              <w:left w:val="single" w:sz="12" w:space="0" w:color="auto"/>
              <w:right w:val="single" w:sz="12" w:space="0" w:color="auto"/>
            </w:tcBorders>
            <w:shd w:val="clear" w:color="auto" w:fill="FFFFFF"/>
            <w:vAlign w:val="center"/>
          </w:tcPr>
          <w:p w14:paraId="690B21EB" w14:textId="77777777" w:rsidR="005E22D5" w:rsidRPr="00A51C82" w:rsidRDefault="005E22D5" w:rsidP="005F5736">
            <w:pPr>
              <w:jc w:val="center"/>
              <w:rPr>
                <w:b/>
                <w:i/>
                <w:sz w:val="18"/>
                <w:szCs w:val="18"/>
              </w:rPr>
            </w:pPr>
            <w:r w:rsidRPr="00A51C82">
              <w:rPr>
                <w:b/>
                <w:i/>
                <w:sz w:val="18"/>
                <w:szCs w:val="18"/>
              </w:rPr>
              <w:t>+56 000 P / an</w:t>
            </w:r>
          </w:p>
        </w:tc>
        <w:tc>
          <w:tcPr>
            <w:tcW w:w="2253" w:type="dxa"/>
            <w:tcBorders>
              <w:left w:val="single" w:sz="12" w:space="0" w:color="auto"/>
            </w:tcBorders>
            <w:shd w:val="clear" w:color="auto" w:fill="FFFFFF"/>
            <w:vAlign w:val="center"/>
          </w:tcPr>
          <w:p w14:paraId="6B21249D" w14:textId="77777777" w:rsidR="005E22D5" w:rsidRPr="00A51C82" w:rsidRDefault="005E22D5" w:rsidP="005F5736">
            <w:pPr>
              <w:jc w:val="center"/>
              <w:rPr>
                <w:b/>
                <w:i/>
                <w:sz w:val="18"/>
                <w:szCs w:val="18"/>
              </w:rPr>
            </w:pPr>
            <w:r w:rsidRPr="00A51C82">
              <w:rPr>
                <w:b/>
                <w:i/>
                <w:sz w:val="18"/>
                <w:szCs w:val="18"/>
              </w:rPr>
              <w:t>+60 000 P / an</w:t>
            </w:r>
          </w:p>
        </w:tc>
      </w:tr>
      <w:tr w:rsidR="005E22D5" w:rsidRPr="00A51C82" w14:paraId="1E66FFB5" w14:textId="77777777" w:rsidTr="001B258F">
        <w:trPr>
          <w:trHeight w:val="20"/>
          <w:jc w:val="center"/>
        </w:trPr>
        <w:tc>
          <w:tcPr>
            <w:tcW w:w="3006" w:type="dxa"/>
            <w:vMerge w:val="restart"/>
            <w:shd w:val="clear" w:color="auto" w:fill="auto"/>
            <w:vAlign w:val="center"/>
          </w:tcPr>
          <w:p w14:paraId="59933F3A" w14:textId="72699B48" w:rsidR="005E22D5" w:rsidRPr="00A51C82" w:rsidRDefault="001C143E" w:rsidP="00D5372B">
            <w:pPr>
              <w:jc w:val="both"/>
              <w:rPr>
                <w:color w:val="931638"/>
                <w:sz w:val="18"/>
                <w:szCs w:val="18"/>
              </w:rPr>
            </w:pPr>
            <w:r w:rsidRPr="00A51C82">
              <w:rPr>
                <w:color w:val="931638"/>
                <w:sz w:val="18"/>
                <w:szCs w:val="18"/>
              </w:rPr>
              <w:t>Emplois</w:t>
            </w:r>
            <w:r>
              <w:rPr>
                <w:color w:val="931638"/>
                <w:sz w:val="18"/>
                <w:szCs w:val="18"/>
              </w:rPr>
              <w:t xml:space="preserve"> </w:t>
            </w:r>
            <w:r w:rsidRPr="00A51C82">
              <w:rPr>
                <w:color w:val="931638"/>
                <w:sz w:val="18"/>
                <w:szCs w:val="18"/>
              </w:rPr>
              <w:t>Île</w:t>
            </w:r>
            <w:r w:rsidR="005E22D5" w:rsidRPr="00A51C82">
              <w:rPr>
                <w:color w:val="931638"/>
                <w:sz w:val="18"/>
                <w:szCs w:val="18"/>
              </w:rPr>
              <w:t>-de-France (E)</w:t>
            </w:r>
          </w:p>
        </w:tc>
        <w:tc>
          <w:tcPr>
            <w:tcW w:w="2253" w:type="dxa"/>
            <w:tcBorders>
              <w:left w:val="single" w:sz="12" w:space="0" w:color="auto"/>
              <w:right w:val="single" w:sz="12" w:space="0" w:color="auto"/>
            </w:tcBorders>
            <w:shd w:val="clear" w:color="auto" w:fill="FFFFFF"/>
            <w:vAlign w:val="center"/>
          </w:tcPr>
          <w:p w14:paraId="125F1FA0" w14:textId="22B71FC8" w:rsidR="005E22D5" w:rsidRPr="00D5372B" w:rsidRDefault="005E22D5" w:rsidP="00D5372B">
            <w:pPr>
              <w:jc w:val="center"/>
              <w:rPr>
                <w:b/>
                <w:sz w:val="18"/>
                <w:szCs w:val="18"/>
              </w:rPr>
            </w:pPr>
            <w:r w:rsidRPr="00A51C82">
              <w:rPr>
                <w:b/>
                <w:sz w:val="18"/>
                <w:szCs w:val="18"/>
              </w:rPr>
              <w:t>+800 000 E</w:t>
            </w:r>
          </w:p>
        </w:tc>
        <w:tc>
          <w:tcPr>
            <w:tcW w:w="2253" w:type="dxa"/>
            <w:tcBorders>
              <w:left w:val="single" w:sz="12" w:space="0" w:color="auto"/>
            </w:tcBorders>
            <w:shd w:val="clear" w:color="auto" w:fill="FFFFFF"/>
            <w:vAlign w:val="center"/>
          </w:tcPr>
          <w:p w14:paraId="2F99127D" w14:textId="67E0CDB0" w:rsidR="005E22D5" w:rsidRPr="00D5372B" w:rsidRDefault="005E22D5" w:rsidP="00D5372B">
            <w:pPr>
              <w:jc w:val="center"/>
              <w:rPr>
                <w:b/>
                <w:sz w:val="18"/>
                <w:szCs w:val="18"/>
              </w:rPr>
            </w:pPr>
            <w:r w:rsidRPr="00A51C82">
              <w:rPr>
                <w:b/>
                <w:sz w:val="18"/>
                <w:szCs w:val="18"/>
              </w:rPr>
              <w:t>+1 000 000 E</w:t>
            </w:r>
          </w:p>
        </w:tc>
      </w:tr>
      <w:tr w:rsidR="005E22D5" w:rsidRPr="00A51C82" w14:paraId="1A431D08" w14:textId="77777777" w:rsidTr="001B258F">
        <w:trPr>
          <w:trHeight w:val="20"/>
          <w:jc w:val="center"/>
        </w:trPr>
        <w:tc>
          <w:tcPr>
            <w:tcW w:w="3006" w:type="dxa"/>
            <w:vMerge/>
            <w:shd w:val="clear" w:color="auto" w:fill="auto"/>
            <w:vAlign w:val="center"/>
          </w:tcPr>
          <w:p w14:paraId="706C825E" w14:textId="77777777" w:rsidR="005E22D5" w:rsidRPr="00A51C82" w:rsidRDefault="005E22D5" w:rsidP="005F5736">
            <w:pPr>
              <w:jc w:val="both"/>
              <w:rPr>
                <w:sz w:val="18"/>
                <w:szCs w:val="18"/>
              </w:rPr>
            </w:pPr>
          </w:p>
        </w:tc>
        <w:tc>
          <w:tcPr>
            <w:tcW w:w="2253" w:type="dxa"/>
            <w:tcBorders>
              <w:left w:val="single" w:sz="12" w:space="0" w:color="auto"/>
              <w:bottom w:val="single" w:sz="12" w:space="0" w:color="auto"/>
              <w:right w:val="single" w:sz="12" w:space="0" w:color="auto"/>
            </w:tcBorders>
            <w:shd w:val="clear" w:color="auto" w:fill="FFFFFF"/>
            <w:vAlign w:val="center"/>
          </w:tcPr>
          <w:p w14:paraId="2B1ADBA5" w14:textId="77777777" w:rsidR="005E22D5" w:rsidRPr="00A51C82" w:rsidRDefault="005E22D5" w:rsidP="005F5736">
            <w:pPr>
              <w:jc w:val="center"/>
              <w:rPr>
                <w:b/>
                <w:i/>
                <w:sz w:val="18"/>
                <w:szCs w:val="18"/>
              </w:rPr>
            </w:pPr>
            <w:r w:rsidRPr="00A51C82">
              <w:rPr>
                <w:b/>
                <w:i/>
                <w:sz w:val="18"/>
                <w:szCs w:val="18"/>
              </w:rPr>
              <w:t>+32 000 E / an</w:t>
            </w:r>
          </w:p>
        </w:tc>
        <w:tc>
          <w:tcPr>
            <w:tcW w:w="2253" w:type="dxa"/>
            <w:tcBorders>
              <w:left w:val="single" w:sz="12" w:space="0" w:color="auto"/>
            </w:tcBorders>
            <w:shd w:val="clear" w:color="auto" w:fill="FFFFFF"/>
            <w:vAlign w:val="center"/>
          </w:tcPr>
          <w:p w14:paraId="40691478" w14:textId="77777777" w:rsidR="005E22D5" w:rsidRPr="00A51C82" w:rsidRDefault="005E22D5" w:rsidP="005F5736">
            <w:pPr>
              <w:jc w:val="center"/>
              <w:rPr>
                <w:b/>
                <w:i/>
                <w:sz w:val="18"/>
                <w:szCs w:val="18"/>
              </w:rPr>
            </w:pPr>
            <w:r w:rsidRPr="00A51C82">
              <w:rPr>
                <w:b/>
                <w:i/>
                <w:sz w:val="18"/>
                <w:szCs w:val="18"/>
              </w:rPr>
              <w:t>+40 000 E / an</w:t>
            </w:r>
          </w:p>
        </w:tc>
      </w:tr>
    </w:tbl>
    <w:p w14:paraId="1BBD82CA" w14:textId="77777777" w:rsidR="00A51C82" w:rsidRPr="00A51C82" w:rsidRDefault="00A51C82" w:rsidP="004C4CA3">
      <w:pPr>
        <w:jc w:val="both"/>
        <w:rPr>
          <w:b/>
        </w:rPr>
      </w:pPr>
    </w:p>
    <w:p w14:paraId="74B884B9" w14:textId="23714316" w:rsidR="00A51C82" w:rsidRDefault="00A51C82" w:rsidP="00225D2D">
      <w:pPr>
        <w:keepNext/>
        <w:keepLines/>
        <w:spacing w:before="200"/>
        <w:jc w:val="both"/>
        <w:rPr>
          <w:bCs/>
        </w:rPr>
      </w:pPr>
      <w:r w:rsidRPr="00611AEC">
        <w:rPr>
          <w:noProof/>
        </w:rPr>
        <w:lastRenderedPageBreak/>
        <w:t xml:space="preserve">Il est intéressant de voir </w:t>
      </w:r>
      <w:r w:rsidR="00836181" w:rsidRPr="00611AEC">
        <w:rPr>
          <w:noProof/>
        </w:rPr>
        <w:t>en 2020</w:t>
      </w:r>
      <w:r w:rsidR="00E3611B">
        <w:rPr>
          <w:noProof/>
        </w:rPr>
        <w:t xml:space="preserve"> </w:t>
      </w:r>
      <w:r w:rsidRPr="00611AEC">
        <w:rPr>
          <w:noProof/>
        </w:rPr>
        <w:t xml:space="preserve">comment les données de population et d’emplois ont évolué pendant la période 2005-2018 – </w:t>
      </w:r>
      <w:r w:rsidR="00575BD3">
        <w:rPr>
          <w:noProof/>
        </w:rPr>
        <w:t xml:space="preserve">correspondant à </w:t>
      </w:r>
      <w:r w:rsidRPr="00611AEC">
        <w:rPr>
          <w:noProof/>
        </w:rPr>
        <w:t xml:space="preserve">un peu plus de la moitié de la période 2005-2030– et d’apprécier avec cet éclairage les </w:t>
      </w:r>
      <w:r w:rsidR="00575BD3">
        <w:rPr>
          <w:noProof/>
        </w:rPr>
        <w:t xml:space="preserve">hypothèses et </w:t>
      </w:r>
      <w:r w:rsidRPr="00611AEC">
        <w:rPr>
          <w:noProof/>
        </w:rPr>
        <w:t xml:space="preserve">options proposées </w:t>
      </w:r>
      <w:r w:rsidR="00575BD3">
        <w:rPr>
          <w:noProof/>
        </w:rPr>
        <w:t>à l’origine du projet du Grand Paris Expres</w:t>
      </w:r>
      <w:r w:rsidRPr="00611AEC">
        <w:rPr>
          <w:noProof/>
        </w:rPr>
        <w:t xml:space="preserve">. </w:t>
      </w:r>
      <w:r w:rsidR="00575BD3">
        <w:rPr>
          <w:noProof/>
        </w:rPr>
        <w:t>Comme on le voit sur le tableau ci-contre, les hypothèses sur la croissance tendancielle entre 2005 et 2030 sont de 1</w:t>
      </w:r>
      <w:r w:rsidR="0084080B">
        <w:rPr>
          <w:noProof/>
        </w:rPr>
        <w:t> </w:t>
      </w:r>
      <w:r w:rsidR="00575BD3">
        <w:rPr>
          <w:noProof/>
        </w:rPr>
        <w:t>350</w:t>
      </w:r>
      <w:r w:rsidR="0084080B">
        <w:rPr>
          <w:noProof/>
        </w:rPr>
        <w:t> </w:t>
      </w:r>
      <w:r w:rsidR="00575BD3">
        <w:rPr>
          <w:noProof/>
        </w:rPr>
        <w:t>000 habitants et de 685</w:t>
      </w:r>
      <w:r w:rsidR="0084080B">
        <w:rPr>
          <w:noProof/>
        </w:rPr>
        <w:t> </w:t>
      </w:r>
      <w:r w:rsidR="00575BD3">
        <w:rPr>
          <w:noProof/>
        </w:rPr>
        <w:t xml:space="preserve">000 emplois supplémentaires en 25 ans dans la région Île de France. </w:t>
      </w:r>
      <w:r w:rsidRPr="00611AEC">
        <w:t xml:space="preserve">A la fin 2018, l’augmentation de la population </w:t>
      </w:r>
      <w:r w:rsidR="008A373D">
        <w:t xml:space="preserve">entre 2005 et 2018 </w:t>
      </w:r>
      <w:r w:rsidRPr="00611AEC">
        <w:t xml:space="preserve">est </w:t>
      </w:r>
      <w:r w:rsidR="00C51CC4">
        <w:t xml:space="preserve">était </w:t>
      </w:r>
      <w:r w:rsidRPr="00611AEC">
        <w:t>de 742</w:t>
      </w:r>
      <w:r w:rsidR="0084080B">
        <w:t> </w:t>
      </w:r>
      <w:r w:rsidRPr="00611AEC">
        <w:t>000</w:t>
      </w:r>
      <w:r w:rsidR="00D62577" w:rsidRPr="00611AEC">
        <w:t xml:space="preserve"> habitants</w:t>
      </w:r>
      <w:r w:rsidRPr="00611AEC">
        <w:t>, soit 57</w:t>
      </w:r>
      <w:r w:rsidR="0084080B">
        <w:t> </w:t>
      </w:r>
      <w:r w:rsidRPr="00611AEC">
        <w:t xml:space="preserve">000 par an, </w:t>
      </w:r>
      <w:r w:rsidR="00D62577" w:rsidRPr="00611AEC">
        <w:t xml:space="preserve">une croissance </w:t>
      </w:r>
      <w:r w:rsidR="008A373D">
        <w:t xml:space="preserve">nettement supérieure à la tendance et </w:t>
      </w:r>
      <w:r w:rsidRPr="00611AEC">
        <w:t>intermédiaire entre l’hypothèse d</w:t>
      </w:r>
      <w:r w:rsidR="00013563" w:rsidRPr="00611AEC">
        <w:t>ite « </w:t>
      </w:r>
      <w:r w:rsidR="00117D8C" w:rsidRPr="00611AEC">
        <w:t xml:space="preserve">basse </w:t>
      </w:r>
      <w:r w:rsidR="00013563" w:rsidRPr="00611AEC">
        <w:t>» et l’hypothèse</w:t>
      </w:r>
      <w:r w:rsidRPr="00611AEC">
        <w:t xml:space="preserve"> « haute »</w:t>
      </w:r>
      <w:r w:rsidR="008A373D">
        <w:t xml:space="preserve"> des options intégrant l’influence du Grand Paris Express</w:t>
      </w:r>
      <w:r w:rsidRPr="00611AEC">
        <w:t xml:space="preserve">. </w:t>
      </w:r>
      <w:r w:rsidRPr="00611AEC">
        <w:rPr>
          <w:bCs/>
        </w:rPr>
        <w:t xml:space="preserve">En ce qui concerne les emplois, </w:t>
      </w:r>
      <w:r w:rsidRPr="00611AEC">
        <w:t xml:space="preserve">la croissance retrouvée à partir de 2015 s’est accompagnée de créations d’emplois à un niveau très élevé. A la fin 2018, ce sont, selon des données provisoires, près </w:t>
      </w:r>
      <w:r w:rsidR="007B7BC2" w:rsidRPr="00611AEC">
        <w:t>de 500</w:t>
      </w:r>
      <w:r w:rsidR="0084080B">
        <w:t> </w:t>
      </w:r>
      <w:r w:rsidRPr="00611AEC">
        <w:t xml:space="preserve">000 emplois qui auront été créés </w:t>
      </w:r>
      <w:r w:rsidR="008A373D">
        <w:t>entre 2005 et 2018</w:t>
      </w:r>
      <w:r w:rsidR="0073613B">
        <w:t xml:space="preserve"> </w:t>
      </w:r>
      <w:r w:rsidRPr="00611AEC">
        <w:t>– soit 40</w:t>
      </w:r>
      <w:r w:rsidR="0084080B">
        <w:t> </w:t>
      </w:r>
      <w:r w:rsidRPr="00611AEC">
        <w:t xml:space="preserve">000 par an, nettement </w:t>
      </w:r>
      <w:r w:rsidR="007B7BC2" w:rsidRPr="00611AEC">
        <w:t>au-dessus</w:t>
      </w:r>
      <w:r w:rsidRPr="00611AEC">
        <w:t xml:space="preserve"> </w:t>
      </w:r>
      <w:r w:rsidR="008A373D">
        <w:t>de la tendance escomptée et correspondant à l’hypothèse haute de la croissance attendue avec le Grand Paris Express</w:t>
      </w:r>
      <w:r w:rsidRPr="00611AEC">
        <w:t xml:space="preserve">. </w:t>
      </w:r>
      <w:r w:rsidRPr="00611AEC">
        <w:rPr>
          <w:bCs/>
        </w:rPr>
        <w:t xml:space="preserve">Il est </w:t>
      </w:r>
      <w:r w:rsidR="00117D8C" w:rsidRPr="00611AEC">
        <w:rPr>
          <w:bCs/>
        </w:rPr>
        <w:t xml:space="preserve">malgré tout </w:t>
      </w:r>
      <w:r w:rsidRPr="00611AEC">
        <w:rPr>
          <w:bCs/>
        </w:rPr>
        <w:t>délicat de faire aujourd’hui le partage</w:t>
      </w:r>
      <w:r w:rsidR="00117D8C" w:rsidRPr="00611AEC">
        <w:rPr>
          <w:bCs/>
        </w:rPr>
        <w:t xml:space="preserve"> exact,</w:t>
      </w:r>
      <w:r w:rsidRPr="00611AEC">
        <w:rPr>
          <w:bCs/>
        </w:rPr>
        <w:t xml:space="preserve"> dans l’augmentation de la population et des emplois, entre la partie imputable à une </w:t>
      </w:r>
      <w:r w:rsidR="00117D8C" w:rsidRPr="00611AEC">
        <w:rPr>
          <w:bCs/>
        </w:rPr>
        <w:t xml:space="preserve">évolution </w:t>
      </w:r>
      <w:r w:rsidRPr="00611AEC">
        <w:rPr>
          <w:bCs/>
        </w:rPr>
        <w:t xml:space="preserve">tendancielle </w:t>
      </w:r>
      <w:r w:rsidR="00611AEC" w:rsidRPr="00611AEC">
        <w:rPr>
          <w:bCs/>
        </w:rPr>
        <w:t xml:space="preserve">éventuellement </w:t>
      </w:r>
      <w:r w:rsidRPr="00611AEC">
        <w:rPr>
          <w:bCs/>
        </w:rPr>
        <w:t>révisée à la hausse</w:t>
      </w:r>
      <w:r w:rsidR="0073613B">
        <w:rPr>
          <w:bCs/>
        </w:rPr>
        <w:t>,</w:t>
      </w:r>
      <w:r w:rsidRPr="00611AEC">
        <w:rPr>
          <w:bCs/>
        </w:rPr>
        <w:t xml:space="preserve"> et celle qui doit être prise en compte parmi les effets du projet, qui ne se feront sentir que très progressivement et surtout après les premières mises en service. Les travaux de modélisation engagés par la Société du Grand Paris, et qui seront poursuivis dans les prochaines années, doivent permettre à terme de déterminer les effets propres du projet dans les évolutions constatées.</w:t>
      </w:r>
      <w:r w:rsidR="00836181">
        <w:rPr>
          <w:bCs/>
        </w:rPr>
        <w:t xml:space="preserve"> </w:t>
      </w:r>
      <w:r w:rsidR="00C51CC4">
        <w:rPr>
          <w:bCs/>
        </w:rPr>
        <w:t>De plus, c</w:t>
      </w:r>
      <w:r w:rsidR="00836181">
        <w:rPr>
          <w:bCs/>
        </w:rPr>
        <w:t xml:space="preserve">omme on l’a indiqué en avertissement de ce document, ces données constatées sur la période 2005-2018 n’ont pas intégré les conséquences en termes d’emplois de la crise du COVID-19 : en première approche, compte tenu de l’horizon de prévision qui est 2030, </w:t>
      </w:r>
      <w:r w:rsidR="008A373D" w:rsidRPr="00BD5FCF">
        <w:rPr>
          <w:bCs/>
          <w:color w:val="00B050"/>
        </w:rPr>
        <w:t>il n’est pas déraisonnable de</w:t>
      </w:r>
      <w:r w:rsidR="00836181" w:rsidRPr="00BD5FCF">
        <w:rPr>
          <w:bCs/>
          <w:color w:val="00B050"/>
        </w:rPr>
        <w:t xml:space="preserve"> considérer que les effets de cette crise auront été </w:t>
      </w:r>
      <w:r w:rsidR="00BD5FCF" w:rsidRPr="00BD5FCF">
        <w:rPr>
          <w:bCs/>
          <w:color w:val="00B050"/>
        </w:rPr>
        <w:t>estompé</w:t>
      </w:r>
      <w:r w:rsidR="00BD5FCF">
        <w:rPr>
          <w:bCs/>
          <w:color w:val="00B050"/>
        </w:rPr>
        <w:t>s</w:t>
      </w:r>
      <w:r w:rsidR="00BD5FCF" w:rsidRPr="00BD5FCF">
        <w:rPr>
          <w:bCs/>
          <w:color w:val="00B050"/>
        </w:rPr>
        <w:t xml:space="preserve"> dans une proportion qui ne p</w:t>
      </w:r>
      <w:r w:rsidR="00BD5FCF">
        <w:rPr>
          <w:bCs/>
          <w:color w:val="00B050"/>
        </w:rPr>
        <w:t>ourra</w:t>
      </w:r>
      <w:r w:rsidR="00BD5FCF" w:rsidRPr="00BD5FCF">
        <w:rPr>
          <w:bCs/>
          <w:color w:val="00B050"/>
        </w:rPr>
        <w:t xml:space="preserve"> être déterminée qu’au terme d’études minutieuses,</w:t>
      </w:r>
      <w:r w:rsidR="008A373D" w:rsidRPr="00BD5FCF">
        <w:rPr>
          <w:bCs/>
          <w:color w:val="00B050"/>
        </w:rPr>
        <w:t xml:space="preserve"> en termes de croissance de l’emploi</w:t>
      </w:r>
      <w:r w:rsidR="0056297F">
        <w:rPr>
          <w:bCs/>
          <w:color w:val="00B050"/>
        </w:rPr>
        <w:t xml:space="preserve"> et de la population</w:t>
      </w:r>
      <w:r w:rsidR="00035D97" w:rsidRPr="00BD5FCF">
        <w:rPr>
          <w:bCs/>
          <w:color w:val="00B050"/>
        </w:rPr>
        <w:t xml:space="preserve"> (voir le paragraphe 5-8 de cette partie sur les conséquences à long terme possibles de la crise sanitaire)</w:t>
      </w:r>
      <w:r w:rsidR="00BD5FCF" w:rsidRPr="00BD5FCF">
        <w:rPr>
          <w:bCs/>
          <w:color w:val="00B050"/>
        </w:rPr>
        <w:t>, sachant que les différences éventuelles peuvent n’avoir qu’un effet second sur les trafics et l’appréciation de l’utilité publique du Grand Paris Express</w:t>
      </w:r>
      <w:r w:rsidR="00836181">
        <w:rPr>
          <w:bCs/>
        </w:rPr>
        <w:t xml:space="preserve">. </w:t>
      </w:r>
    </w:p>
    <w:p w14:paraId="3BDC0B03" w14:textId="77777777" w:rsidR="00DE2BA8" w:rsidRPr="00DE2BA8" w:rsidRDefault="00DE2BA8" w:rsidP="004C4CA3">
      <w:pPr>
        <w:spacing w:before="60" w:after="60"/>
        <w:jc w:val="both"/>
        <w:rPr>
          <w:b/>
          <w:color w:val="FF0000"/>
          <w:sz w:val="22"/>
        </w:rPr>
      </w:pPr>
    </w:p>
    <w:p w14:paraId="3A047421" w14:textId="7D54ADAC" w:rsidR="00447D89" w:rsidRDefault="00A51C82" w:rsidP="00447D89">
      <w:pPr>
        <w:spacing w:before="60" w:after="60"/>
        <w:jc w:val="both"/>
        <w:rPr>
          <w:rFonts w:eastAsia="Times New Roman"/>
          <w:szCs w:val="20"/>
          <w:lang w:eastAsia="ja-JP"/>
        </w:rPr>
      </w:pPr>
      <w:r w:rsidRPr="00A51C82">
        <w:t xml:space="preserve">Les différentes hypothèses utilisées par la Société du Grand Paris pour ses prévisions </w:t>
      </w:r>
      <w:r w:rsidR="007B7BC2" w:rsidRPr="00A51C82">
        <w:t>socio-économiques</w:t>
      </w:r>
      <w:r w:rsidRPr="00A51C82">
        <w:t xml:space="preserve"> et de trafic mettent en jeu </w:t>
      </w:r>
      <w:r w:rsidR="00DC5485">
        <w:t xml:space="preserve">deux </w:t>
      </w:r>
      <w:r w:rsidRPr="00A51C82">
        <w:t>échelles spatiales :</w:t>
      </w:r>
      <w:r w:rsidR="00DC5485">
        <w:t xml:space="preserve"> </w:t>
      </w:r>
      <w:r w:rsidR="005F5736" w:rsidRPr="00447D89">
        <w:rPr>
          <w:rFonts w:eastAsia="Times New Roman"/>
          <w:szCs w:val="20"/>
          <w:lang w:eastAsia="ja-JP"/>
        </w:rPr>
        <w:t>l</w:t>
      </w:r>
      <w:r w:rsidRPr="00447D89">
        <w:rPr>
          <w:rFonts w:eastAsia="Times New Roman"/>
          <w:szCs w:val="20"/>
          <w:lang w:eastAsia="ja-JP"/>
        </w:rPr>
        <w:t xml:space="preserve">es modèles de trafic ont besoin d’un cadrage démographique et d’emplois le plus détaillé possible, plus petit que celui de la commune dans les zones très denses ; </w:t>
      </w:r>
      <w:r w:rsidR="00035D97" w:rsidRPr="00447D89">
        <w:rPr>
          <w:rFonts w:eastAsia="Times New Roman"/>
          <w:szCs w:val="20"/>
          <w:lang w:eastAsia="ja-JP"/>
        </w:rPr>
        <w:t xml:space="preserve">le modèle de trafic MODUS-3 utilisé dans cette évaluation est basé sur des prévisions élaborées en commun par la Direction régionale et interdépartementale de l’Equipement et de l’Aménagement de l’Île de France et l’Institut Paris Région. La technique utilisée par ces services fournit une prévision de l’emploi et de la population en situation de projet, c’est-à-dire ce qui est supposé se produire dans l’hypothèse de la réalisation du Grand Paris Express. Cependant les évaluations socioéconomiques doivent comparer cette situation de projet à la situation hypothétique </w:t>
      </w:r>
      <w:r w:rsidR="004075CD" w:rsidRPr="00447D89">
        <w:rPr>
          <w:rFonts w:eastAsia="Times New Roman"/>
          <w:szCs w:val="20"/>
          <w:lang w:eastAsia="ja-JP"/>
        </w:rPr>
        <w:t xml:space="preserve">supposée se produire dans l’hypothèse théorique où l’infrastructure ne serait pas réalisée, et apprécier les bénéfices pour la collectivité de la différence entre ces deux situations. C’est la raison pour laquelle la Société du Grand Paris, suivant l’avis exprimé en 2011 par son conseil scientifique, a été amenée à utiliser </w:t>
      </w:r>
      <w:r w:rsidRPr="00447D89">
        <w:rPr>
          <w:rFonts w:eastAsia="Times New Roman"/>
          <w:szCs w:val="20"/>
          <w:lang w:eastAsia="ja-JP"/>
        </w:rPr>
        <w:t xml:space="preserve">des modèles Land Use Transport Interaction (modèles LUTI) </w:t>
      </w:r>
      <w:r w:rsidR="004075CD" w:rsidRPr="00447D89">
        <w:rPr>
          <w:rFonts w:eastAsia="Times New Roman"/>
          <w:szCs w:val="20"/>
          <w:lang w:eastAsia="ja-JP"/>
        </w:rPr>
        <w:t xml:space="preserve">qui permettent de </w:t>
      </w:r>
      <w:r w:rsidRPr="00447D89">
        <w:rPr>
          <w:rFonts w:eastAsia="Times New Roman"/>
          <w:szCs w:val="20"/>
          <w:lang w:eastAsia="ja-JP"/>
        </w:rPr>
        <w:t xml:space="preserve">prévoir la </w:t>
      </w:r>
      <w:r w:rsidR="004075CD" w:rsidRPr="00447D89">
        <w:rPr>
          <w:rFonts w:eastAsia="Times New Roman"/>
          <w:szCs w:val="20"/>
          <w:lang w:eastAsia="ja-JP"/>
        </w:rPr>
        <w:t xml:space="preserve">localisation tendancielle de la croissance de l’emploi et de la population et la </w:t>
      </w:r>
      <w:r w:rsidRPr="00447D89">
        <w:rPr>
          <w:rFonts w:eastAsia="Times New Roman"/>
          <w:szCs w:val="20"/>
          <w:lang w:eastAsia="ja-JP"/>
        </w:rPr>
        <w:t xml:space="preserve">relocalisation de la croissance de l’emploi et de la population </w:t>
      </w:r>
      <w:r w:rsidR="004075CD" w:rsidRPr="00447D89">
        <w:rPr>
          <w:rFonts w:eastAsia="Times New Roman"/>
          <w:szCs w:val="20"/>
          <w:lang w:eastAsia="ja-JP"/>
        </w:rPr>
        <w:t xml:space="preserve">qui en résulterait </w:t>
      </w:r>
      <w:r w:rsidRPr="00447D89">
        <w:rPr>
          <w:rFonts w:eastAsia="Times New Roman"/>
          <w:szCs w:val="20"/>
          <w:lang w:eastAsia="ja-JP"/>
        </w:rPr>
        <w:t>du fait de la réalisation de l’infrastructure de transport</w:t>
      </w:r>
      <w:r w:rsidR="004075CD" w:rsidRPr="00447D89">
        <w:rPr>
          <w:rFonts w:eastAsia="Times New Roman"/>
          <w:szCs w:val="20"/>
          <w:lang w:eastAsia="ja-JP"/>
        </w:rPr>
        <w:t>. Ces prévisions s</w:t>
      </w:r>
      <w:r w:rsidRPr="00447D89">
        <w:rPr>
          <w:rFonts w:eastAsia="Times New Roman"/>
          <w:szCs w:val="20"/>
          <w:lang w:eastAsia="ja-JP"/>
        </w:rPr>
        <w:t xml:space="preserve">ont effectuées </w:t>
      </w:r>
      <w:r w:rsidR="004075CD" w:rsidRPr="00447D89">
        <w:rPr>
          <w:rFonts w:eastAsia="Times New Roman"/>
          <w:szCs w:val="20"/>
          <w:lang w:eastAsia="ja-JP"/>
        </w:rPr>
        <w:t xml:space="preserve">pour des raisons techniques </w:t>
      </w:r>
      <w:r w:rsidRPr="00447D89">
        <w:rPr>
          <w:rFonts w:eastAsia="Times New Roman"/>
          <w:szCs w:val="20"/>
          <w:lang w:eastAsia="ja-JP"/>
        </w:rPr>
        <w:t xml:space="preserve">à l’échelle de la commune mais la robustesse des prévisions de ces modèles LUTI ne peut être considérée comme </w:t>
      </w:r>
      <w:r w:rsidR="00C51CC4" w:rsidRPr="00447D89">
        <w:rPr>
          <w:rFonts w:eastAsia="Times New Roman"/>
          <w:szCs w:val="20"/>
          <w:lang w:eastAsia="ja-JP"/>
        </w:rPr>
        <w:t xml:space="preserve">suffisante </w:t>
      </w:r>
      <w:r w:rsidRPr="00447D89">
        <w:rPr>
          <w:rFonts w:eastAsia="Times New Roman"/>
          <w:szCs w:val="20"/>
          <w:lang w:eastAsia="ja-JP"/>
        </w:rPr>
        <w:t xml:space="preserve"> que si </w:t>
      </w:r>
      <w:r w:rsidR="00013563" w:rsidRPr="00447D89">
        <w:rPr>
          <w:rFonts w:eastAsia="Times New Roman"/>
          <w:szCs w:val="20"/>
          <w:lang w:eastAsia="ja-JP"/>
        </w:rPr>
        <w:t>on utilise leurs résultats à l’échelle d’un découpage de</w:t>
      </w:r>
      <w:r w:rsidRPr="00447D89">
        <w:rPr>
          <w:rFonts w:eastAsia="Times New Roman"/>
          <w:szCs w:val="20"/>
          <w:lang w:eastAsia="ja-JP"/>
        </w:rPr>
        <w:t xml:space="preserve"> la région Île-de-France en très grandes zones, comme par exemple un découpage entre la zone dense </w:t>
      </w:r>
      <w:r w:rsidR="0011627A" w:rsidRPr="00447D89">
        <w:rPr>
          <w:rFonts w:eastAsia="Times New Roman"/>
          <w:szCs w:val="20"/>
          <w:lang w:eastAsia="ja-JP"/>
        </w:rPr>
        <w:t>(</w:t>
      </w:r>
      <w:r w:rsidRPr="00447D89">
        <w:rPr>
          <w:rFonts w:eastAsia="Times New Roman"/>
          <w:szCs w:val="20"/>
          <w:lang w:eastAsia="ja-JP"/>
        </w:rPr>
        <w:t xml:space="preserve">composée </w:t>
      </w:r>
      <w:r w:rsidR="00611AEC" w:rsidRPr="00447D89">
        <w:rPr>
          <w:rFonts w:eastAsia="Times New Roman"/>
          <w:szCs w:val="20"/>
          <w:lang w:eastAsia="ja-JP"/>
        </w:rPr>
        <w:t xml:space="preserve">de la Métropole du Grand Paris à laquelle on peut ajouter les communautés d’agglomération de </w:t>
      </w:r>
      <w:r w:rsidR="0011627A" w:rsidRPr="00447D89">
        <w:rPr>
          <w:rFonts w:eastAsia="Times New Roman"/>
          <w:szCs w:val="20"/>
          <w:lang w:eastAsia="ja-JP"/>
        </w:rPr>
        <w:t>Paris-Saclay, de Versailles Grand Parc et de Saint Quentin en Yvelines</w:t>
      </w:r>
      <w:r w:rsidR="00E263A5" w:rsidRPr="00447D89">
        <w:rPr>
          <w:rFonts w:eastAsia="Times New Roman"/>
          <w:szCs w:val="20"/>
          <w:lang w:eastAsia="ja-JP"/>
        </w:rPr>
        <w:t xml:space="preserve"> ainsi que celle de Roissy</w:t>
      </w:r>
      <w:r w:rsidR="0011627A" w:rsidRPr="00447D89">
        <w:rPr>
          <w:rFonts w:eastAsia="Times New Roman"/>
          <w:szCs w:val="20"/>
          <w:lang w:eastAsia="ja-JP"/>
        </w:rPr>
        <w:t xml:space="preserve">) </w:t>
      </w:r>
      <w:r w:rsidRPr="00447D89">
        <w:rPr>
          <w:rFonts w:eastAsia="Times New Roman"/>
          <w:szCs w:val="20"/>
          <w:lang w:eastAsia="ja-JP"/>
        </w:rPr>
        <w:t>et la zone diffuse qui reprend les autres communes</w:t>
      </w:r>
      <w:r w:rsidR="00E263A5" w:rsidRPr="00447D89">
        <w:rPr>
          <w:rFonts w:eastAsia="Times New Roman"/>
          <w:szCs w:val="20"/>
          <w:lang w:eastAsia="ja-JP"/>
        </w:rPr>
        <w:t xml:space="preserve"> ; les résultats ont également une certaine robustesse quand il s’agit d’une </w:t>
      </w:r>
      <w:r w:rsidRPr="00447D89">
        <w:rPr>
          <w:rFonts w:eastAsia="Times New Roman"/>
          <w:szCs w:val="20"/>
          <w:lang w:eastAsia="ja-JP"/>
        </w:rPr>
        <w:t xml:space="preserve">zone </w:t>
      </w:r>
      <w:r w:rsidR="00DE2BA8" w:rsidRPr="00447D89">
        <w:rPr>
          <w:rFonts w:eastAsia="Times New Roman"/>
          <w:szCs w:val="20"/>
          <w:lang w:eastAsia="ja-JP"/>
        </w:rPr>
        <w:t xml:space="preserve">spécifique </w:t>
      </w:r>
      <w:r w:rsidR="00611AEC" w:rsidRPr="00447D89">
        <w:rPr>
          <w:rFonts w:eastAsia="Times New Roman"/>
          <w:szCs w:val="20"/>
          <w:lang w:eastAsia="ja-JP"/>
        </w:rPr>
        <w:t xml:space="preserve">et large </w:t>
      </w:r>
      <w:r w:rsidRPr="00447D89">
        <w:rPr>
          <w:rFonts w:eastAsia="Times New Roman"/>
          <w:szCs w:val="20"/>
          <w:lang w:eastAsia="ja-JP"/>
        </w:rPr>
        <w:t>comme l’aire d’influence de la L18 ;</w:t>
      </w:r>
    </w:p>
    <w:p w14:paraId="34978B3B" w14:textId="34C53811" w:rsidR="00447D89" w:rsidRDefault="00447D89" w:rsidP="00447D89">
      <w:pPr>
        <w:spacing w:before="60" w:after="60"/>
        <w:jc w:val="both"/>
        <w:rPr>
          <w:rFonts w:eastAsia="Times New Roman"/>
          <w:szCs w:val="20"/>
          <w:lang w:eastAsia="ja-JP"/>
        </w:rPr>
      </w:pPr>
    </w:p>
    <w:p w14:paraId="304B2598" w14:textId="57E7DF1E" w:rsidR="00A51C82" w:rsidRPr="00447D89" w:rsidRDefault="005F5736" w:rsidP="00447D89">
      <w:pPr>
        <w:pStyle w:val="Paragraphedeliste"/>
        <w:keepNext/>
        <w:keepLines/>
        <w:numPr>
          <w:ilvl w:val="0"/>
          <w:numId w:val="13"/>
        </w:numPr>
        <w:spacing w:before="60" w:after="60"/>
        <w:contextualSpacing/>
        <w:jc w:val="both"/>
        <w:rPr>
          <w:rFonts w:eastAsia="Times New Roman"/>
          <w:szCs w:val="20"/>
          <w:lang w:eastAsia="ja-JP"/>
        </w:rPr>
      </w:pPr>
      <w:r>
        <w:t>e</w:t>
      </w:r>
      <w:r w:rsidR="00A51C82" w:rsidRPr="00A51C82">
        <w:t xml:space="preserve">nfin c’est à l’échelle de l’ensemble de la région que sont quantifiés les bénéfices liés aux emplois induits par le projet et qu’ils </w:t>
      </w:r>
      <w:r w:rsidR="00013563">
        <w:t>ont été</w:t>
      </w:r>
      <w:r w:rsidR="00A51C82" w:rsidRPr="00A51C82">
        <w:t xml:space="preserve"> ensuite répartis par lignes.</w:t>
      </w:r>
      <w:r w:rsidR="00013563">
        <w:t xml:space="preserve"> </w:t>
      </w:r>
      <w:r w:rsidR="005E22D5" w:rsidRPr="00E263A5">
        <w:t>On a</w:t>
      </w:r>
      <w:r w:rsidR="004C684A" w:rsidRPr="00E263A5">
        <w:t xml:space="preserve"> </w:t>
      </w:r>
      <w:r w:rsidR="005E22D5" w:rsidRPr="00E263A5">
        <w:t>procédé</w:t>
      </w:r>
      <w:r w:rsidR="00C51CC4">
        <w:t>,</w:t>
      </w:r>
      <w:r w:rsidR="005E22D5" w:rsidRPr="00E263A5">
        <w:t xml:space="preserve"> comme cela sera détaillé plus loin (voir </w:t>
      </w:r>
      <w:r w:rsidR="00211292">
        <w:t>chapitre 3 section 5.10</w:t>
      </w:r>
      <w:r w:rsidR="005E22D5" w:rsidRPr="00E263A5">
        <w:t>)</w:t>
      </w:r>
      <w:r w:rsidR="00C51CC4">
        <w:t>,</w:t>
      </w:r>
      <w:r w:rsidR="005E22D5" w:rsidRPr="00E263A5">
        <w:t xml:space="preserve"> </w:t>
      </w:r>
      <w:r w:rsidR="004C684A">
        <w:t xml:space="preserve">à des calculs directs </w:t>
      </w:r>
      <w:r w:rsidR="00D5372B">
        <w:t xml:space="preserve">des effets d’agglomération et la valorisation des emplois à long terme induits par le projet </w:t>
      </w:r>
      <w:r w:rsidR="004C684A">
        <w:t xml:space="preserve">pour </w:t>
      </w:r>
      <w:r w:rsidR="008A373D">
        <w:t>chacun des</w:t>
      </w:r>
      <w:r w:rsidR="004C684A">
        <w:t xml:space="preserve"> territoires concernés par les lignes</w:t>
      </w:r>
      <w:r>
        <w:t>, sur la base des évolutions prévisibles de l’emploi induites par la réalisation de ces lignes sur l’ensemble des territoires concernés par chacune de ces lignes</w:t>
      </w:r>
      <w:r w:rsidR="00836181">
        <w:t>, et on a ensuite réparti les bénéfices constatés sur ces territoires entre les différentes lignes à l’origine de ces bénéfices quand les territoires se situaient au croisement de plusieurs lignes</w:t>
      </w:r>
      <w:r w:rsidR="004C684A">
        <w:t>.</w:t>
      </w:r>
    </w:p>
    <w:p w14:paraId="3EEA55A2" w14:textId="6C531194" w:rsidR="004C684A" w:rsidRDefault="004C684A" w:rsidP="004C4CA3">
      <w:pPr>
        <w:jc w:val="both"/>
      </w:pPr>
    </w:p>
    <w:p w14:paraId="30BB09C9" w14:textId="77777777" w:rsidR="008A373D" w:rsidRPr="005E22D5" w:rsidRDefault="008A373D" w:rsidP="00225D2D">
      <w:pPr>
        <w:jc w:val="both"/>
        <w:outlineLvl w:val="3"/>
        <w:rPr>
          <w:b/>
          <w:bCs/>
          <w:color w:val="FF0000"/>
        </w:rPr>
      </w:pPr>
      <w:r w:rsidRPr="00A51C82">
        <w:rPr>
          <w:rFonts w:eastAsia="Times New Roman"/>
          <w:bCs/>
          <w:i/>
          <w:iCs/>
          <w:color w:val="931638"/>
          <w:szCs w:val="20"/>
          <w:lang w:val="x-none" w:bidi="he-IL"/>
        </w:rPr>
        <w:t>Offre de transport dans la région Île-de-</w:t>
      </w:r>
      <w:r>
        <w:rPr>
          <w:rFonts w:eastAsia="Times New Roman"/>
          <w:bCs/>
          <w:i/>
          <w:iCs/>
          <w:color w:val="931638"/>
          <w:szCs w:val="20"/>
          <w:lang w:val="x-none" w:bidi="he-IL"/>
        </w:rPr>
        <w:t>France</w:t>
      </w:r>
      <w:r>
        <w:rPr>
          <w:rFonts w:eastAsia="Times New Roman"/>
          <w:bCs/>
          <w:i/>
          <w:iCs/>
          <w:color w:val="931638"/>
          <w:szCs w:val="20"/>
          <w:lang w:bidi="he-IL"/>
        </w:rPr>
        <w:t xml:space="preserve"> </w:t>
      </w:r>
    </w:p>
    <w:p w14:paraId="7F86D58D" w14:textId="77777777" w:rsidR="008A373D" w:rsidRDefault="008A373D" w:rsidP="004C4CA3">
      <w:pPr>
        <w:jc w:val="both"/>
      </w:pPr>
    </w:p>
    <w:p w14:paraId="3EE40211" w14:textId="72BB7E87" w:rsidR="00A51C82" w:rsidRPr="00A51C82" w:rsidRDefault="00A51C82" w:rsidP="004C4CA3">
      <w:pPr>
        <w:jc w:val="both"/>
      </w:pPr>
      <w:r w:rsidRPr="00A51C82">
        <w:t xml:space="preserve">La configuration du </w:t>
      </w:r>
      <w:r w:rsidRPr="00A51C82">
        <w:rPr>
          <w:b/>
        </w:rPr>
        <w:t>réseau de voirie</w:t>
      </w:r>
      <w:r w:rsidRPr="00A51C82">
        <w:t xml:space="preserve"> a été définie par la DRIEA, en intégrant les projets routiers dont l’avancement justifie de les considérer comme mis en service aux horizons modélisés. Sont notamment concernés le prolongement de la Francilienne entre Cergy-Pontoise et Poissy-Orgeval, le contournement Est</w:t>
      </w:r>
      <w:r w:rsidR="004C684A">
        <w:t xml:space="preserve"> de Roissy par l’autoroute A104, ainsi que </w:t>
      </w:r>
      <w:r w:rsidRPr="00A51C82">
        <w:t>l’aménagement du tronc commun A4</w:t>
      </w:r>
      <w:r w:rsidR="004C684A">
        <w:t>/</w:t>
      </w:r>
      <w:r w:rsidRPr="00A51C82">
        <w:t>A104.</w:t>
      </w:r>
    </w:p>
    <w:p w14:paraId="4C301453" w14:textId="77777777" w:rsidR="004C684A" w:rsidRDefault="004C684A" w:rsidP="004C4CA3">
      <w:pPr>
        <w:jc w:val="both"/>
      </w:pPr>
    </w:p>
    <w:p w14:paraId="6B889F4C" w14:textId="77777777" w:rsidR="00A51C82" w:rsidRDefault="00A51C82" w:rsidP="004C4CA3">
      <w:pPr>
        <w:jc w:val="both"/>
      </w:pPr>
      <w:r w:rsidRPr="00A51C82">
        <w:t xml:space="preserve">Les </w:t>
      </w:r>
      <w:r w:rsidRPr="00A51C82">
        <w:rPr>
          <w:b/>
        </w:rPr>
        <w:t>réseaux de transports en commun</w:t>
      </w:r>
      <w:r w:rsidRPr="00A51C82">
        <w:t xml:space="preserve"> pris en compte dans les prévisions de trafic comprennent à la fois :</w:t>
      </w:r>
    </w:p>
    <w:p w14:paraId="73541D11" w14:textId="77777777" w:rsidR="004C684A" w:rsidRPr="00A51C82" w:rsidRDefault="004C684A" w:rsidP="004C4CA3">
      <w:pPr>
        <w:jc w:val="both"/>
      </w:pPr>
    </w:p>
    <w:p w14:paraId="7CEC1C1E" w14:textId="4B67E12B" w:rsidR="00A51C82" w:rsidRDefault="00A51C82" w:rsidP="0083506E">
      <w:pPr>
        <w:numPr>
          <w:ilvl w:val="0"/>
          <w:numId w:val="7"/>
        </w:numPr>
        <w:jc w:val="both"/>
      </w:pPr>
      <w:r w:rsidRPr="00A51C82">
        <w:rPr>
          <w:b/>
          <w:i/>
        </w:rPr>
        <w:t>Les lignes existantes, le cas échéant modernisées conformément aux orientations du Plan de mobilisation pour les transports en Île-de-France :</w:t>
      </w:r>
      <w:r w:rsidRPr="00A51C82">
        <w:t xml:space="preserve"> s’agissant des lignes de RER et de trains de banlieue Transilien, les hypothèses de modélisation utilisées (caractéristiques d’offre, de desserte et de temps de parcours) correspondent à </w:t>
      </w:r>
      <w:r w:rsidR="008B1EED" w:rsidRPr="00E263A5">
        <w:t>une</w:t>
      </w:r>
      <w:r w:rsidR="008B1EED" w:rsidRPr="008B1EED">
        <w:rPr>
          <w:color w:val="FF0000"/>
        </w:rPr>
        <w:t xml:space="preserve"> </w:t>
      </w:r>
      <w:r w:rsidR="007B7BC2" w:rsidRPr="00A51C82">
        <w:t>option favorisant</w:t>
      </w:r>
      <w:r w:rsidRPr="00A51C82">
        <w:t xml:space="preserve"> l’arrêt quasi systématique des trains aux gares en correspondance avec le Grand Paris Express. Cette </w:t>
      </w:r>
      <w:r w:rsidR="007B7BC2" w:rsidRPr="00A51C82">
        <w:t>option</w:t>
      </w:r>
      <w:r w:rsidR="00935A39">
        <w:t>, un des principes définis par le projet du Grand Paris,</w:t>
      </w:r>
      <w:r w:rsidR="007B7BC2" w:rsidRPr="00A51C82">
        <w:t xml:space="preserve"> a</w:t>
      </w:r>
      <w:r w:rsidR="00E263A5">
        <w:t>vait</w:t>
      </w:r>
      <w:r w:rsidRPr="00A51C82">
        <w:t xml:space="preserve"> été définie en concertation avec le </w:t>
      </w:r>
      <w:r w:rsidR="007B7BC2" w:rsidRPr="00A51C82">
        <w:t>STIF (</w:t>
      </w:r>
      <w:r w:rsidRPr="00A51C82">
        <w:t>devenu Île-de-France Mobilités</w:t>
      </w:r>
      <w:r w:rsidR="007B7BC2" w:rsidRPr="00A51C82">
        <w:t>),</w:t>
      </w:r>
      <w:r w:rsidRPr="00A51C82">
        <w:t xml:space="preserve"> la DRIEA et les opérateurs ferroviaires (SNCF</w:t>
      </w:r>
      <w:r w:rsidR="00E263A5" w:rsidRPr="00A51C82">
        <w:t xml:space="preserve">/ RATP </w:t>
      </w:r>
      <w:r w:rsidRPr="00A51C82">
        <w:t>/</w:t>
      </w:r>
      <w:r w:rsidR="00E263A5">
        <w:t xml:space="preserve">et à l’époque également </w:t>
      </w:r>
      <w:r w:rsidRPr="00A51C82">
        <w:t>RFF</w:t>
      </w:r>
      <w:r w:rsidR="00E263A5">
        <w:t xml:space="preserve">), </w:t>
      </w:r>
      <w:r w:rsidRPr="00A51C82">
        <w:t>en s’appuyant sur les schémas directeurs et schémas de secteurs connus, ou bien sur les projets à l’étude.</w:t>
      </w:r>
    </w:p>
    <w:p w14:paraId="08FFB059" w14:textId="77777777" w:rsidR="002B6D5B" w:rsidRPr="00A51C82" w:rsidRDefault="002B6D5B" w:rsidP="002B6D5B">
      <w:pPr>
        <w:ind w:left="720"/>
        <w:jc w:val="both"/>
      </w:pPr>
    </w:p>
    <w:p w14:paraId="541D0D23" w14:textId="77777777" w:rsidR="00A51C82" w:rsidRDefault="00A51C82" w:rsidP="0083506E">
      <w:pPr>
        <w:numPr>
          <w:ilvl w:val="0"/>
          <w:numId w:val="7"/>
        </w:numPr>
        <w:jc w:val="both"/>
      </w:pPr>
      <w:r w:rsidRPr="00A51C82">
        <w:rPr>
          <w:b/>
          <w:i/>
        </w:rPr>
        <w:t>Les lignes constituant le réseau de métro automatique Grand Paris Express :</w:t>
      </w:r>
      <w:r w:rsidRPr="00A51C82">
        <w:t xml:space="preserve"> les caractéristiques des lignes et les structures d’exploitation retenues comme hypothèses se réfèrent aux principes de schéma d’exploitation prévisionnel présentés dans le cadre du « Nouveau Grand Paris ». </w:t>
      </w:r>
    </w:p>
    <w:p w14:paraId="09B2B08F" w14:textId="77777777" w:rsidR="004C684A" w:rsidRPr="004C684A" w:rsidRDefault="004C684A" w:rsidP="0075243A">
      <w:pPr>
        <w:jc w:val="both"/>
      </w:pPr>
    </w:p>
    <w:p w14:paraId="272C11CD" w14:textId="74592B8A" w:rsidR="00A51C82" w:rsidRDefault="00A51C82" w:rsidP="0083506E">
      <w:pPr>
        <w:numPr>
          <w:ilvl w:val="0"/>
          <w:numId w:val="7"/>
        </w:numPr>
        <w:jc w:val="both"/>
      </w:pPr>
      <w:r w:rsidRPr="00A51C82">
        <w:rPr>
          <w:b/>
          <w:i/>
        </w:rPr>
        <w:t>Les projets de développement et d’extension du réseau de transport en commun, correspondant pour l’essentiel à ceux du Plan de mobilisation pour les transports :</w:t>
      </w:r>
      <w:r w:rsidRPr="00A51C82">
        <w:t xml:space="preserve"> en fonction de l’état d’avancement de leur programmation et de leur date prévisionnelle de mise en service.</w:t>
      </w:r>
    </w:p>
    <w:p w14:paraId="60B3B39F" w14:textId="77777777" w:rsidR="002B6D5B" w:rsidRDefault="002B6D5B" w:rsidP="002B6D5B">
      <w:pPr>
        <w:ind w:left="720"/>
        <w:jc w:val="both"/>
        <w:rPr>
          <w:b/>
          <w:i/>
        </w:rPr>
      </w:pPr>
    </w:p>
    <w:p w14:paraId="5DAE9406" w14:textId="0D717FFA" w:rsidR="00225D2D" w:rsidRPr="002B6D5B" w:rsidRDefault="00A51C82" w:rsidP="004C4CA3">
      <w:pPr>
        <w:keepNext/>
        <w:keepLines/>
        <w:spacing w:before="200"/>
        <w:jc w:val="both"/>
        <w:outlineLvl w:val="3"/>
        <w:rPr>
          <w:rFonts w:eastAsia="Times New Roman"/>
          <w:bCs/>
          <w:i/>
          <w:iCs/>
          <w:color w:val="931638"/>
          <w:szCs w:val="20"/>
          <w:lang w:bidi="he-IL"/>
        </w:rPr>
      </w:pPr>
      <w:r w:rsidRPr="00A51C82">
        <w:rPr>
          <w:rFonts w:eastAsia="Times New Roman"/>
          <w:bCs/>
          <w:i/>
          <w:iCs/>
          <w:color w:val="931638"/>
          <w:szCs w:val="20"/>
          <w:lang w:val="x-none" w:bidi="he-IL"/>
        </w:rPr>
        <w:t>Autres hypothèses</w:t>
      </w:r>
    </w:p>
    <w:p w14:paraId="084D8FB5" w14:textId="77777777" w:rsidR="00225D2D" w:rsidRDefault="00225D2D" w:rsidP="004C4CA3">
      <w:pPr>
        <w:jc w:val="both"/>
      </w:pPr>
    </w:p>
    <w:p w14:paraId="4CBC9F1D" w14:textId="0F731A66" w:rsidR="00A51C82" w:rsidRPr="00A51C82" w:rsidRDefault="00A51C82" w:rsidP="004C4CA3">
      <w:pPr>
        <w:jc w:val="both"/>
      </w:pPr>
      <w:r w:rsidRPr="00A51C82">
        <w:t xml:space="preserve">Les </w:t>
      </w:r>
      <w:r w:rsidRPr="00A51C82">
        <w:rPr>
          <w:b/>
        </w:rPr>
        <w:t>principes de tarification</w:t>
      </w:r>
      <w:r w:rsidRPr="00A51C82">
        <w:t xml:space="preserve"> aux horizons projetés ont été considérés dans la modélisation des dossiers précédents comme stables dans le temps. </w:t>
      </w:r>
      <w:r w:rsidR="00DC5485" w:rsidRPr="007F174E">
        <w:rPr>
          <w:color w:val="00B050"/>
        </w:rPr>
        <w:t>La version MODUS-3 est calée sur l’année 2012 avec les conditions tarifaires de l’époque, antérieures au dézonage</w:t>
      </w:r>
      <w:r w:rsidRPr="007F174E">
        <w:rPr>
          <w:color w:val="00B050"/>
        </w:rPr>
        <w:t xml:space="preserve"> du Pass Navig</w:t>
      </w:r>
      <w:r w:rsidR="00DC5485" w:rsidRPr="007F174E">
        <w:rPr>
          <w:color w:val="00B050"/>
        </w:rPr>
        <w:t>o</w:t>
      </w:r>
      <w:r w:rsidRPr="007F174E">
        <w:rPr>
          <w:color w:val="00B050"/>
        </w:rPr>
        <w:t xml:space="preserve">. </w:t>
      </w:r>
    </w:p>
    <w:p w14:paraId="7B30EEB4" w14:textId="77777777" w:rsidR="004C684A" w:rsidRDefault="004C684A" w:rsidP="004C4CA3">
      <w:pPr>
        <w:jc w:val="both"/>
      </w:pPr>
    </w:p>
    <w:p w14:paraId="1F42610F" w14:textId="7CE0CB2A" w:rsidR="00A51C82" w:rsidRPr="00A51C82" w:rsidRDefault="00A51C82" w:rsidP="004C4CA3">
      <w:pPr>
        <w:jc w:val="both"/>
      </w:pPr>
      <w:r w:rsidRPr="00A51C82">
        <w:t xml:space="preserve">Les options de transport dont les résultats sont présentés ci-après ont été modélisées en considérant que le </w:t>
      </w:r>
      <w:r w:rsidRPr="00A51C82">
        <w:rPr>
          <w:b/>
        </w:rPr>
        <w:t>coût d’usage de la voiture particulière</w:t>
      </w:r>
      <w:r w:rsidRPr="00A51C82">
        <w:t xml:space="preserve"> restait stable au regard de celui des transports en commun. En particulier, il n’a pas été fait d’hypothèse spécifique concernant l’évolution du prix des carburants. Cette option est examinée en variante dans l’évaluation socio-économique (titre 5.5 du présent chapitre). Un tel raisonnement « toutes choses égales </w:t>
      </w:r>
      <w:r w:rsidRPr="00E263A5">
        <w:t>par</w:t>
      </w:r>
      <w:r w:rsidRPr="00A51C82">
        <w:t xml:space="preserve"> ailleurs » permet d’apprécier les effets sur la structure des déplacements qui sont directement et exclusivement imputables à la réalisation du nouveau réseau de transport. En revanche, il tend à minimiser les effets de report modal qui pourraient avoir lieu vers les transports en commun en général et vers le réseau Grand Paris </w:t>
      </w:r>
      <w:r w:rsidRPr="00A51C82">
        <w:lastRenderedPageBreak/>
        <w:t>Express</w:t>
      </w:r>
      <w:r w:rsidR="009A4D4B" w:rsidRPr="009A4D4B">
        <w:rPr>
          <w:color w:val="FF0000"/>
        </w:rPr>
        <w:t>,</w:t>
      </w:r>
      <w:r w:rsidRPr="00A51C82">
        <w:t xml:space="preserve"> en particulie</w:t>
      </w:r>
      <w:r w:rsidR="00EA04CC">
        <w:t xml:space="preserve">r </w:t>
      </w:r>
      <w:r w:rsidRPr="00A51C82">
        <w:t>dans le cas où le coût des déplacements automobiles augmenterait sensiblement. Il en est de même des réglementations sur le stationnement dans les zones fortement urbanisées ; des règles plus strictes sur le stationnement auront tendance à favoriser le transfert modal des voitures particulières vers les transports en commun, mais leur acceptabilité dépend de l’importance et de la performance de l’offre de transports en commun capable d’absorber les usagers détournés de la voiture du fait de ces contraintes nouvelles.</w:t>
      </w:r>
    </w:p>
    <w:p w14:paraId="5092450E" w14:textId="77777777" w:rsidR="004C684A" w:rsidRDefault="004C684A" w:rsidP="004C4CA3">
      <w:pPr>
        <w:jc w:val="both"/>
      </w:pPr>
    </w:p>
    <w:p w14:paraId="1670044D" w14:textId="05C501AF" w:rsidR="00A51C82" w:rsidRDefault="00A51C82" w:rsidP="004C4CA3">
      <w:pPr>
        <w:jc w:val="both"/>
      </w:pPr>
      <w:r w:rsidRPr="00A51C82">
        <w:t xml:space="preserve">Enfin, la réalisation de nouvelles lignes influe sur la </w:t>
      </w:r>
      <w:r w:rsidRPr="00A51C82">
        <w:rPr>
          <w:b/>
        </w:rPr>
        <w:t>structure des déplacements</w:t>
      </w:r>
      <w:r w:rsidRPr="00A51C82">
        <w:rPr>
          <w:bCs/>
        </w:rPr>
        <w:t>,</w:t>
      </w:r>
      <w:r w:rsidRPr="00A51C82">
        <w:t xml:space="preserve"> via la relocalisation progressive des populations et des emplois le long des axes de transport au fur et à mesure des mobilités résidentielles et professionnelles. </w:t>
      </w:r>
      <w:r w:rsidR="008A373D">
        <w:t xml:space="preserve">Il y a là une donnée de base de l’économie des transports urbains structurants. </w:t>
      </w:r>
      <w:r w:rsidRPr="00A51C82">
        <w:t>Dans les outils de modélisation utilisés, la distribution des déplacements</w:t>
      </w:r>
      <w:r w:rsidR="008A373D">
        <w:t xml:space="preserve">, aussi bien en situation de référence que de projet, a tenu </w:t>
      </w:r>
      <w:r w:rsidRPr="00A51C82">
        <w:t>compte des projets du Plan de mobilisation</w:t>
      </w:r>
      <w:r w:rsidR="003667A2">
        <w:t xml:space="preserve"> et d’une hypothèse commune aux deux situations de croissance territorialisée de l’emploi et de la population, ce qui a tendance à sous-estimer l’impact de la réalisation du Grand Paris Express, aussi bien en termes de localisation de l’emploi et de la population que de trafics projetés</w:t>
      </w:r>
      <w:r w:rsidRPr="00A51C82">
        <w:t xml:space="preserve">. </w:t>
      </w:r>
    </w:p>
    <w:p w14:paraId="6261CC1F" w14:textId="77777777" w:rsidR="004C684A" w:rsidRPr="00A51C82" w:rsidRDefault="004C684A" w:rsidP="004C4CA3">
      <w:pPr>
        <w:jc w:val="both"/>
      </w:pPr>
    </w:p>
    <w:p w14:paraId="3243083E" w14:textId="6CAC2158" w:rsidR="004C684A" w:rsidRDefault="00A51C82" w:rsidP="004C4CA3">
      <w:pPr>
        <w:jc w:val="both"/>
        <w:rPr>
          <w:rFonts w:eastAsia="Times New Roman"/>
          <w:bCs/>
          <w:i/>
          <w:iCs/>
          <w:color w:val="931638"/>
          <w:szCs w:val="20"/>
          <w:lang w:bidi="he-IL"/>
        </w:rPr>
      </w:pPr>
      <w:r w:rsidRPr="00A51C82">
        <w:rPr>
          <w:rFonts w:eastAsia="Times New Roman"/>
          <w:bCs/>
          <w:i/>
          <w:iCs/>
          <w:color w:val="931638"/>
          <w:szCs w:val="20"/>
          <w:lang w:bidi="he-IL"/>
        </w:rPr>
        <w:t>Les évolutions futures de comportements et technologiques</w:t>
      </w:r>
    </w:p>
    <w:p w14:paraId="22880D41" w14:textId="77777777" w:rsidR="00BF00C5" w:rsidRDefault="00BF00C5" w:rsidP="004C4CA3">
      <w:pPr>
        <w:jc w:val="both"/>
        <w:rPr>
          <w:rFonts w:eastAsia="Times New Roman"/>
          <w:bCs/>
          <w:iCs/>
          <w:szCs w:val="20"/>
          <w:lang w:bidi="he-IL"/>
        </w:rPr>
      </w:pPr>
    </w:p>
    <w:p w14:paraId="50A01308" w14:textId="77777777" w:rsidR="00A51C82" w:rsidRPr="00A51C82" w:rsidRDefault="00A51C82" w:rsidP="004C4CA3">
      <w:pPr>
        <w:jc w:val="both"/>
        <w:rPr>
          <w:rFonts w:eastAsia="Times New Roman"/>
          <w:bCs/>
          <w:iCs/>
          <w:szCs w:val="20"/>
          <w:lang w:bidi="he-IL"/>
        </w:rPr>
      </w:pPr>
      <w:r w:rsidRPr="00A51C82">
        <w:rPr>
          <w:rFonts w:eastAsia="Times New Roman"/>
          <w:bCs/>
          <w:iCs/>
          <w:szCs w:val="20"/>
          <w:lang w:val="x-none" w:bidi="he-IL"/>
        </w:rPr>
        <w:t>Pour apprécier le plus précisément possible le futur de la mobilité en Île-de-France et la place qu’y jouera le G</w:t>
      </w:r>
      <w:r w:rsidR="002B6D5B">
        <w:rPr>
          <w:rFonts w:eastAsia="Times New Roman"/>
          <w:bCs/>
          <w:iCs/>
          <w:szCs w:val="20"/>
          <w:lang w:bidi="he-IL"/>
        </w:rPr>
        <w:t>rand Paris Express</w:t>
      </w:r>
      <w:r w:rsidRPr="00A51C82">
        <w:rPr>
          <w:rFonts w:eastAsia="Times New Roman"/>
          <w:bCs/>
          <w:iCs/>
          <w:szCs w:val="20"/>
          <w:lang w:val="x-none" w:bidi="he-IL"/>
        </w:rPr>
        <w:t xml:space="preserve">, il faut aussi prendre en considération les transformations en émergence, et apprécier à la fois la place qu’elles vont prendre dans le futur et leur relation, de synergie ou de substitution, avec le </w:t>
      </w:r>
      <w:r w:rsidR="002B6D5B" w:rsidRPr="002B6D5B">
        <w:rPr>
          <w:rFonts w:eastAsia="Times New Roman"/>
          <w:bCs/>
          <w:iCs/>
          <w:szCs w:val="20"/>
          <w:lang w:val="x-none" w:bidi="he-IL"/>
        </w:rPr>
        <w:t>Grand Paris Express</w:t>
      </w:r>
      <w:r w:rsidRPr="00A51C82">
        <w:rPr>
          <w:rFonts w:eastAsia="Times New Roman"/>
          <w:bCs/>
          <w:iCs/>
          <w:szCs w:val="20"/>
          <w:lang w:val="x-none" w:bidi="he-IL"/>
        </w:rPr>
        <w:t xml:space="preserve">. </w:t>
      </w:r>
    </w:p>
    <w:p w14:paraId="2806F1F3" w14:textId="77777777" w:rsidR="004C684A" w:rsidRDefault="004C684A" w:rsidP="004C4CA3">
      <w:pPr>
        <w:jc w:val="both"/>
        <w:rPr>
          <w:rFonts w:eastAsia="Times New Roman"/>
          <w:bCs/>
          <w:iCs/>
          <w:szCs w:val="20"/>
          <w:lang w:bidi="he-IL"/>
        </w:rPr>
      </w:pPr>
    </w:p>
    <w:p w14:paraId="2D7CBB2A" w14:textId="39312020" w:rsidR="00A51C82" w:rsidRPr="00E263A5" w:rsidRDefault="00A51C82" w:rsidP="004C4CA3">
      <w:pPr>
        <w:jc w:val="both"/>
        <w:rPr>
          <w:rFonts w:eastAsia="Times New Roman"/>
          <w:bCs/>
          <w:iCs/>
          <w:szCs w:val="20"/>
          <w:lang w:bidi="he-IL"/>
        </w:rPr>
      </w:pPr>
      <w:r w:rsidRPr="00E263A5">
        <w:rPr>
          <w:rFonts w:eastAsia="Times New Roman"/>
          <w:bCs/>
          <w:iCs/>
          <w:szCs w:val="20"/>
          <w:lang w:val="x-none" w:bidi="he-IL"/>
        </w:rPr>
        <w:t>Le télétravail</w:t>
      </w:r>
      <w:r w:rsidR="00187320">
        <w:rPr>
          <w:rFonts w:eastAsia="Times New Roman"/>
          <w:bCs/>
          <w:iCs/>
          <w:szCs w:val="20"/>
          <w:lang w:bidi="he-IL"/>
        </w:rPr>
        <w:t xml:space="preserve"> </w:t>
      </w:r>
      <w:r w:rsidRPr="00E263A5">
        <w:rPr>
          <w:rFonts w:eastAsia="Times New Roman"/>
          <w:bCs/>
          <w:iCs/>
          <w:szCs w:val="20"/>
          <w:lang w:val="x-none" w:bidi="he-IL"/>
        </w:rPr>
        <w:t>se développe</w:t>
      </w:r>
      <w:r w:rsidR="00187320">
        <w:rPr>
          <w:rFonts w:eastAsia="Times New Roman"/>
          <w:bCs/>
          <w:iCs/>
          <w:szCs w:val="20"/>
          <w:lang w:bidi="he-IL"/>
        </w:rPr>
        <w:t>,</w:t>
      </w:r>
      <w:r w:rsidRPr="00E263A5">
        <w:rPr>
          <w:rFonts w:eastAsia="Times New Roman"/>
          <w:bCs/>
          <w:iCs/>
          <w:szCs w:val="20"/>
          <w:lang w:val="x-none" w:bidi="he-IL"/>
        </w:rPr>
        <w:t xml:space="preserve"> sous la forme de travail chez soi</w:t>
      </w:r>
      <w:r w:rsidR="00187320" w:rsidRPr="00187320">
        <w:rPr>
          <w:rFonts w:eastAsia="Times New Roman"/>
          <w:bCs/>
          <w:iCs/>
          <w:szCs w:val="20"/>
          <w:lang w:val="x-none" w:bidi="he-IL"/>
        </w:rPr>
        <w:t xml:space="preserve"> </w:t>
      </w:r>
      <w:r w:rsidR="00187320">
        <w:rPr>
          <w:rFonts w:eastAsia="Times New Roman"/>
          <w:bCs/>
          <w:iCs/>
          <w:szCs w:val="20"/>
          <w:lang w:bidi="he-IL"/>
        </w:rPr>
        <w:t>comme</w:t>
      </w:r>
      <w:r w:rsidR="00187320" w:rsidRPr="00E263A5">
        <w:rPr>
          <w:rFonts w:eastAsia="Times New Roman"/>
          <w:bCs/>
          <w:iCs/>
          <w:szCs w:val="20"/>
          <w:lang w:val="x-none" w:bidi="he-IL"/>
        </w:rPr>
        <w:t xml:space="preserve"> de coworking</w:t>
      </w:r>
      <w:r w:rsidRPr="00E263A5">
        <w:rPr>
          <w:rFonts w:eastAsia="Times New Roman"/>
          <w:bCs/>
          <w:iCs/>
          <w:szCs w:val="20"/>
          <w:lang w:val="x-none" w:bidi="he-IL"/>
        </w:rPr>
        <w:t xml:space="preserve">, souvent avec un décalage des heures de travail. </w:t>
      </w:r>
      <w:r w:rsidR="003667A2">
        <w:rPr>
          <w:rFonts w:eastAsia="Times New Roman"/>
          <w:bCs/>
          <w:iCs/>
          <w:szCs w:val="20"/>
          <w:lang w:bidi="he-IL"/>
        </w:rPr>
        <w:t xml:space="preserve">Comme l’a montré d’une manière éclatante la crise du COVID-19, il y a là un potentiel considérable de transformation des comportements qu’il sera nécessaire d’étudier avec la plus grande minutie, dès que des données fiables auront été rendues disponibles avec le recul du temps. </w:t>
      </w:r>
      <w:r w:rsidRPr="00E263A5">
        <w:rPr>
          <w:rFonts w:eastAsia="Times New Roman"/>
          <w:bCs/>
          <w:iCs/>
          <w:szCs w:val="20"/>
          <w:lang w:val="x-none" w:bidi="he-IL"/>
        </w:rPr>
        <w:t xml:space="preserve">Plusieurs études </w:t>
      </w:r>
      <w:r w:rsidR="003667A2">
        <w:rPr>
          <w:rFonts w:eastAsia="Times New Roman"/>
          <w:bCs/>
          <w:iCs/>
          <w:szCs w:val="20"/>
          <w:lang w:bidi="he-IL"/>
        </w:rPr>
        <w:t>avaient déjà</w:t>
      </w:r>
      <w:r w:rsidRPr="00E263A5">
        <w:rPr>
          <w:rFonts w:eastAsia="Times New Roman"/>
          <w:bCs/>
          <w:iCs/>
          <w:szCs w:val="20"/>
          <w:lang w:val="x-none" w:bidi="he-IL"/>
        </w:rPr>
        <w:t xml:space="preserve"> été consacrées</w:t>
      </w:r>
      <w:r w:rsidR="003667A2">
        <w:rPr>
          <w:rFonts w:eastAsia="Times New Roman"/>
          <w:bCs/>
          <w:iCs/>
          <w:szCs w:val="20"/>
          <w:lang w:bidi="he-IL"/>
        </w:rPr>
        <w:t xml:space="preserve"> au télétravail</w:t>
      </w:r>
      <w:r w:rsidRPr="00E263A5">
        <w:rPr>
          <w:rFonts w:eastAsia="Times New Roman"/>
          <w:bCs/>
          <w:iCs/>
          <w:szCs w:val="20"/>
          <w:lang w:val="x-none" w:bidi="he-IL"/>
        </w:rPr>
        <w:t xml:space="preserve">, par exemple « Le télétravail dans les grandes entreprises françaises » </w:t>
      </w:r>
      <w:r w:rsidRPr="00E263A5">
        <w:rPr>
          <w:rFonts w:eastAsia="Times New Roman"/>
          <w:bCs/>
          <w:iCs/>
          <w:szCs w:val="20"/>
          <w:lang w:bidi="he-IL"/>
        </w:rPr>
        <w:t>(</w:t>
      </w:r>
      <w:r w:rsidR="000E4E5F" w:rsidRPr="00E263A5">
        <w:rPr>
          <w:rFonts w:eastAsia="Times New Roman"/>
          <w:bCs/>
          <w:iCs/>
          <w:szCs w:val="20"/>
          <w:lang w:bidi="he-IL"/>
        </w:rPr>
        <w:t xml:space="preserve">synthèse </w:t>
      </w:r>
      <w:r w:rsidRPr="00E263A5">
        <w:rPr>
          <w:rFonts w:eastAsia="Times New Roman"/>
          <w:bCs/>
          <w:iCs/>
          <w:szCs w:val="20"/>
          <w:lang w:val="x-none" w:bidi="he-IL"/>
        </w:rPr>
        <w:t>remise au ministre chargé de l’industrie, mai 2012</w:t>
      </w:r>
      <w:r w:rsidRPr="00E263A5">
        <w:rPr>
          <w:rFonts w:eastAsia="Times New Roman"/>
          <w:bCs/>
          <w:iCs/>
          <w:szCs w:val="20"/>
          <w:lang w:bidi="he-IL"/>
        </w:rPr>
        <w:t>)</w:t>
      </w:r>
      <w:r w:rsidRPr="00E263A5">
        <w:rPr>
          <w:rFonts w:eastAsia="Times New Roman"/>
          <w:bCs/>
          <w:iCs/>
          <w:szCs w:val="20"/>
          <w:lang w:val="x-none" w:bidi="he-IL"/>
        </w:rPr>
        <w:t xml:space="preserve"> ou « Externalités des télécentres » </w:t>
      </w:r>
      <w:r w:rsidRPr="00E263A5">
        <w:rPr>
          <w:rFonts w:eastAsia="Times New Roman"/>
          <w:bCs/>
          <w:iCs/>
          <w:szCs w:val="20"/>
          <w:lang w:bidi="he-IL"/>
        </w:rPr>
        <w:t>(</w:t>
      </w:r>
      <w:r w:rsidRPr="00E263A5">
        <w:rPr>
          <w:rFonts w:eastAsia="Times New Roman"/>
          <w:bCs/>
          <w:iCs/>
          <w:szCs w:val="20"/>
          <w:lang w:val="x-none" w:bidi="he-IL"/>
        </w:rPr>
        <w:t xml:space="preserve">Caisse des </w:t>
      </w:r>
      <w:r w:rsidR="00C05151" w:rsidRPr="00E263A5">
        <w:rPr>
          <w:rFonts w:eastAsia="Times New Roman"/>
          <w:bCs/>
          <w:iCs/>
          <w:szCs w:val="20"/>
          <w:lang w:val="x-none" w:bidi="he-IL"/>
        </w:rPr>
        <w:t>Dép</w:t>
      </w:r>
      <w:r w:rsidR="00C05151" w:rsidRPr="00E263A5">
        <w:rPr>
          <w:rFonts w:eastAsia="Times New Roman"/>
          <w:bCs/>
          <w:iCs/>
          <w:szCs w:val="20"/>
          <w:lang w:bidi="he-IL"/>
        </w:rPr>
        <w:t>ôts</w:t>
      </w:r>
      <w:r w:rsidRPr="00E263A5">
        <w:rPr>
          <w:rFonts w:eastAsia="Times New Roman"/>
          <w:bCs/>
          <w:iCs/>
          <w:szCs w:val="20"/>
          <w:lang w:val="x-none" w:bidi="he-IL"/>
        </w:rPr>
        <w:t>, mai 2014</w:t>
      </w:r>
      <w:r w:rsidRPr="00E263A5">
        <w:rPr>
          <w:rFonts w:eastAsia="Times New Roman"/>
          <w:bCs/>
          <w:iCs/>
          <w:szCs w:val="20"/>
          <w:lang w:bidi="he-IL"/>
        </w:rPr>
        <w:t>)</w:t>
      </w:r>
      <w:r w:rsidRPr="00E263A5">
        <w:rPr>
          <w:rFonts w:eastAsia="Times New Roman"/>
          <w:bCs/>
          <w:iCs/>
          <w:szCs w:val="20"/>
          <w:lang w:val="x-none" w:bidi="he-IL"/>
        </w:rPr>
        <w:t>. De ces études</w:t>
      </w:r>
      <w:r w:rsidR="00187320">
        <w:rPr>
          <w:rFonts w:eastAsia="Times New Roman"/>
          <w:bCs/>
          <w:iCs/>
          <w:szCs w:val="20"/>
          <w:lang w:bidi="he-IL"/>
        </w:rPr>
        <w:t xml:space="preserve"> </w:t>
      </w:r>
      <w:r w:rsidRPr="00E263A5">
        <w:rPr>
          <w:rFonts w:eastAsia="Times New Roman"/>
          <w:bCs/>
          <w:iCs/>
          <w:szCs w:val="20"/>
          <w:lang w:val="x-none" w:bidi="he-IL"/>
        </w:rPr>
        <w:t>ressort</w:t>
      </w:r>
      <w:r w:rsidR="003667A2">
        <w:rPr>
          <w:rFonts w:eastAsia="Times New Roman"/>
          <w:bCs/>
          <w:iCs/>
          <w:szCs w:val="20"/>
          <w:lang w:bidi="he-IL"/>
        </w:rPr>
        <w:t>ait</w:t>
      </w:r>
      <w:r w:rsidRPr="00E263A5">
        <w:rPr>
          <w:rFonts w:eastAsia="Times New Roman"/>
          <w:bCs/>
          <w:iCs/>
          <w:szCs w:val="20"/>
          <w:lang w:val="x-none" w:bidi="he-IL"/>
        </w:rPr>
        <w:t xml:space="preserve"> </w:t>
      </w:r>
      <w:r w:rsidR="00187320">
        <w:rPr>
          <w:rFonts w:eastAsia="Times New Roman"/>
          <w:bCs/>
          <w:iCs/>
          <w:szCs w:val="20"/>
          <w:lang w:bidi="he-IL"/>
        </w:rPr>
        <w:t xml:space="preserve">à l’époque </w:t>
      </w:r>
      <w:r w:rsidRPr="00E263A5">
        <w:rPr>
          <w:rFonts w:eastAsia="Times New Roman"/>
          <w:bCs/>
          <w:iCs/>
          <w:szCs w:val="20"/>
          <w:lang w:val="x-none" w:bidi="he-IL"/>
        </w:rPr>
        <w:t>que</w:t>
      </w:r>
      <w:r w:rsidR="009C422E" w:rsidRPr="00E263A5">
        <w:rPr>
          <w:rFonts w:eastAsia="Times New Roman"/>
          <w:bCs/>
          <w:iCs/>
          <w:szCs w:val="20"/>
          <w:lang w:bidi="he-IL"/>
        </w:rPr>
        <w:t>, hormis des situations transitoires exceptionnelles,</w:t>
      </w:r>
      <w:r w:rsidRPr="00E263A5">
        <w:rPr>
          <w:rFonts w:eastAsia="Times New Roman"/>
          <w:bCs/>
          <w:iCs/>
          <w:szCs w:val="20"/>
          <w:lang w:val="x-none" w:bidi="he-IL"/>
        </w:rPr>
        <w:t xml:space="preserve"> </w:t>
      </w:r>
      <w:r w:rsidR="00E263A5" w:rsidRPr="00E263A5">
        <w:rPr>
          <w:rFonts w:eastAsia="Times New Roman"/>
          <w:bCs/>
          <w:iCs/>
          <w:szCs w:val="20"/>
          <w:lang w:bidi="he-IL"/>
        </w:rPr>
        <w:t xml:space="preserve">il n’y a pas d’études reconnues aujourd’hui pour considérer que </w:t>
      </w:r>
      <w:r w:rsidRPr="00E263A5">
        <w:rPr>
          <w:rFonts w:eastAsia="Times New Roman"/>
          <w:bCs/>
          <w:iCs/>
          <w:szCs w:val="20"/>
          <w:lang w:val="x-none" w:bidi="he-IL"/>
        </w:rPr>
        <w:t>le télétravail</w:t>
      </w:r>
      <w:r w:rsidR="00E263A5" w:rsidRPr="00E263A5">
        <w:rPr>
          <w:rFonts w:eastAsia="Times New Roman"/>
          <w:bCs/>
          <w:iCs/>
          <w:szCs w:val="20"/>
          <w:lang w:bidi="he-IL"/>
        </w:rPr>
        <w:t>, même avec un développement significatif,</w:t>
      </w:r>
      <w:r w:rsidRPr="00E263A5">
        <w:rPr>
          <w:rFonts w:eastAsia="Times New Roman"/>
          <w:bCs/>
          <w:iCs/>
          <w:szCs w:val="20"/>
          <w:lang w:val="x-none" w:bidi="he-IL"/>
        </w:rPr>
        <w:t xml:space="preserve"> devrait induire </w:t>
      </w:r>
      <w:r w:rsidR="00E263A5" w:rsidRPr="00E263A5">
        <w:rPr>
          <w:rFonts w:eastAsia="Times New Roman"/>
          <w:bCs/>
          <w:iCs/>
          <w:szCs w:val="20"/>
          <w:lang w:bidi="he-IL"/>
        </w:rPr>
        <w:t xml:space="preserve">à terme </w:t>
      </w:r>
      <w:r w:rsidRPr="00E263A5">
        <w:rPr>
          <w:rFonts w:eastAsia="Times New Roman"/>
          <w:bCs/>
          <w:iCs/>
          <w:szCs w:val="20"/>
          <w:lang w:val="x-none" w:bidi="he-IL"/>
        </w:rPr>
        <w:t xml:space="preserve">une </w:t>
      </w:r>
      <w:r w:rsidR="00E263A5" w:rsidRPr="00E263A5">
        <w:rPr>
          <w:rFonts w:eastAsia="Times New Roman"/>
          <w:bCs/>
          <w:iCs/>
          <w:szCs w:val="20"/>
          <w:lang w:bidi="he-IL"/>
        </w:rPr>
        <w:t xml:space="preserve">forte </w:t>
      </w:r>
      <w:r w:rsidRPr="00E263A5">
        <w:rPr>
          <w:rFonts w:eastAsia="Times New Roman"/>
          <w:bCs/>
          <w:iCs/>
          <w:szCs w:val="20"/>
          <w:lang w:val="x-none" w:bidi="he-IL"/>
        </w:rPr>
        <w:t>réduction du nombre de déplacements</w:t>
      </w:r>
      <w:r w:rsidR="00A932EC">
        <w:rPr>
          <w:rFonts w:eastAsia="Times New Roman"/>
          <w:bCs/>
          <w:iCs/>
          <w:szCs w:val="20"/>
          <w:lang w:bidi="he-IL"/>
        </w:rPr>
        <w:t xml:space="preserve">, </w:t>
      </w:r>
      <w:r w:rsidR="00A932EC" w:rsidRPr="00A932EC">
        <w:rPr>
          <w:rFonts w:eastAsia="Times New Roman"/>
          <w:bCs/>
          <w:iCs/>
          <w:szCs w:val="20"/>
          <w:lang w:bidi="he-IL"/>
        </w:rPr>
        <w:t>même en tenant compte des effets durables de la crise sanitaire</w:t>
      </w:r>
      <w:r w:rsidRPr="00E263A5">
        <w:rPr>
          <w:rFonts w:eastAsia="Times New Roman"/>
          <w:bCs/>
          <w:iCs/>
          <w:szCs w:val="20"/>
          <w:lang w:val="x-none" w:bidi="he-IL"/>
        </w:rPr>
        <w:t>.</w:t>
      </w:r>
      <w:r w:rsidR="00E5762A" w:rsidRPr="00E263A5">
        <w:rPr>
          <w:rFonts w:eastAsia="Times New Roman"/>
          <w:bCs/>
          <w:iCs/>
          <w:szCs w:val="20"/>
          <w:lang w:bidi="he-IL"/>
        </w:rPr>
        <w:t xml:space="preserve"> Du reste, l’utilisation des « tiers-lieux »</w:t>
      </w:r>
      <w:r w:rsidR="00E5762A" w:rsidRPr="00E263A5">
        <w:rPr>
          <w:rStyle w:val="Appelnotedebasdep"/>
          <w:rFonts w:eastAsia="Times New Roman"/>
          <w:bCs/>
          <w:iCs/>
          <w:szCs w:val="20"/>
          <w:lang w:bidi="he-IL"/>
        </w:rPr>
        <w:footnoteReference w:id="14"/>
      </w:r>
      <w:r w:rsidR="00E5762A" w:rsidRPr="00E263A5">
        <w:rPr>
          <w:rFonts w:eastAsia="Times New Roman"/>
          <w:bCs/>
          <w:iCs/>
          <w:szCs w:val="20"/>
          <w:lang w:bidi="he-IL"/>
        </w:rPr>
        <w:t xml:space="preserve">, </w:t>
      </w:r>
      <w:r w:rsidR="005930EA" w:rsidRPr="00E263A5">
        <w:rPr>
          <w:rFonts w:eastAsia="Times New Roman"/>
          <w:bCs/>
          <w:iCs/>
          <w:szCs w:val="20"/>
          <w:lang w:bidi="he-IL"/>
        </w:rPr>
        <w:t>parfois définis comme « </w:t>
      </w:r>
      <w:r w:rsidR="00865BFE" w:rsidRPr="00E263A5">
        <w:rPr>
          <w:rFonts w:eastAsia="Times New Roman"/>
          <w:bCs/>
          <w:iCs/>
          <w:szCs w:val="20"/>
          <w:lang w:bidi="he-IL"/>
        </w:rPr>
        <w:t>une</w:t>
      </w:r>
      <w:r w:rsidR="005930EA" w:rsidRPr="00E263A5">
        <w:rPr>
          <w:rFonts w:eastAsia="Times New Roman"/>
          <w:bCs/>
          <w:iCs/>
          <w:szCs w:val="20"/>
          <w:lang w:bidi="he-IL"/>
        </w:rPr>
        <w:t xml:space="preserve"> maison hors de la maison » et en particulier</w:t>
      </w:r>
      <w:r w:rsidR="00E5762A" w:rsidRPr="00E263A5">
        <w:rPr>
          <w:rFonts w:eastAsia="Times New Roman"/>
          <w:bCs/>
          <w:iCs/>
          <w:szCs w:val="20"/>
          <w:lang w:bidi="he-IL"/>
        </w:rPr>
        <w:t xml:space="preserve"> des espaces de travail autres que le bureau ou le domicile</w:t>
      </w:r>
      <w:r w:rsidR="005930EA" w:rsidRPr="00E263A5">
        <w:rPr>
          <w:rFonts w:eastAsia="Times New Roman"/>
          <w:bCs/>
          <w:iCs/>
          <w:szCs w:val="20"/>
          <w:lang w:bidi="he-IL"/>
        </w:rPr>
        <w:t>,</w:t>
      </w:r>
      <w:r w:rsidR="00E5762A" w:rsidRPr="00E263A5">
        <w:rPr>
          <w:rFonts w:eastAsia="Times New Roman"/>
          <w:bCs/>
          <w:iCs/>
          <w:szCs w:val="20"/>
          <w:lang w:bidi="he-IL"/>
        </w:rPr>
        <w:t xml:space="preserve"> tels que les centres d’affaires, télécentres et autres espaces de « coworking », nécessite des déplacements.</w:t>
      </w:r>
      <w:r w:rsidR="009C422E" w:rsidRPr="00E263A5">
        <w:rPr>
          <w:rFonts w:eastAsia="Times New Roman"/>
          <w:bCs/>
          <w:iCs/>
          <w:szCs w:val="20"/>
          <w:lang w:bidi="he-IL"/>
        </w:rPr>
        <w:t xml:space="preserve"> </w:t>
      </w:r>
      <w:r w:rsidR="009406EB" w:rsidRPr="00E263A5">
        <w:rPr>
          <w:rFonts w:eastAsia="Times New Roman"/>
          <w:bCs/>
          <w:iCs/>
          <w:szCs w:val="20"/>
          <w:lang w:bidi="he-IL"/>
        </w:rPr>
        <w:t>Par ailleurs</w:t>
      </w:r>
      <w:r w:rsidR="009C422E" w:rsidRPr="00E263A5">
        <w:rPr>
          <w:rFonts w:eastAsia="Times New Roman"/>
          <w:bCs/>
          <w:iCs/>
          <w:szCs w:val="20"/>
          <w:lang w:bidi="he-IL"/>
        </w:rPr>
        <w:t xml:space="preserve">, compte tenu du prix élevé des logements dans </w:t>
      </w:r>
      <w:r w:rsidR="009406EB" w:rsidRPr="00E263A5">
        <w:rPr>
          <w:rFonts w:eastAsia="Times New Roman"/>
          <w:bCs/>
          <w:iCs/>
          <w:szCs w:val="20"/>
          <w:lang w:bidi="he-IL"/>
        </w:rPr>
        <w:t>Paris</w:t>
      </w:r>
      <w:r w:rsidR="009C422E" w:rsidRPr="00E263A5">
        <w:rPr>
          <w:rFonts w:eastAsia="Times New Roman"/>
          <w:bCs/>
          <w:iCs/>
          <w:szCs w:val="20"/>
          <w:lang w:bidi="he-IL"/>
        </w:rPr>
        <w:t xml:space="preserve">, les personnes les moins qualifiées qui y travaillent </w:t>
      </w:r>
      <w:r w:rsidR="00817383" w:rsidRPr="00E263A5">
        <w:rPr>
          <w:rFonts w:eastAsia="Times New Roman"/>
          <w:bCs/>
          <w:iCs/>
          <w:szCs w:val="20"/>
          <w:lang w:bidi="he-IL"/>
        </w:rPr>
        <w:t xml:space="preserve">et dont l’emploi n’est pas compatible avec le télétravail </w:t>
      </w:r>
      <w:r w:rsidR="009C422E" w:rsidRPr="00E263A5">
        <w:rPr>
          <w:rFonts w:eastAsia="Times New Roman"/>
          <w:bCs/>
          <w:iCs/>
          <w:szCs w:val="20"/>
          <w:lang w:bidi="he-IL"/>
        </w:rPr>
        <w:t>s</w:t>
      </w:r>
      <w:r w:rsidR="00817383" w:rsidRPr="00E263A5">
        <w:rPr>
          <w:rFonts w:eastAsia="Times New Roman"/>
          <w:bCs/>
          <w:iCs/>
          <w:szCs w:val="20"/>
          <w:lang w:bidi="he-IL"/>
        </w:rPr>
        <w:t>er</w:t>
      </w:r>
      <w:r w:rsidR="009C422E" w:rsidRPr="00E263A5">
        <w:rPr>
          <w:rFonts w:eastAsia="Times New Roman"/>
          <w:bCs/>
          <w:iCs/>
          <w:szCs w:val="20"/>
          <w:lang w:bidi="he-IL"/>
        </w:rPr>
        <w:t xml:space="preserve">ont </w:t>
      </w:r>
      <w:r w:rsidR="00817383" w:rsidRPr="00E263A5">
        <w:rPr>
          <w:rFonts w:eastAsia="Times New Roman"/>
          <w:bCs/>
          <w:iCs/>
          <w:szCs w:val="20"/>
          <w:lang w:bidi="he-IL"/>
        </w:rPr>
        <w:t xml:space="preserve">toujours </w:t>
      </w:r>
      <w:r w:rsidR="009C422E" w:rsidRPr="00E263A5">
        <w:rPr>
          <w:rFonts w:eastAsia="Times New Roman"/>
          <w:bCs/>
          <w:iCs/>
          <w:szCs w:val="20"/>
          <w:lang w:bidi="he-IL"/>
        </w:rPr>
        <w:t xml:space="preserve">contraintes d’habiter en </w:t>
      </w:r>
      <w:r w:rsidR="009406EB" w:rsidRPr="00E263A5">
        <w:rPr>
          <w:rFonts w:eastAsia="Times New Roman"/>
          <w:bCs/>
          <w:iCs/>
          <w:szCs w:val="20"/>
          <w:lang w:bidi="he-IL"/>
        </w:rPr>
        <w:t xml:space="preserve">petite ou </w:t>
      </w:r>
      <w:r w:rsidR="009C422E" w:rsidRPr="00E263A5">
        <w:rPr>
          <w:rFonts w:eastAsia="Times New Roman"/>
          <w:bCs/>
          <w:iCs/>
          <w:szCs w:val="20"/>
          <w:lang w:bidi="he-IL"/>
        </w:rPr>
        <w:t xml:space="preserve">grande couronne et d’effectuer de longues </w:t>
      </w:r>
      <w:r w:rsidR="00817383" w:rsidRPr="00E263A5">
        <w:rPr>
          <w:rFonts w:eastAsia="Times New Roman"/>
          <w:bCs/>
          <w:iCs/>
          <w:szCs w:val="20"/>
          <w:lang w:bidi="he-IL"/>
        </w:rPr>
        <w:t xml:space="preserve">navettes quotidiennes. </w:t>
      </w:r>
      <w:r w:rsidR="00936861" w:rsidRPr="00E263A5">
        <w:rPr>
          <w:rFonts w:eastAsia="Times New Roman"/>
          <w:bCs/>
          <w:iCs/>
          <w:szCs w:val="20"/>
          <w:lang w:bidi="he-IL"/>
        </w:rPr>
        <w:t xml:space="preserve">Elles </w:t>
      </w:r>
      <w:r w:rsidR="00E263A5" w:rsidRPr="00E263A5">
        <w:rPr>
          <w:rFonts w:eastAsia="Times New Roman"/>
          <w:bCs/>
          <w:iCs/>
          <w:szCs w:val="20"/>
          <w:lang w:bidi="he-IL"/>
        </w:rPr>
        <w:t>aur</w:t>
      </w:r>
      <w:r w:rsidR="00936861" w:rsidRPr="00E263A5">
        <w:rPr>
          <w:rFonts w:eastAsia="Times New Roman"/>
          <w:bCs/>
          <w:iCs/>
          <w:szCs w:val="20"/>
          <w:lang w:bidi="he-IL"/>
        </w:rPr>
        <w:t xml:space="preserve">ont donc, avant tout, besoin d’un système de transport performant. C’est donc l’offre </w:t>
      </w:r>
      <w:r w:rsidR="00317306" w:rsidRPr="00E263A5">
        <w:rPr>
          <w:rFonts w:eastAsia="Times New Roman"/>
          <w:bCs/>
          <w:iCs/>
          <w:szCs w:val="20"/>
          <w:lang w:bidi="he-IL"/>
        </w:rPr>
        <w:t xml:space="preserve">de transport </w:t>
      </w:r>
      <w:r w:rsidR="00936861" w:rsidRPr="00E263A5">
        <w:rPr>
          <w:rFonts w:eastAsia="Times New Roman"/>
          <w:bCs/>
          <w:iCs/>
          <w:szCs w:val="20"/>
          <w:lang w:bidi="he-IL"/>
        </w:rPr>
        <w:t>qu’il faut adapter à la demande</w:t>
      </w:r>
      <w:r w:rsidR="009406EB" w:rsidRPr="00E263A5">
        <w:rPr>
          <w:rFonts w:eastAsia="Times New Roman"/>
          <w:bCs/>
          <w:iCs/>
          <w:szCs w:val="20"/>
          <w:lang w:bidi="he-IL"/>
        </w:rPr>
        <w:t xml:space="preserve"> de transports collectifs</w:t>
      </w:r>
      <w:r w:rsidR="00936861" w:rsidRPr="00E263A5">
        <w:rPr>
          <w:rFonts w:eastAsia="Times New Roman"/>
          <w:bCs/>
          <w:iCs/>
          <w:szCs w:val="20"/>
          <w:lang w:bidi="he-IL"/>
        </w:rPr>
        <w:t>, sans cesse croissante</w:t>
      </w:r>
      <w:r w:rsidR="00F47608" w:rsidRPr="00E263A5">
        <w:rPr>
          <w:rFonts w:eastAsia="Times New Roman"/>
          <w:bCs/>
          <w:iCs/>
          <w:szCs w:val="20"/>
          <w:lang w:bidi="he-IL"/>
        </w:rPr>
        <w:t> </w:t>
      </w:r>
      <w:r w:rsidR="00935A39">
        <w:rPr>
          <w:rFonts w:eastAsia="Times New Roman"/>
          <w:bCs/>
          <w:iCs/>
          <w:szCs w:val="20"/>
          <w:lang w:bidi="he-IL"/>
        </w:rPr>
        <w:t xml:space="preserve">jusqu’en mars 2020 </w:t>
      </w:r>
      <w:r w:rsidR="00F47608" w:rsidRPr="00E263A5">
        <w:rPr>
          <w:rFonts w:eastAsia="Times New Roman"/>
          <w:bCs/>
          <w:iCs/>
          <w:szCs w:val="20"/>
          <w:lang w:bidi="he-IL"/>
        </w:rPr>
        <w:t>:</w:t>
      </w:r>
      <w:r w:rsidR="00936861" w:rsidRPr="00E263A5">
        <w:rPr>
          <w:rFonts w:eastAsia="Times New Roman"/>
          <w:bCs/>
          <w:iCs/>
          <w:szCs w:val="20"/>
          <w:lang w:bidi="he-IL"/>
        </w:rPr>
        <w:t xml:space="preserve"> les déplacements quotidiens en transport en commun des Franciliens ont crû de </w:t>
      </w:r>
      <w:r w:rsidR="00F47608" w:rsidRPr="00E263A5">
        <w:rPr>
          <w:rFonts w:eastAsia="Times New Roman"/>
          <w:bCs/>
          <w:iCs/>
          <w:szCs w:val="20"/>
          <w:lang w:bidi="he-IL"/>
        </w:rPr>
        <w:t>39% entre 2000 et 2018</w:t>
      </w:r>
      <w:r w:rsidR="00F47608" w:rsidRPr="00E263A5">
        <w:rPr>
          <w:rStyle w:val="Appelnotedebasdep"/>
          <w:rFonts w:eastAsia="Times New Roman"/>
          <w:bCs/>
          <w:iCs/>
          <w:szCs w:val="20"/>
          <w:lang w:bidi="he-IL"/>
        </w:rPr>
        <w:footnoteReference w:id="15"/>
      </w:r>
      <w:r w:rsidR="00F47608" w:rsidRPr="00E263A5">
        <w:rPr>
          <w:rFonts w:eastAsia="Times New Roman"/>
          <w:bCs/>
          <w:iCs/>
          <w:szCs w:val="20"/>
          <w:lang w:bidi="he-IL"/>
        </w:rPr>
        <w:t>.</w:t>
      </w:r>
      <w:r w:rsidR="001D1BF7" w:rsidRPr="00E263A5">
        <w:rPr>
          <w:rFonts w:eastAsia="Times New Roman"/>
          <w:bCs/>
          <w:iCs/>
          <w:szCs w:val="20"/>
          <w:lang w:bidi="he-IL"/>
        </w:rPr>
        <w:t xml:space="preserve"> Selon une étude de la Caisse des Dépôts, la mise en œuvre d’un nouveau réseau de 318 télécentres en Île-de-France permettrait d’éviter 78</w:t>
      </w:r>
      <w:r w:rsidR="0084080B">
        <w:rPr>
          <w:rFonts w:eastAsia="Times New Roman"/>
          <w:bCs/>
          <w:iCs/>
          <w:szCs w:val="20"/>
          <w:lang w:bidi="he-IL"/>
        </w:rPr>
        <w:t> </w:t>
      </w:r>
      <w:r w:rsidR="001D1BF7" w:rsidRPr="00E263A5">
        <w:rPr>
          <w:rFonts w:eastAsia="Times New Roman"/>
          <w:bCs/>
          <w:iCs/>
          <w:szCs w:val="20"/>
          <w:lang w:bidi="he-IL"/>
        </w:rPr>
        <w:t>000 déplacements par jour à l’horizon 2025</w:t>
      </w:r>
      <w:r w:rsidR="001D1BF7" w:rsidRPr="00E263A5">
        <w:rPr>
          <w:rStyle w:val="Appelnotedebasdep"/>
          <w:rFonts w:eastAsia="Times New Roman"/>
          <w:bCs/>
          <w:iCs/>
          <w:szCs w:val="20"/>
          <w:lang w:bidi="he-IL"/>
        </w:rPr>
        <w:footnoteReference w:id="16"/>
      </w:r>
      <w:r w:rsidR="001D1BF7" w:rsidRPr="00E263A5">
        <w:rPr>
          <w:rFonts w:eastAsia="Times New Roman"/>
          <w:bCs/>
          <w:iCs/>
          <w:szCs w:val="20"/>
          <w:lang w:bidi="he-IL"/>
        </w:rPr>
        <w:t>.</w:t>
      </w:r>
      <w:r w:rsidR="003667C2" w:rsidRPr="00E263A5">
        <w:rPr>
          <w:rFonts w:eastAsia="Times New Roman"/>
          <w:bCs/>
          <w:iCs/>
          <w:szCs w:val="20"/>
          <w:lang w:bidi="he-IL"/>
        </w:rPr>
        <w:t xml:space="preserve"> C’est peu comparé aux 24 millions de déplacements quotidiens des Franciliens pour un jour ouvrable de base (JOB).</w:t>
      </w:r>
      <w:r w:rsidR="00865BFE" w:rsidRPr="00E263A5">
        <w:rPr>
          <w:rFonts w:eastAsia="Times New Roman"/>
          <w:bCs/>
          <w:iCs/>
          <w:szCs w:val="20"/>
          <w:lang w:bidi="he-IL"/>
        </w:rPr>
        <w:t xml:space="preserve"> </w:t>
      </w:r>
      <w:r w:rsidR="000D617F" w:rsidRPr="00E263A5">
        <w:rPr>
          <w:rFonts w:eastAsia="Times New Roman"/>
          <w:bCs/>
          <w:iCs/>
          <w:szCs w:val="20"/>
          <w:lang w:bidi="he-IL"/>
        </w:rPr>
        <w:t>En outre, selon certains analystes, le télétravail</w:t>
      </w:r>
      <w:r w:rsidR="00196DB0" w:rsidRPr="00E263A5">
        <w:rPr>
          <w:rFonts w:eastAsia="Times New Roman"/>
          <w:bCs/>
          <w:iCs/>
          <w:szCs w:val="20"/>
          <w:lang w:bidi="he-IL"/>
        </w:rPr>
        <w:t>,</w:t>
      </w:r>
      <w:r w:rsidR="000D617F" w:rsidRPr="00E263A5">
        <w:rPr>
          <w:rFonts w:eastAsia="Times New Roman"/>
          <w:bCs/>
          <w:iCs/>
          <w:szCs w:val="20"/>
          <w:lang w:bidi="he-IL"/>
        </w:rPr>
        <w:t xml:space="preserve"> permettant d’éviter des déplacements contraignants (par exemple se rendre chaque jour à la même heure au travail)</w:t>
      </w:r>
      <w:r w:rsidR="00196DB0" w:rsidRPr="00E263A5">
        <w:rPr>
          <w:rFonts w:eastAsia="Times New Roman"/>
          <w:bCs/>
          <w:iCs/>
          <w:szCs w:val="20"/>
          <w:lang w:bidi="he-IL"/>
        </w:rPr>
        <w:t>,</w:t>
      </w:r>
      <w:r w:rsidR="000D617F" w:rsidRPr="00E263A5">
        <w:rPr>
          <w:rFonts w:eastAsia="Times New Roman"/>
          <w:bCs/>
          <w:iCs/>
          <w:szCs w:val="20"/>
          <w:lang w:bidi="he-IL"/>
        </w:rPr>
        <w:t xml:space="preserve"> créerait du temps libre pour d’autres déplacement</w:t>
      </w:r>
      <w:r w:rsidR="0040790B" w:rsidRPr="00E263A5">
        <w:rPr>
          <w:rFonts w:eastAsia="Times New Roman"/>
          <w:bCs/>
          <w:iCs/>
          <w:szCs w:val="20"/>
          <w:lang w:bidi="he-IL"/>
        </w:rPr>
        <w:t>s</w:t>
      </w:r>
      <w:r w:rsidR="000D617F" w:rsidRPr="00E263A5">
        <w:rPr>
          <w:rFonts w:eastAsia="Times New Roman"/>
          <w:bCs/>
          <w:iCs/>
          <w:szCs w:val="20"/>
          <w:lang w:bidi="he-IL"/>
        </w:rPr>
        <w:t xml:space="preserve"> à motifs plus personnels</w:t>
      </w:r>
      <w:r w:rsidR="0040790B" w:rsidRPr="00E263A5">
        <w:rPr>
          <w:rFonts w:eastAsia="Times New Roman"/>
          <w:bCs/>
          <w:iCs/>
          <w:szCs w:val="20"/>
          <w:lang w:bidi="he-IL"/>
        </w:rPr>
        <w:t xml:space="preserve"> sans </w:t>
      </w:r>
      <w:r w:rsidR="0065319D" w:rsidRPr="00E263A5">
        <w:rPr>
          <w:rFonts w:eastAsia="Times New Roman"/>
          <w:bCs/>
          <w:iCs/>
          <w:szCs w:val="20"/>
          <w:lang w:bidi="he-IL"/>
        </w:rPr>
        <w:t xml:space="preserve">prendre en </w:t>
      </w:r>
      <w:r w:rsidR="0040790B" w:rsidRPr="00E263A5">
        <w:rPr>
          <w:rFonts w:eastAsia="Times New Roman"/>
          <w:bCs/>
          <w:iCs/>
          <w:szCs w:val="20"/>
          <w:lang w:bidi="he-IL"/>
        </w:rPr>
        <w:t>considération la proximité</w:t>
      </w:r>
      <w:r w:rsidR="0040790B" w:rsidRPr="00E263A5">
        <w:rPr>
          <w:rStyle w:val="Appelnotedebasdep"/>
          <w:rFonts w:eastAsia="Times New Roman"/>
          <w:bCs/>
          <w:iCs/>
          <w:szCs w:val="20"/>
          <w:lang w:bidi="he-IL"/>
        </w:rPr>
        <w:t xml:space="preserve"> </w:t>
      </w:r>
      <w:r w:rsidR="0040790B" w:rsidRPr="00E263A5">
        <w:rPr>
          <w:rFonts w:eastAsia="Times New Roman"/>
          <w:bCs/>
          <w:iCs/>
          <w:szCs w:val="20"/>
          <w:lang w:bidi="he-IL"/>
        </w:rPr>
        <w:t>de la destination</w:t>
      </w:r>
      <w:r w:rsidR="000D617F" w:rsidRPr="00E263A5">
        <w:rPr>
          <w:rStyle w:val="Appelnotedebasdep"/>
          <w:rFonts w:eastAsia="Times New Roman"/>
          <w:bCs/>
          <w:iCs/>
          <w:szCs w:val="20"/>
          <w:lang w:bidi="he-IL"/>
        </w:rPr>
        <w:footnoteReference w:id="17"/>
      </w:r>
      <w:r w:rsidR="000D617F" w:rsidRPr="00E263A5">
        <w:rPr>
          <w:rFonts w:eastAsia="Times New Roman"/>
          <w:bCs/>
          <w:iCs/>
          <w:szCs w:val="20"/>
          <w:lang w:bidi="he-IL"/>
        </w:rPr>
        <w:t xml:space="preserve">. </w:t>
      </w:r>
    </w:p>
    <w:p w14:paraId="25250377" w14:textId="77777777" w:rsidR="004C684A" w:rsidRDefault="004C684A" w:rsidP="004C4CA3">
      <w:pPr>
        <w:jc w:val="both"/>
        <w:rPr>
          <w:rFonts w:eastAsia="Times New Roman"/>
          <w:bCs/>
          <w:iCs/>
          <w:szCs w:val="20"/>
          <w:lang w:bidi="he-IL"/>
        </w:rPr>
      </w:pPr>
    </w:p>
    <w:p w14:paraId="1802B178" w14:textId="6AC1D8D4" w:rsidR="00A51C82" w:rsidRPr="00A51C82" w:rsidRDefault="00A51C82" w:rsidP="004C4CA3">
      <w:pPr>
        <w:jc w:val="both"/>
        <w:rPr>
          <w:rFonts w:eastAsia="Times New Roman"/>
          <w:bCs/>
          <w:iCs/>
          <w:szCs w:val="20"/>
          <w:lang w:bidi="he-IL"/>
        </w:rPr>
      </w:pPr>
      <w:r w:rsidRPr="00A51C82">
        <w:rPr>
          <w:rFonts w:eastAsia="Times New Roman"/>
          <w:bCs/>
          <w:iCs/>
          <w:szCs w:val="20"/>
          <w:lang w:bidi="he-IL"/>
        </w:rPr>
        <w:t>L</w:t>
      </w:r>
      <w:r w:rsidRPr="00A51C82">
        <w:rPr>
          <w:rFonts w:eastAsia="Times New Roman"/>
          <w:bCs/>
          <w:iCs/>
          <w:szCs w:val="20"/>
          <w:lang w:val="x-none" w:bidi="he-IL"/>
        </w:rPr>
        <w:t>’autopartage</w:t>
      </w:r>
      <w:r w:rsidR="002B6D5B">
        <w:rPr>
          <w:rFonts w:eastAsia="Times New Roman"/>
          <w:bCs/>
          <w:iCs/>
          <w:szCs w:val="20"/>
          <w:lang w:bidi="he-IL"/>
        </w:rPr>
        <w:t>, c’est-à-dire la mise en commun d’un même véhicule par plusieurs usagers,</w:t>
      </w:r>
      <w:r w:rsidRPr="00A51C82">
        <w:rPr>
          <w:rFonts w:eastAsia="Times New Roman"/>
          <w:bCs/>
          <w:iCs/>
          <w:szCs w:val="20"/>
          <w:lang w:val="x-none" w:bidi="he-IL"/>
        </w:rPr>
        <w:t xml:space="preserve"> apparait (Enquêtes nationale</w:t>
      </w:r>
      <w:r w:rsidRPr="00A51C82">
        <w:rPr>
          <w:rFonts w:eastAsia="Times New Roman"/>
          <w:bCs/>
          <w:iCs/>
          <w:szCs w:val="20"/>
          <w:lang w:bidi="he-IL"/>
        </w:rPr>
        <w:t>s</w:t>
      </w:r>
      <w:r w:rsidRPr="00A51C82">
        <w:rPr>
          <w:rFonts w:eastAsia="Times New Roman"/>
          <w:bCs/>
          <w:iCs/>
          <w:szCs w:val="20"/>
          <w:lang w:val="x-none" w:bidi="he-IL"/>
        </w:rPr>
        <w:t xml:space="preserve"> sur l’autopartage » 2016 et 2017 ADEME) comme un complément plus qu’un substitut aux Transports collectifs, notamment dans la </w:t>
      </w:r>
      <w:r w:rsidRPr="00E263A5">
        <w:rPr>
          <w:rFonts w:eastAsia="Times New Roman"/>
          <w:bCs/>
          <w:iCs/>
          <w:szCs w:val="20"/>
          <w:lang w:val="x-none" w:bidi="he-IL"/>
        </w:rPr>
        <w:t xml:space="preserve">mesure </w:t>
      </w:r>
      <w:r w:rsidR="008D52FA" w:rsidRPr="00E263A5">
        <w:rPr>
          <w:rFonts w:eastAsia="Times New Roman"/>
          <w:bCs/>
          <w:iCs/>
          <w:szCs w:val="20"/>
          <w:lang w:bidi="he-IL"/>
        </w:rPr>
        <w:t xml:space="preserve">où </w:t>
      </w:r>
      <w:r w:rsidRPr="00E263A5">
        <w:rPr>
          <w:rFonts w:eastAsia="Times New Roman"/>
          <w:bCs/>
          <w:iCs/>
          <w:szCs w:val="20"/>
          <w:lang w:val="x-none" w:bidi="he-IL"/>
        </w:rPr>
        <w:t xml:space="preserve">ses </w:t>
      </w:r>
      <w:r w:rsidRPr="00A51C82">
        <w:rPr>
          <w:rFonts w:eastAsia="Times New Roman"/>
          <w:bCs/>
          <w:iCs/>
          <w:szCs w:val="20"/>
          <w:lang w:val="x-none" w:bidi="he-IL"/>
        </w:rPr>
        <w:t xml:space="preserve">adeptes sont incités dans une </w:t>
      </w:r>
      <w:r w:rsidRPr="00A51C82">
        <w:rPr>
          <w:rFonts w:eastAsia="Times New Roman"/>
          <w:bCs/>
          <w:iCs/>
          <w:szCs w:val="20"/>
          <w:lang w:val="x-none" w:bidi="he-IL"/>
        </w:rPr>
        <w:t xml:space="preserve">proportion non négligeable à se séparer de leur voiture. Le même type d’analyse et les mêmes conclusions peuvent </w:t>
      </w:r>
      <w:r w:rsidRPr="00E263A5">
        <w:rPr>
          <w:rFonts w:eastAsia="Times New Roman"/>
          <w:bCs/>
          <w:iCs/>
          <w:szCs w:val="20"/>
          <w:lang w:val="x-none" w:bidi="he-IL"/>
        </w:rPr>
        <w:t xml:space="preserve">être </w:t>
      </w:r>
      <w:r w:rsidR="008D52FA" w:rsidRPr="00E263A5">
        <w:rPr>
          <w:rFonts w:eastAsia="Times New Roman"/>
          <w:bCs/>
          <w:iCs/>
          <w:szCs w:val="20"/>
          <w:lang w:bidi="he-IL"/>
        </w:rPr>
        <w:t xml:space="preserve">faits </w:t>
      </w:r>
      <w:r w:rsidRPr="00E263A5">
        <w:rPr>
          <w:rFonts w:eastAsia="Times New Roman"/>
          <w:bCs/>
          <w:iCs/>
          <w:szCs w:val="20"/>
          <w:lang w:val="x-none" w:bidi="he-IL"/>
        </w:rPr>
        <w:t xml:space="preserve">en </w:t>
      </w:r>
      <w:r w:rsidRPr="00A51C82">
        <w:rPr>
          <w:rFonts w:eastAsia="Times New Roman"/>
          <w:bCs/>
          <w:iCs/>
          <w:szCs w:val="20"/>
          <w:lang w:val="x-none" w:bidi="he-IL"/>
        </w:rPr>
        <w:t>ce qui concerne le co</w:t>
      </w:r>
      <w:r w:rsidRPr="00662958">
        <w:rPr>
          <w:rFonts w:eastAsia="Times New Roman"/>
          <w:bCs/>
          <w:iCs/>
          <w:color w:val="FF0000"/>
          <w:szCs w:val="20"/>
          <w:lang w:val="x-none" w:bidi="he-IL"/>
        </w:rPr>
        <w:t>-</w:t>
      </w:r>
      <w:r w:rsidRPr="00A51C82">
        <w:rPr>
          <w:rFonts w:eastAsia="Times New Roman"/>
          <w:bCs/>
          <w:iCs/>
          <w:szCs w:val="20"/>
          <w:lang w:val="x-none" w:bidi="he-IL"/>
        </w:rPr>
        <w:t>voiturage, avec toutefois le fait que le co-voiturage urbain semble devoir prendre beaucoup moins d’extension que le co-voiturage interurbain.</w:t>
      </w:r>
    </w:p>
    <w:p w14:paraId="3A5EF5C7" w14:textId="77777777" w:rsidR="004C684A" w:rsidRDefault="004C684A" w:rsidP="004C4CA3">
      <w:pPr>
        <w:jc w:val="both"/>
        <w:rPr>
          <w:rFonts w:eastAsia="Times New Roman"/>
          <w:bCs/>
          <w:iCs/>
          <w:szCs w:val="20"/>
          <w:lang w:bidi="he-IL"/>
        </w:rPr>
      </w:pPr>
    </w:p>
    <w:p w14:paraId="68079B12" w14:textId="1F2411AC" w:rsidR="00A51C82" w:rsidRPr="00A51C82" w:rsidRDefault="00A51C82" w:rsidP="004C4CA3">
      <w:pPr>
        <w:jc w:val="both"/>
        <w:rPr>
          <w:rFonts w:eastAsia="Times New Roman"/>
          <w:bCs/>
          <w:iCs/>
          <w:szCs w:val="20"/>
          <w:lang w:bidi="he-IL"/>
        </w:rPr>
      </w:pPr>
      <w:r w:rsidRPr="00A51C82">
        <w:rPr>
          <w:rFonts w:eastAsia="Times New Roman"/>
          <w:bCs/>
          <w:iCs/>
          <w:szCs w:val="20"/>
          <w:lang w:bidi="he-IL"/>
        </w:rPr>
        <w:t>Le</w:t>
      </w:r>
      <w:r w:rsidRPr="00A51C82">
        <w:rPr>
          <w:rFonts w:eastAsia="Times New Roman"/>
          <w:bCs/>
          <w:iCs/>
          <w:szCs w:val="20"/>
          <w:lang w:val="x-none" w:bidi="he-IL"/>
        </w:rPr>
        <w:t xml:space="preserve"> véhicule autonome, devrait apparaitre progressivement, selon des étapes bien identifiées avant qu’on en arrive au véhicule </w:t>
      </w:r>
      <w:r w:rsidR="00E57DCD" w:rsidRPr="00A51C82">
        <w:rPr>
          <w:rFonts w:eastAsia="Times New Roman"/>
          <w:bCs/>
          <w:iCs/>
          <w:szCs w:val="20"/>
          <w:lang w:val="x-none" w:bidi="he-IL"/>
        </w:rPr>
        <w:t>comp</w:t>
      </w:r>
      <w:r w:rsidR="00E57DCD">
        <w:rPr>
          <w:rFonts w:eastAsia="Times New Roman"/>
          <w:bCs/>
          <w:iCs/>
          <w:szCs w:val="20"/>
          <w:lang w:bidi="he-IL"/>
        </w:rPr>
        <w:t>létement</w:t>
      </w:r>
      <w:r w:rsidRPr="00A51C82">
        <w:rPr>
          <w:rFonts w:eastAsia="Times New Roman"/>
          <w:bCs/>
          <w:iCs/>
          <w:szCs w:val="20"/>
          <w:lang w:val="x-none" w:bidi="he-IL"/>
        </w:rPr>
        <w:t xml:space="preserve"> autonome. On attend plusieurs avantages de la généralisation de la voiture autonome et connectée : une réduction de la congestion – en fluidifiant le trafic –, ainsi que des temps de parcours, du coût du stationnement, du nombre d’accidents et de la consommation d’énergie. </w:t>
      </w:r>
      <w:r w:rsidRPr="00A51C82">
        <w:rPr>
          <w:rFonts w:eastAsia="Times New Roman"/>
          <w:bCs/>
          <w:iCs/>
          <w:szCs w:val="20"/>
          <w:lang w:bidi="he-IL"/>
        </w:rPr>
        <w:t>L</w:t>
      </w:r>
      <w:r w:rsidRPr="00A51C82">
        <w:rPr>
          <w:rFonts w:eastAsia="Times New Roman"/>
          <w:bCs/>
          <w:iCs/>
          <w:szCs w:val="20"/>
          <w:lang w:val="x-none" w:bidi="he-IL"/>
        </w:rPr>
        <w:t>’automatisation des véhicules pourrait, à terme, accroître de 30% la capacité du réseau routier et réduire de 50% le coût du stationnement</w:t>
      </w:r>
      <w:r w:rsidRPr="00A51C82">
        <w:rPr>
          <w:rFonts w:eastAsia="Times New Roman"/>
          <w:bCs/>
          <w:iCs/>
          <w:szCs w:val="20"/>
          <w:lang w:bidi="he-IL"/>
        </w:rPr>
        <w:t xml:space="preserve"> selon des études américaines, et </w:t>
      </w:r>
      <w:r w:rsidRPr="00A51C82">
        <w:rPr>
          <w:rFonts w:eastAsia="Times New Roman"/>
          <w:bCs/>
          <w:iCs/>
          <w:szCs w:val="20"/>
          <w:lang w:val="x-none" w:bidi="he-IL"/>
        </w:rPr>
        <w:t>le total des véhicules x kilomètres augmenterait</w:t>
      </w:r>
      <w:r w:rsidRPr="00A51C82">
        <w:rPr>
          <w:rFonts w:eastAsia="Times New Roman"/>
          <w:bCs/>
          <w:iCs/>
          <w:szCs w:val="20"/>
          <w:lang w:bidi="he-IL"/>
        </w:rPr>
        <w:t xml:space="preserve"> </w:t>
      </w:r>
      <w:r w:rsidRPr="00A51C82">
        <w:rPr>
          <w:rFonts w:eastAsia="Times New Roman"/>
          <w:bCs/>
          <w:iCs/>
          <w:szCs w:val="20"/>
          <w:lang w:val="x-none" w:bidi="he-IL"/>
        </w:rPr>
        <w:t xml:space="preserve">entre 10% et </w:t>
      </w:r>
      <w:r w:rsidRPr="00A51C82">
        <w:rPr>
          <w:rFonts w:eastAsia="Times New Roman"/>
          <w:bCs/>
          <w:iCs/>
          <w:szCs w:val="20"/>
          <w:lang w:bidi="he-IL"/>
        </w:rPr>
        <w:t xml:space="preserve">20% peut-être même </w:t>
      </w:r>
      <w:r w:rsidRPr="00A51C82">
        <w:rPr>
          <w:rFonts w:eastAsia="Times New Roman"/>
          <w:bCs/>
          <w:iCs/>
          <w:szCs w:val="20"/>
          <w:lang w:val="x-none" w:bidi="he-IL"/>
        </w:rPr>
        <w:t>40%</w:t>
      </w:r>
      <w:r w:rsidRPr="00A51C82">
        <w:rPr>
          <w:rFonts w:eastAsia="Times New Roman"/>
          <w:bCs/>
          <w:iCs/>
          <w:szCs w:val="20"/>
          <w:lang w:bidi="he-IL"/>
        </w:rPr>
        <w:t xml:space="preserve">. </w:t>
      </w:r>
      <w:r w:rsidRPr="00A51C82">
        <w:rPr>
          <w:rFonts w:eastAsia="Times New Roman"/>
          <w:bCs/>
          <w:iCs/>
          <w:szCs w:val="20"/>
          <w:lang w:val="x-none" w:bidi="he-IL"/>
        </w:rPr>
        <w:t xml:space="preserve">Toutefois, ces </w:t>
      </w:r>
      <w:r w:rsidR="004C684A">
        <w:rPr>
          <w:rFonts w:eastAsia="Times New Roman"/>
          <w:bCs/>
          <w:iCs/>
          <w:szCs w:val="20"/>
          <w:lang w:bidi="he-IL"/>
        </w:rPr>
        <w:t>études</w:t>
      </w:r>
      <w:r w:rsidRPr="00A51C82">
        <w:rPr>
          <w:rFonts w:eastAsia="Times New Roman"/>
          <w:bCs/>
          <w:iCs/>
          <w:szCs w:val="20"/>
          <w:lang w:val="x-none" w:bidi="he-IL"/>
        </w:rPr>
        <w:t xml:space="preserve"> concernent le marché nord-américain sur lequel l’usage de la voiture est largement dominant tandis que les transports en commun y sont </w:t>
      </w:r>
      <w:r w:rsidRPr="00A51C82">
        <w:rPr>
          <w:rFonts w:eastAsia="Times New Roman"/>
          <w:bCs/>
          <w:iCs/>
          <w:szCs w:val="20"/>
          <w:lang w:bidi="he-IL"/>
        </w:rPr>
        <w:t xml:space="preserve">souvent </w:t>
      </w:r>
      <w:r w:rsidRPr="00A51C82">
        <w:rPr>
          <w:rFonts w:eastAsia="Times New Roman"/>
          <w:bCs/>
          <w:iCs/>
          <w:szCs w:val="20"/>
          <w:lang w:val="x-none" w:bidi="he-IL"/>
        </w:rPr>
        <w:t xml:space="preserve">très peu développés et </w:t>
      </w:r>
      <w:r w:rsidR="004C684A">
        <w:rPr>
          <w:rFonts w:eastAsia="Times New Roman"/>
          <w:bCs/>
          <w:iCs/>
          <w:szCs w:val="20"/>
          <w:lang w:bidi="he-IL"/>
        </w:rPr>
        <w:t xml:space="preserve">elles </w:t>
      </w:r>
      <w:r w:rsidRPr="00A51C82">
        <w:rPr>
          <w:rFonts w:eastAsia="Times New Roman"/>
          <w:bCs/>
          <w:iCs/>
          <w:szCs w:val="20"/>
          <w:lang w:val="x-none" w:bidi="he-IL"/>
        </w:rPr>
        <w:t>ne distinguent pas les trafics urbains des trafics interurbains.</w:t>
      </w:r>
    </w:p>
    <w:p w14:paraId="06D50232" w14:textId="77777777" w:rsidR="004C684A" w:rsidRDefault="004C684A" w:rsidP="004C4CA3">
      <w:pPr>
        <w:jc w:val="both"/>
        <w:rPr>
          <w:rFonts w:eastAsia="Times New Roman"/>
          <w:bCs/>
          <w:iCs/>
          <w:szCs w:val="20"/>
          <w:lang w:bidi="he-IL"/>
        </w:rPr>
      </w:pPr>
    </w:p>
    <w:p w14:paraId="34C1E6EC" w14:textId="10684A54" w:rsidR="00A51C82" w:rsidRPr="00A51C82" w:rsidRDefault="00A51C82" w:rsidP="004C4CA3">
      <w:pPr>
        <w:jc w:val="both"/>
        <w:rPr>
          <w:rFonts w:eastAsia="Times New Roman"/>
          <w:bCs/>
          <w:iCs/>
          <w:szCs w:val="20"/>
          <w:lang w:bidi="he-IL"/>
        </w:rPr>
      </w:pPr>
      <w:r w:rsidRPr="00A51C82">
        <w:rPr>
          <w:rFonts w:eastAsia="Times New Roman"/>
          <w:bCs/>
          <w:iCs/>
          <w:szCs w:val="20"/>
          <w:lang w:val="x-none" w:bidi="he-IL"/>
        </w:rPr>
        <w:t xml:space="preserve">L’idée d’une convergence entre l’autopartage en véhicule autonome, le taxi sans chauffeur et le covoiturage vient naturellement à l’esprit. Ces nouveaux usages de la voiture pourraient finir par se confondre plus ou moins en un seul moyen de transport que les auteurs anglo-saxons appellent le taxi autonome partagé (« shared autonomous taxis ») ou la voiture autonome partagée (« Shared Autonomous Vehicles – SAV). </w:t>
      </w:r>
      <w:r w:rsidR="004C684A">
        <w:rPr>
          <w:rFonts w:eastAsia="Times New Roman"/>
          <w:bCs/>
          <w:iCs/>
          <w:szCs w:val="20"/>
          <w:lang w:val="x-none" w:bidi="he-IL"/>
        </w:rPr>
        <w:t>Des études menées sur le sujet</w:t>
      </w:r>
      <w:r w:rsidR="004C684A">
        <w:rPr>
          <w:rFonts w:eastAsia="Times New Roman"/>
          <w:bCs/>
          <w:iCs/>
          <w:szCs w:val="20"/>
          <w:lang w:bidi="he-IL"/>
        </w:rPr>
        <w:t xml:space="preserve">, </w:t>
      </w:r>
      <w:r w:rsidRPr="00A51C82">
        <w:rPr>
          <w:rFonts w:eastAsia="Times New Roman"/>
          <w:bCs/>
          <w:iCs/>
          <w:szCs w:val="20"/>
          <w:lang w:val="x-none" w:bidi="he-IL"/>
        </w:rPr>
        <w:t xml:space="preserve">une première conclusion s’impose : dans les zones les plus denses des grandes agglomérations, la généralisation de la voiture autonome </w:t>
      </w:r>
      <w:r w:rsidR="002B6D5B">
        <w:rPr>
          <w:rFonts w:eastAsia="Times New Roman"/>
          <w:bCs/>
          <w:iCs/>
          <w:szCs w:val="20"/>
          <w:lang w:bidi="he-IL"/>
        </w:rPr>
        <w:t xml:space="preserve">partagée </w:t>
      </w:r>
      <w:r w:rsidRPr="00A51C82">
        <w:rPr>
          <w:rFonts w:eastAsia="Times New Roman"/>
          <w:bCs/>
          <w:iCs/>
          <w:szCs w:val="20"/>
          <w:lang w:val="x-none" w:bidi="he-IL"/>
        </w:rPr>
        <w:t xml:space="preserve">ne réduirait pas beaucoup l’encombrement de la voirie, sauf pour ce qui concerne le stationnement. La vitesse moyenne des véhicules ne serait que légèrement améliorée. Par ailleurs, comme le coût d’usage complet de la voiture autonome sera très supérieur à celui des transports en commun, même si le covoiturage y est associé, la voiture autonome ne </w:t>
      </w:r>
      <w:r w:rsidRPr="00A51C82">
        <w:rPr>
          <w:rFonts w:eastAsia="Times New Roman"/>
          <w:bCs/>
          <w:iCs/>
          <w:szCs w:val="20"/>
          <w:lang w:bidi="he-IL"/>
        </w:rPr>
        <w:t xml:space="preserve">devrait </w:t>
      </w:r>
      <w:r w:rsidRPr="00A51C82">
        <w:rPr>
          <w:rFonts w:eastAsia="Times New Roman"/>
          <w:bCs/>
          <w:iCs/>
          <w:szCs w:val="20"/>
          <w:lang w:val="x-none" w:bidi="he-IL"/>
        </w:rPr>
        <w:t>concurrencer que marginalement les réseaux ferrés performants de masse et il est nécessaire de continuer à les améliorer là où ils seront les plus efficaces c’est-à-dire dans les zones urbaines denses.</w:t>
      </w:r>
      <w:r w:rsidRPr="00A51C82">
        <w:rPr>
          <w:rFonts w:eastAsia="Times New Roman"/>
          <w:bCs/>
          <w:iCs/>
          <w:szCs w:val="20"/>
          <w:lang w:bidi="he-IL"/>
        </w:rPr>
        <w:t xml:space="preserve"> </w:t>
      </w:r>
      <w:r w:rsidRPr="00A51C82">
        <w:rPr>
          <w:rFonts w:eastAsia="Times New Roman"/>
          <w:bCs/>
          <w:iCs/>
          <w:szCs w:val="20"/>
          <w:lang w:val="x-none" w:bidi="he-IL"/>
        </w:rPr>
        <w:t xml:space="preserve">L’intérêt du véhicule autonome pourrait être toutefois significatif en grande couronne dans les zones les moins denses avec une urbanisation diffuse où le système de taxis autonomes, couplé au covoiturage, pourrait certainement répondre efficacement à une demande de transport mal satisfaite par les transports en commun et peut-être à un moindre coût. Reste à savoir si le « covoiturage sans chauffeur » sera mieux accepté que le covoiturage dynamique actuel. </w:t>
      </w:r>
      <w:r w:rsidRPr="00A51C82">
        <w:rPr>
          <w:rFonts w:eastAsia="Times New Roman"/>
          <w:bCs/>
          <w:iCs/>
          <w:szCs w:val="20"/>
          <w:lang w:bidi="he-IL"/>
        </w:rPr>
        <w:t>Et il est probable que le véhicule autonome, quand il sera opérationnel, soit plutôt un complément qu’un substitut aux grandes infrastructures performantes dans les grandes métropoles</w:t>
      </w:r>
      <w:r w:rsidRPr="00AA698C">
        <w:rPr>
          <w:rFonts w:eastAsia="Times New Roman"/>
          <w:bCs/>
          <w:iCs/>
          <w:szCs w:val="20"/>
          <w:lang w:bidi="he-IL"/>
        </w:rPr>
        <w:t>.</w:t>
      </w:r>
      <w:r w:rsidR="001D689A" w:rsidRPr="00AA698C">
        <w:rPr>
          <w:rFonts w:eastAsia="Times New Roman"/>
          <w:bCs/>
          <w:iCs/>
          <w:szCs w:val="20"/>
          <w:lang w:bidi="he-IL"/>
        </w:rPr>
        <w:t xml:space="preserve"> Enfin, plus on avance dans le temps, plus les constructeurs et autres spécialistes de la voiture autonome prennent conscience du fait que la </w:t>
      </w:r>
      <w:r w:rsidR="00BA580B" w:rsidRPr="00AA698C">
        <w:rPr>
          <w:rFonts w:eastAsia="Times New Roman"/>
          <w:bCs/>
          <w:iCs/>
          <w:szCs w:val="20"/>
          <w:lang w:bidi="he-IL"/>
        </w:rPr>
        <w:t xml:space="preserve">mise au point définitive </w:t>
      </w:r>
      <w:r w:rsidR="00314223" w:rsidRPr="00AA698C">
        <w:rPr>
          <w:rFonts w:eastAsia="Times New Roman"/>
          <w:bCs/>
          <w:iCs/>
          <w:szCs w:val="20"/>
          <w:lang w:bidi="he-IL"/>
        </w:rPr>
        <w:t xml:space="preserve">à un coût acceptable </w:t>
      </w:r>
      <w:r w:rsidR="00BA580B" w:rsidRPr="00AA698C">
        <w:rPr>
          <w:rFonts w:eastAsia="Times New Roman"/>
          <w:bCs/>
          <w:iCs/>
          <w:szCs w:val="20"/>
          <w:lang w:bidi="he-IL"/>
        </w:rPr>
        <w:t xml:space="preserve">et, surtout, l’adoption par le </w:t>
      </w:r>
      <w:r w:rsidR="00F77E88" w:rsidRPr="00AA698C">
        <w:rPr>
          <w:rFonts w:eastAsia="Times New Roman"/>
          <w:bCs/>
          <w:iCs/>
          <w:szCs w:val="20"/>
          <w:lang w:bidi="he-IL"/>
        </w:rPr>
        <w:t xml:space="preserve">grand </w:t>
      </w:r>
      <w:r w:rsidR="00BA580B" w:rsidRPr="00AA698C">
        <w:rPr>
          <w:rFonts w:eastAsia="Times New Roman"/>
          <w:bCs/>
          <w:iCs/>
          <w:szCs w:val="20"/>
          <w:lang w:bidi="he-IL"/>
        </w:rPr>
        <w:t>public</w:t>
      </w:r>
      <w:r w:rsidR="001D689A" w:rsidRPr="00AA698C">
        <w:rPr>
          <w:rFonts w:eastAsia="Times New Roman"/>
          <w:bCs/>
          <w:iCs/>
          <w:szCs w:val="20"/>
          <w:lang w:bidi="he-IL"/>
        </w:rPr>
        <w:t xml:space="preserve"> de ce nouveau moyen de transport </w:t>
      </w:r>
      <w:r w:rsidR="00AA698C" w:rsidRPr="00AA698C">
        <w:rPr>
          <w:rFonts w:eastAsia="Times New Roman"/>
          <w:bCs/>
          <w:iCs/>
          <w:szCs w:val="20"/>
          <w:lang w:bidi="he-IL"/>
        </w:rPr>
        <w:t>risque de demander encore un certain temps</w:t>
      </w:r>
      <w:r w:rsidR="00BA580B" w:rsidRPr="00AA698C">
        <w:rPr>
          <w:rFonts w:eastAsia="Times New Roman"/>
          <w:bCs/>
          <w:iCs/>
          <w:szCs w:val="20"/>
          <w:lang w:bidi="he-IL"/>
        </w:rPr>
        <w:t>.</w:t>
      </w:r>
    </w:p>
    <w:p w14:paraId="0DC4AC67" w14:textId="77777777" w:rsidR="004C684A" w:rsidRDefault="004C684A" w:rsidP="004C4CA3">
      <w:pPr>
        <w:jc w:val="both"/>
        <w:rPr>
          <w:rFonts w:eastAsia="Times New Roman"/>
          <w:bCs/>
          <w:iCs/>
          <w:szCs w:val="20"/>
          <w:lang w:bidi="he-IL"/>
        </w:rPr>
      </w:pPr>
    </w:p>
    <w:p w14:paraId="7B266376" w14:textId="67BF63E4" w:rsidR="008A181E" w:rsidRPr="00B731EF" w:rsidRDefault="007B7BC2" w:rsidP="004C4CA3">
      <w:pPr>
        <w:jc w:val="both"/>
        <w:rPr>
          <w:rFonts w:eastAsia="Times New Roman"/>
          <w:bCs/>
          <w:iCs/>
          <w:szCs w:val="20"/>
          <w:lang w:val="x-none" w:bidi="he-IL"/>
        </w:rPr>
      </w:pPr>
      <w:r>
        <w:rPr>
          <w:rFonts w:eastAsia="Times New Roman"/>
          <w:bCs/>
          <w:iCs/>
          <w:szCs w:val="20"/>
          <w:lang w:bidi="he-IL"/>
        </w:rPr>
        <w:t>On</w:t>
      </w:r>
      <w:r w:rsidR="00A51C82" w:rsidRPr="00A51C82">
        <w:rPr>
          <w:rFonts w:eastAsia="Times New Roman"/>
          <w:bCs/>
          <w:iCs/>
          <w:szCs w:val="20"/>
          <w:lang w:val="x-none" w:bidi="he-IL"/>
        </w:rPr>
        <w:t xml:space="preserve"> peut affirmer que le foisonnement des services offerts et l’innovation permanente dans les techniques numériques </w:t>
      </w:r>
      <w:r w:rsidR="003C2E46">
        <w:rPr>
          <w:rFonts w:eastAsia="Times New Roman"/>
          <w:bCs/>
          <w:iCs/>
          <w:szCs w:val="20"/>
          <w:lang w:bidi="he-IL"/>
        </w:rPr>
        <w:t xml:space="preserve">contribueront </w:t>
      </w:r>
      <w:r w:rsidR="00A51C82" w:rsidRPr="00A51C82">
        <w:rPr>
          <w:rFonts w:eastAsia="Times New Roman"/>
          <w:bCs/>
          <w:iCs/>
          <w:szCs w:val="20"/>
          <w:lang w:val="x-none" w:bidi="he-IL"/>
        </w:rPr>
        <w:t xml:space="preserve">à intensifier l’usage de ces deux formes de partage des véhicules </w:t>
      </w:r>
      <w:r w:rsidR="006E7153">
        <w:rPr>
          <w:rFonts w:eastAsia="Times New Roman"/>
          <w:bCs/>
          <w:iCs/>
          <w:szCs w:val="20"/>
          <w:lang w:bidi="he-IL"/>
        </w:rPr>
        <w:t>que sont</w:t>
      </w:r>
      <w:r w:rsidR="00A51C82" w:rsidRPr="00A51C82">
        <w:rPr>
          <w:rFonts w:eastAsia="Times New Roman"/>
          <w:bCs/>
          <w:iCs/>
          <w:szCs w:val="20"/>
          <w:lang w:val="x-none" w:bidi="he-IL"/>
        </w:rPr>
        <w:t xml:space="preserve"> l’autopartage et le covoiturage. Mais il est peu probable qu’elles se développent beaucoup en zones urbaines où l’offre de transports en commun est bien développée. En zones péri-urbaines mal desservies par les TC, elles pourraient trouver une place plus significative. En revanche</w:t>
      </w:r>
      <w:r w:rsidR="00A51C82" w:rsidRPr="00A51C82">
        <w:rPr>
          <w:rFonts w:eastAsia="Times New Roman"/>
          <w:bCs/>
          <w:iCs/>
          <w:szCs w:val="20"/>
          <w:lang w:bidi="he-IL"/>
        </w:rPr>
        <w:t>,</w:t>
      </w:r>
      <w:r w:rsidR="00A51C82" w:rsidRPr="00A51C82">
        <w:rPr>
          <w:rFonts w:eastAsia="Times New Roman"/>
          <w:bCs/>
          <w:iCs/>
          <w:szCs w:val="20"/>
          <w:lang w:val="x-none" w:bidi="he-IL"/>
        </w:rPr>
        <w:t xml:space="preserve"> toutes les enquêtes montrent sans ambiguïté que l’autopartage comme le covoiturage incitent les urbains qui y ont régulièrement recours à se débarrasser de leur voiture personnelle ou à renoncer à une acquisition. Ce qui les conduit naturellement à utiliser plus souvent les transports en commun comme mode complémentaire ou comme substitut. Quant au véhicule autonome, il est vraisemblable que cette nouvelle révolution technique concernera d’abord les bus et autres navettes de rabattement sur les TC lourds, donc une part importante des transports en commun, avant de se généraliser à la voiture individuelle (ou collective).</w:t>
      </w:r>
    </w:p>
    <w:p w14:paraId="76733907" w14:textId="77777777" w:rsidR="004C684A" w:rsidRDefault="004C684A" w:rsidP="004C4CA3">
      <w:pPr>
        <w:jc w:val="both"/>
        <w:rPr>
          <w:rFonts w:eastAsia="Times New Roman"/>
          <w:bCs/>
          <w:iCs/>
          <w:szCs w:val="20"/>
          <w:lang w:bidi="he-IL"/>
        </w:rPr>
      </w:pPr>
    </w:p>
    <w:p w14:paraId="3D5FAB58" w14:textId="2305DD0C" w:rsidR="00A51C82" w:rsidRPr="00A51C82" w:rsidRDefault="001F1821" w:rsidP="004C4CA3">
      <w:pPr>
        <w:jc w:val="both"/>
        <w:rPr>
          <w:rFonts w:eastAsia="Times New Roman"/>
          <w:bCs/>
          <w:iCs/>
          <w:szCs w:val="20"/>
          <w:lang w:bidi="he-IL"/>
        </w:rPr>
      </w:pPr>
      <w:r w:rsidRPr="007B5D89">
        <w:rPr>
          <w:rFonts w:eastAsia="Times New Roman"/>
          <w:bCs/>
          <w:iCs/>
          <w:szCs w:val="20"/>
          <w:lang w:bidi="he-IL"/>
        </w:rPr>
        <w:t xml:space="preserve">Le </w:t>
      </w:r>
      <w:r w:rsidR="00A51C82" w:rsidRPr="007B5D89">
        <w:rPr>
          <w:rFonts w:eastAsia="Times New Roman"/>
          <w:bCs/>
          <w:iCs/>
          <w:szCs w:val="20"/>
          <w:lang w:val="x-none" w:bidi="he-IL"/>
        </w:rPr>
        <w:t>volume des déplacements des Franciliens en deux-roues (motorisés ou non) a</w:t>
      </w:r>
      <w:r w:rsidR="003667A2">
        <w:rPr>
          <w:rFonts w:eastAsia="Times New Roman"/>
          <w:bCs/>
          <w:iCs/>
          <w:szCs w:val="20"/>
          <w:lang w:bidi="he-IL"/>
        </w:rPr>
        <w:t>vait</w:t>
      </w:r>
      <w:r w:rsidR="00A51C82" w:rsidRPr="007B5D89">
        <w:rPr>
          <w:rFonts w:eastAsia="Times New Roman"/>
          <w:bCs/>
          <w:iCs/>
          <w:szCs w:val="20"/>
          <w:lang w:val="x-none" w:bidi="he-IL"/>
        </w:rPr>
        <w:t xml:space="preserve"> fortement diminué dans les années 70 et 80, passant de 1,6 million par jour de semaine</w:t>
      </w:r>
      <w:r w:rsidRPr="007B5D89">
        <w:rPr>
          <w:rFonts w:eastAsia="Times New Roman"/>
          <w:bCs/>
          <w:iCs/>
          <w:szCs w:val="20"/>
          <w:lang w:bidi="he-IL"/>
        </w:rPr>
        <w:t xml:space="preserve"> en 1976</w:t>
      </w:r>
      <w:r w:rsidR="00A51C82" w:rsidRPr="007B5D89">
        <w:rPr>
          <w:rFonts w:eastAsia="Times New Roman"/>
          <w:bCs/>
          <w:iCs/>
          <w:szCs w:val="20"/>
          <w:lang w:val="x-none" w:bidi="he-IL"/>
        </w:rPr>
        <w:t xml:space="preserve"> à 640 000 en </w:t>
      </w:r>
      <w:r w:rsidR="00A51C82" w:rsidRPr="007B5D89">
        <w:rPr>
          <w:rFonts w:eastAsia="Times New Roman"/>
          <w:bCs/>
          <w:iCs/>
          <w:szCs w:val="20"/>
          <w:lang w:val="x-none" w:bidi="he-IL"/>
        </w:rPr>
        <w:lastRenderedPageBreak/>
        <w:t>1991</w:t>
      </w:r>
      <w:r w:rsidR="00A51C82" w:rsidRPr="007B5D89">
        <w:rPr>
          <w:rFonts w:eastAsia="Times New Roman"/>
          <w:bCs/>
          <w:iCs/>
          <w:szCs w:val="20"/>
          <w:lang w:bidi="he-IL"/>
        </w:rPr>
        <w:t xml:space="preserve">, </w:t>
      </w:r>
      <w:r w:rsidR="003667A2">
        <w:rPr>
          <w:rFonts w:eastAsia="Times New Roman"/>
          <w:bCs/>
          <w:iCs/>
          <w:szCs w:val="20"/>
          <w:lang w:bidi="he-IL"/>
        </w:rPr>
        <w:t xml:space="preserve">et </w:t>
      </w:r>
      <w:r w:rsidR="00A51C82" w:rsidRPr="007B5D89">
        <w:rPr>
          <w:rFonts w:eastAsia="Times New Roman"/>
          <w:bCs/>
          <w:iCs/>
          <w:szCs w:val="20"/>
          <w:lang w:val="x-none" w:bidi="he-IL"/>
        </w:rPr>
        <w:t>est remonté depuis, avec une forte accélération à partir de 2001 pour atteindre 1,2</w:t>
      </w:r>
      <w:r w:rsidR="00887F5A" w:rsidRPr="007B5D89">
        <w:rPr>
          <w:rFonts w:eastAsia="Times New Roman"/>
          <w:bCs/>
          <w:iCs/>
          <w:szCs w:val="20"/>
          <w:lang w:bidi="he-IL"/>
        </w:rPr>
        <w:t>2</w:t>
      </w:r>
      <w:r w:rsidR="00A51C82" w:rsidRPr="007B5D89">
        <w:rPr>
          <w:rFonts w:eastAsia="Times New Roman"/>
          <w:bCs/>
          <w:iCs/>
          <w:szCs w:val="20"/>
          <w:lang w:val="x-none" w:bidi="he-IL"/>
        </w:rPr>
        <w:t xml:space="preserve"> million en 2010</w:t>
      </w:r>
      <w:r w:rsidR="00363323" w:rsidRPr="007B5D89">
        <w:rPr>
          <w:rFonts w:eastAsia="Times New Roman"/>
          <w:bCs/>
          <w:iCs/>
          <w:szCs w:val="20"/>
          <w:lang w:bidi="he-IL"/>
        </w:rPr>
        <w:t xml:space="preserve"> et 1,</w:t>
      </w:r>
      <w:r w:rsidR="00887F5A" w:rsidRPr="007B5D89">
        <w:rPr>
          <w:rFonts w:eastAsia="Times New Roman"/>
          <w:bCs/>
          <w:iCs/>
          <w:szCs w:val="20"/>
          <w:lang w:bidi="he-IL"/>
        </w:rPr>
        <w:t>26</w:t>
      </w:r>
      <w:r w:rsidR="00320BB2" w:rsidRPr="007B5D89">
        <w:rPr>
          <w:rFonts w:eastAsia="Times New Roman"/>
          <w:bCs/>
          <w:iCs/>
          <w:szCs w:val="20"/>
          <w:lang w:bidi="he-IL"/>
        </w:rPr>
        <w:t xml:space="preserve"> </w:t>
      </w:r>
      <w:r w:rsidR="00363323" w:rsidRPr="007B5D89">
        <w:rPr>
          <w:rFonts w:eastAsia="Times New Roman"/>
          <w:bCs/>
          <w:iCs/>
          <w:szCs w:val="20"/>
          <w:lang w:bidi="he-IL"/>
        </w:rPr>
        <w:t>en 2018</w:t>
      </w:r>
      <w:r w:rsidR="007B6207" w:rsidRPr="007B5D89">
        <w:rPr>
          <w:rStyle w:val="Appelnotedebasdep"/>
          <w:rFonts w:eastAsia="Times New Roman"/>
          <w:bCs/>
          <w:iCs/>
          <w:szCs w:val="20"/>
          <w:lang w:bidi="he-IL"/>
        </w:rPr>
        <w:footnoteReference w:id="18"/>
      </w:r>
      <w:r w:rsidR="00530EF8" w:rsidRPr="007B5D89">
        <w:rPr>
          <w:rFonts w:eastAsia="Times New Roman"/>
          <w:bCs/>
          <w:iCs/>
          <w:szCs w:val="20"/>
          <w:lang w:bidi="he-IL"/>
        </w:rPr>
        <w:t xml:space="preserve">, </w:t>
      </w:r>
      <w:r w:rsidRPr="007B5D89">
        <w:rPr>
          <w:rFonts w:eastAsia="Times New Roman"/>
          <w:bCs/>
          <w:iCs/>
          <w:szCs w:val="20"/>
          <w:lang w:bidi="he-IL"/>
        </w:rPr>
        <w:t>soit</w:t>
      </w:r>
      <w:r w:rsidR="00530EF8" w:rsidRPr="007B5D89">
        <w:rPr>
          <w:rFonts w:eastAsia="Times New Roman"/>
          <w:bCs/>
          <w:iCs/>
          <w:szCs w:val="20"/>
          <w:lang w:bidi="he-IL"/>
        </w:rPr>
        <w:t xml:space="preserve"> encore 20% de moins qu’en </w:t>
      </w:r>
      <w:r w:rsidRPr="007B5D89">
        <w:rPr>
          <w:rFonts w:eastAsia="Times New Roman"/>
          <w:bCs/>
          <w:iCs/>
          <w:szCs w:val="20"/>
          <w:lang w:bidi="he-IL"/>
        </w:rPr>
        <w:t xml:space="preserve">1976. </w:t>
      </w:r>
      <w:r w:rsidR="00530EF8" w:rsidRPr="007B5D89">
        <w:rPr>
          <w:rFonts w:eastAsia="Times New Roman"/>
          <w:bCs/>
          <w:iCs/>
          <w:szCs w:val="20"/>
          <w:lang w:val="x-none" w:bidi="he-IL"/>
        </w:rPr>
        <w:t xml:space="preserve">Actuellement, </w:t>
      </w:r>
      <w:r w:rsidR="00530EF8" w:rsidRPr="007B5D89">
        <w:rPr>
          <w:rFonts w:eastAsia="Times New Roman"/>
          <w:bCs/>
          <w:iCs/>
          <w:szCs w:val="20"/>
          <w:lang w:bidi="he-IL"/>
        </w:rPr>
        <w:t xml:space="preserve">cela </w:t>
      </w:r>
      <w:r w:rsidR="00A51C82" w:rsidRPr="007B5D89">
        <w:rPr>
          <w:rFonts w:eastAsia="Times New Roman"/>
          <w:bCs/>
          <w:iCs/>
          <w:szCs w:val="20"/>
          <w:lang w:val="x-none" w:bidi="he-IL"/>
        </w:rPr>
        <w:t xml:space="preserve">ne représente que </w:t>
      </w:r>
      <w:r w:rsidRPr="007B5D89">
        <w:rPr>
          <w:rFonts w:eastAsia="Times New Roman"/>
          <w:bCs/>
          <w:iCs/>
          <w:szCs w:val="20"/>
          <w:lang w:bidi="he-IL"/>
        </w:rPr>
        <w:t xml:space="preserve">2,9% </w:t>
      </w:r>
      <w:r w:rsidR="00A51C82" w:rsidRPr="007B5D89">
        <w:rPr>
          <w:rFonts w:eastAsia="Times New Roman"/>
          <w:bCs/>
          <w:iCs/>
          <w:szCs w:val="20"/>
          <w:lang w:val="x-none" w:bidi="he-IL"/>
        </w:rPr>
        <w:t>du total tous modes en Île-de-France</w:t>
      </w:r>
      <w:r w:rsidRPr="007B5D89">
        <w:rPr>
          <w:rStyle w:val="Appelnotedebasdep"/>
          <w:rFonts w:eastAsia="Times New Roman"/>
          <w:bCs/>
          <w:iCs/>
          <w:szCs w:val="20"/>
          <w:lang w:val="x-none" w:bidi="he-IL"/>
        </w:rPr>
        <w:footnoteReference w:id="19"/>
      </w:r>
      <w:r w:rsidR="00A51C82" w:rsidRPr="007B5D89">
        <w:rPr>
          <w:rFonts w:eastAsia="Times New Roman"/>
          <w:bCs/>
          <w:iCs/>
          <w:szCs w:val="20"/>
          <w:lang w:val="x-none" w:bidi="he-IL"/>
        </w:rPr>
        <w:t xml:space="preserve">, et </w:t>
      </w:r>
      <w:r w:rsidR="00091723" w:rsidRPr="007B5D89">
        <w:rPr>
          <w:rFonts w:eastAsia="Times New Roman"/>
          <w:bCs/>
          <w:iCs/>
          <w:szCs w:val="20"/>
          <w:lang w:bidi="he-IL"/>
        </w:rPr>
        <w:t xml:space="preserve">4,9% </w:t>
      </w:r>
      <w:r w:rsidR="00A51C82" w:rsidRPr="007B5D89">
        <w:rPr>
          <w:rFonts w:eastAsia="Times New Roman"/>
          <w:bCs/>
          <w:iCs/>
          <w:szCs w:val="20"/>
          <w:lang w:val="x-none" w:bidi="he-IL"/>
        </w:rPr>
        <w:t xml:space="preserve">des seuls modes </w:t>
      </w:r>
      <w:r w:rsidR="00091723" w:rsidRPr="007B5D89">
        <w:rPr>
          <w:rFonts w:eastAsia="Times New Roman"/>
          <w:bCs/>
          <w:iCs/>
          <w:szCs w:val="20"/>
          <w:lang w:val="x-none" w:bidi="he-IL"/>
        </w:rPr>
        <w:t>mécanisés.</w:t>
      </w:r>
      <w:r w:rsidR="00A51C82" w:rsidRPr="007B5D89">
        <w:rPr>
          <w:rFonts w:eastAsia="Times New Roman"/>
          <w:bCs/>
          <w:iCs/>
          <w:szCs w:val="20"/>
          <w:lang w:val="x-none" w:bidi="he-IL"/>
        </w:rPr>
        <w:t xml:space="preserve"> </w:t>
      </w:r>
      <w:r w:rsidR="00E73D51" w:rsidRPr="007B5D89">
        <w:rPr>
          <w:rFonts w:eastAsia="Times New Roman"/>
          <w:bCs/>
          <w:iCs/>
          <w:szCs w:val="20"/>
          <w:lang w:bidi="he-IL"/>
        </w:rPr>
        <w:t>En revanche, les</w:t>
      </w:r>
      <w:r w:rsidR="00091723" w:rsidRPr="007B5D89">
        <w:rPr>
          <w:rFonts w:eastAsia="Times New Roman"/>
          <w:bCs/>
          <w:iCs/>
          <w:szCs w:val="20"/>
          <w:lang w:bidi="he-IL"/>
        </w:rPr>
        <w:t xml:space="preserve"> </w:t>
      </w:r>
      <w:r w:rsidR="00A51C82" w:rsidRPr="007B5D89">
        <w:rPr>
          <w:rFonts w:eastAsia="Times New Roman"/>
          <w:bCs/>
          <w:iCs/>
          <w:szCs w:val="20"/>
          <w:lang w:val="x-none" w:bidi="he-IL"/>
        </w:rPr>
        <w:t xml:space="preserve">déplacements </w:t>
      </w:r>
      <w:r w:rsidR="001E5F6B" w:rsidRPr="007B5D89">
        <w:rPr>
          <w:rFonts w:eastAsia="Times New Roman"/>
          <w:bCs/>
          <w:iCs/>
          <w:szCs w:val="20"/>
          <w:lang w:val="x-none" w:bidi="he-IL"/>
        </w:rPr>
        <w:t>à</w:t>
      </w:r>
      <w:r w:rsidR="00A51C82" w:rsidRPr="007B5D89">
        <w:rPr>
          <w:rFonts w:eastAsia="Times New Roman"/>
          <w:bCs/>
          <w:iCs/>
          <w:szCs w:val="20"/>
          <w:lang w:val="x-none" w:bidi="he-IL"/>
        </w:rPr>
        <w:t xml:space="preserve"> vélo ont continué de croître rapidement</w:t>
      </w:r>
      <w:r w:rsidR="00E73D51" w:rsidRPr="007B5D89">
        <w:rPr>
          <w:rFonts w:eastAsia="Times New Roman"/>
          <w:bCs/>
          <w:iCs/>
          <w:szCs w:val="20"/>
          <w:lang w:val="x-none" w:bidi="he-IL"/>
        </w:rPr>
        <w:t xml:space="preserve"> </w:t>
      </w:r>
      <w:r w:rsidR="00E73D51" w:rsidRPr="007B5D89">
        <w:rPr>
          <w:rFonts w:eastAsia="Times New Roman"/>
          <w:bCs/>
          <w:iCs/>
          <w:szCs w:val="20"/>
          <w:lang w:bidi="he-IL"/>
        </w:rPr>
        <w:t>(+</w:t>
      </w:r>
      <w:r w:rsidR="00091723" w:rsidRPr="007B5D89">
        <w:rPr>
          <w:rFonts w:eastAsia="Times New Roman"/>
          <w:bCs/>
          <w:iCs/>
          <w:szCs w:val="20"/>
          <w:lang w:bidi="he-IL"/>
        </w:rPr>
        <w:t>30 %</w:t>
      </w:r>
      <w:r w:rsidR="00E73D51" w:rsidRPr="007B5D89">
        <w:rPr>
          <w:rFonts w:eastAsia="Times New Roman"/>
          <w:bCs/>
          <w:iCs/>
          <w:szCs w:val="20"/>
          <w:lang w:bidi="he-IL"/>
        </w:rPr>
        <w:t>)</w:t>
      </w:r>
      <w:r w:rsidR="00091723" w:rsidRPr="007B5D89">
        <w:rPr>
          <w:rFonts w:eastAsia="Times New Roman"/>
          <w:bCs/>
          <w:iCs/>
          <w:szCs w:val="20"/>
          <w:lang w:bidi="he-IL"/>
        </w:rPr>
        <w:t xml:space="preserve"> entre </w:t>
      </w:r>
      <w:r w:rsidR="00A51C82" w:rsidRPr="007B5D89">
        <w:rPr>
          <w:rFonts w:eastAsia="Times New Roman"/>
          <w:bCs/>
          <w:iCs/>
          <w:szCs w:val="20"/>
          <w:lang w:val="x-none" w:bidi="he-IL"/>
        </w:rPr>
        <w:t>2010</w:t>
      </w:r>
      <w:r w:rsidR="00091723" w:rsidRPr="007B5D89">
        <w:rPr>
          <w:rFonts w:eastAsia="Times New Roman"/>
          <w:bCs/>
          <w:iCs/>
          <w:szCs w:val="20"/>
          <w:lang w:bidi="he-IL"/>
        </w:rPr>
        <w:t xml:space="preserve"> et 2018</w:t>
      </w:r>
      <w:r w:rsidR="00D140B9" w:rsidRPr="007B5D89">
        <w:rPr>
          <w:rFonts w:eastAsia="Times New Roman"/>
          <w:bCs/>
          <w:iCs/>
          <w:szCs w:val="20"/>
          <w:lang w:bidi="he-IL"/>
        </w:rPr>
        <w:t>, mais il</w:t>
      </w:r>
      <w:r w:rsidR="0000300E" w:rsidRPr="007B5D89">
        <w:rPr>
          <w:rFonts w:eastAsia="Times New Roman"/>
          <w:bCs/>
          <w:iCs/>
          <w:szCs w:val="20"/>
          <w:lang w:bidi="he-IL"/>
        </w:rPr>
        <w:t>s</w:t>
      </w:r>
      <w:r w:rsidR="00D140B9" w:rsidRPr="007B5D89">
        <w:rPr>
          <w:rFonts w:eastAsia="Times New Roman"/>
          <w:bCs/>
          <w:iCs/>
          <w:szCs w:val="20"/>
          <w:lang w:bidi="he-IL"/>
        </w:rPr>
        <w:t xml:space="preserve"> ne représente</w:t>
      </w:r>
      <w:r w:rsidR="0000300E" w:rsidRPr="007B5D89">
        <w:rPr>
          <w:rFonts w:eastAsia="Times New Roman"/>
          <w:bCs/>
          <w:iCs/>
          <w:szCs w:val="20"/>
          <w:lang w:bidi="he-IL"/>
        </w:rPr>
        <w:t>nt</w:t>
      </w:r>
      <w:r w:rsidR="00D140B9" w:rsidRPr="007B5D89">
        <w:rPr>
          <w:rFonts w:eastAsia="Times New Roman"/>
          <w:bCs/>
          <w:iCs/>
          <w:szCs w:val="20"/>
          <w:lang w:bidi="he-IL"/>
        </w:rPr>
        <w:t xml:space="preserve"> encore que</w:t>
      </w:r>
      <w:r w:rsidR="00951C2A" w:rsidRPr="007B5D89">
        <w:rPr>
          <w:rFonts w:eastAsia="Times New Roman"/>
          <w:bCs/>
          <w:iCs/>
          <w:szCs w:val="20"/>
          <w:lang w:bidi="he-IL"/>
        </w:rPr>
        <w:t xml:space="preserve"> 2% du total des déplacements des Franciliens</w:t>
      </w:r>
      <w:r w:rsidR="0087771B" w:rsidRPr="007B5D89">
        <w:rPr>
          <w:rFonts w:eastAsia="Times New Roman"/>
          <w:bCs/>
          <w:iCs/>
          <w:szCs w:val="20"/>
          <w:lang w:bidi="he-IL"/>
        </w:rPr>
        <w:t xml:space="preserve"> et 4 % des déplacements domicile-travail</w:t>
      </w:r>
      <w:r w:rsidR="00951C2A" w:rsidRPr="007B5D89">
        <w:rPr>
          <w:rFonts w:eastAsia="Times New Roman"/>
          <w:bCs/>
          <w:iCs/>
          <w:szCs w:val="20"/>
          <w:lang w:bidi="he-IL"/>
        </w:rPr>
        <w:t>.</w:t>
      </w:r>
      <w:r w:rsidR="00A51C82" w:rsidRPr="007B5D89">
        <w:rPr>
          <w:rFonts w:eastAsia="Times New Roman"/>
          <w:bCs/>
          <w:iCs/>
          <w:szCs w:val="20"/>
          <w:lang w:val="x-none" w:bidi="he-IL"/>
        </w:rPr>
        <w:t xml:space="preserve"> Le vélo est surtout un mode de déplacement de proximité avec une portée moyenne de 2 km, contre 7 km pour l’ensemble des modes mécanisés et plus de 11 km pour les déplacements « domicile-travail »</w:t>
      </w:r>
      <w:r w:rsidR="00DB59DD" w:rsidRPr="007B5D89">
        <w:rPr>
          <w:rStyle w:val="Appelnotedebasdep"/>
          <w:rFonts w:eastAsia="Times New Roman"/>
          <w:bCs/>
          <w:iCs/>
          <w:szCs w:val="20"/>
          <w:lang w:val="x-none" w:bidi="he-IL"/>
        </w:rPr>
        <w:footnoteReference w:id="20"/>
      </w:r>
      <w:r w:rsidR="00A51C82" w:rsidRPr="007B5D89">
        <w:rPr>
          <w:rFonts w:eastAsia="Times New Roman"/>
          <w:bCs/>
          <w:iCs/>
          <w:szCs w:val="20"/>
          <w:lang w:val="x-none" w:bidi="he-IL"/>
        </w:rPr>
        <w:t xml:space="preserve">. </w:t>
      </w:r>
      <w:r w:rsidR="00A51C82" w:rsidRPr="007B5D89">
        <w:rPr>
          <w:rFonts w:eastAsia="Times New Roman"/>
          <w:bCs/>
          <w:iCs/>
          <w:szCs w:val="20"/>
          <w:lang w:bidi="he-IL"/>
        </w:rPr>
        <w:t>L</w:t>
      </w:r>
      <w:r w:rsidR="00A51C82" w:rsidRPr="007B5D89">
        <w:rPr>
          <w:rFonts w:eastAsia="Times New Roman"/>
          <w:bCs/>
          <w:iCs/>
          <w:szCs w:val="20"/>
          <w:lang w:val="x-none" w:bidi="he-IL"/>
        </w:rPr>
        <w:t xml:space="preserve">’usage utilitaire du vélo peut jouer un rôle essentiel, dans une logique de complémentarité, comme mode d’accès aux principales gares d’un réseau ferré de transports en commun en zone urbaine et périurbaine. </w:t>
      </w:r>
      <w:r w:rsidR="00DB59DD" w:rsidRPr="007B5D89">
        <w:rPr>
          <w:rFonts w:eastAsia="Times New Roman"/>
          <w:bCs/>
          <w:iCs/>
          <w:szCs w:val="20"/>
          <w:lang w:bidi="he-IL"/>
        </w:rPr>
        <w:t>On a observé, en 2018, que 90</w:t>
      </w:r>
      <w:r w:rsidR="0084080B">
        <w:rPr>
          <w:rFonts w:eastAsia="Times New Roman"/>
          <w:bCs/>
          <w:iCs/>
          <w:szCs w:val="20"/>
          <w:lang w:bidi="he-IL"/>
        </w:rPr>
        <w:t> </w:t>
      </w:r>
      <w:r w:rsidR="00DB59DD" w:rsidRPr="007B5D89">
        <w:rPr>
          <w:rFonts w:eastAsia="Times New Roman"/>
          <w:bCs/>
          <w:iCs/>
          <w:szCs w:val="20"/>
          <w:lang w:bidi="he-IL"/>
        </w:rPr>
        <w:t xml:space="preserve">000 trajets à vélo </w:t>
      </w:r>
      <w:r w:rsidR="00951C2A" w:rsidRPr="007B5D89">
        <w:rPr>
          <w:rFonts w:eastAsia="Times New Roman"/>
          <w:bCs/>
          <w:iCs/>
          <w:szCs w:val="20"/>
          <w:lang w:bidi="he-IL"/>
        </w:rPr>
        <w:t xml:space="preserve">étaient </w:t>
      </w:r>
      <w:r w:rsidR="00DB59DD" w:rsidRPr="007B5D89">
        <w:rPr>
          <w:rFonts w:eastAsia="Times New Roman"/>
          <w:bCs/>
          <w:iCs/>
          <w:szCs w:val="20"/>
          <w:lang w:bidi="he-IL"/>
        </w:rPr>
        <w:t>combinés avec l</w:t>
      </w:r>
      <w:r w:rsidR="00951C2A" w:rsidRPr="007B5D89">
        <w:rPr>
          <w:rFonts w:eastAsia="Times New Roman"/>
          <w:bCs/>
          <w:iCs/>
          <w:szCs w:val="20"/>
          <w:lang w:bidi="he-IL"/>
        </w:rPr>
        <w:t>’usage d</w:t>
      </w:r>
      <w:r w:rsidR="00DB59DD" w:rsidRPr="007B5D89">
        <w:rPr>
          <w:rFonts w:eastAsia="Times New Roman"/>
          <w:bCs/>
          <w:iCs/>
          <w:szCs w:val="20"/>
          <w:lang w:bidi="he-IL"/>
        </w:rPr>
        <w:t>es transports collectifs</w:t>
      </w:r>
      <w:r w:rsidR="00DB59DD" w:rsidRPr="007B5D89">
        <w:rPr>
          <w:rStyle w:val="Appelnotedebasdep"/>
          <w:rFonts w:eastAsia="Times New Roman"/>
          <w:bCs/>
          <w:iCs/>
          <w:szCs w:val="20"/>
          <w:lang w:bidi="he-IL"/>
        </w:rPr>
        <w:footnoteReference w:id="21"/>
      </w:r>
      <w:r w:rsidR="00DB59DD" w:rsidRPr="007B5D89">
        <w:rPr>
          <w:rFonts w:eastAsia="Times New Roman"/>
          <w:bCs/>
          <w:iCs/>
          <w:szCs w:val="20"/>
          <w:lang w:bidi="he-IL"/>
        </w:rPr>
        <w:t xml:space="preserve">. </w:t>
      </w:r>
      <w:r w:rsidR="007B7BC2" w:rsidRPr="007B5D89">
        <w:rPr>
          <w:rFonts w:eastAsia="Times New Roman"/>
          <w:bCs/>
          <w:iCs/>
          <w:szCs w:val="20"/>
          <w:lang w:bidi="he-IL"/>
        </w:rPr>
        <w:t xml:space="preserve">Le </w:t>
      </w:r>
      <w:r w:rsidR="007B7BC2" w:rsidRPr="007B5D89">
        <w:rPr>
          <w:rFonts w:eastAsia="Times New Roman"/>
          <w:bCs/>
          <w:iCs/>
          <w:szCs w:val="20"/>
          <w:lang w:val="x-none" w:bidi="he-IL"/>
        </w:rPr>
        <w:t>développement</w:t>
      </w:r>
      <w:r w:rsidR="00661AD7" w:rsidRPr="007B5D89">
        <w:rPr>
          <w:rFonts w:eastAsia="Times New Roman"/>
          <w:bCs/>
          <w:iCs/>
          <w:szCs w:val="20"/>
          <w:lang w:val="x-none" w:bidi="he-IL"/>
        </w:rPr>
        <w:t xml:space="preserve"> de l'usage du vélo en ville fait partie des priorités de nombreuses collectivités locales, qui aménagent et sécurisent les itinéraires. Le développement du vélo à assistance électrique ne peut qu'encourager ces politiques, qui concernent à la fois les vélos individuels et les vélos en libre-service. Le vélo concurrence la marche à pied et constitue une alternative à la voiture particulière pour les petites distances. Il peut se substituer à des parcours de rabattement effectués en bus, mais il n'est pas en concurrence avec le réseau TC structurant et </w:t>
      </w:r>
      <w:r w:rsidR="00661AD7" w:rsidRPr="007B5D89">
        <w:rPr>
          <w:rFonts w:eastAsia="Times New Roman"/>
          <w:bCs/>
          <w:iCs/>
          <w:szCs w:val="20"/>
          <w:lang w:bidi="he-IL"/>
        </w:rPr>
        <w:t>performant</w:t>
      </w:r>
      <w:r w:rsidR="00661AD7" w:rsidRPr="007B5D89">
        <w:rPr>
          <w:rFonts w:eastAsia="Times New Roman"/>
          <w:bCs/>
          <w:iCs/>
          <w:szCs w:val="20"/>
          <w:lang w:val="x-none" w:bidi="he-IL"/>
        </w:rPr>
        <w:t>.</w:t>
      </w:r>
      <w:r w:rsidR="0087771B" w:rsidRPr="007B5D89">
        <w:rPr>
          <w:rFonts w:eastAsia="Times New Roman"/>
          <w:bCs/>
          <w:iCs/>
          <w:szCs w:val="20"/>
          <w:lang w:bidi="he-IL"/>
        </w:rPr>
        <w:t xml:space="preserve"> En revanche, il est dorénavant concurrencé par la trottinette, notamment électrique, en particulier dans Paris.</w:t>
      </w:r>
      <w:r w:rsidR="00661AD7" w:rsidRPr="007B5D89">
        <w:rPr>
          <w:rFonts w:eastAsia="Times New Roman"/>
          <w:bCs/>
          <w:iCs/>
          <w:szCs w:val="20"/>
          <w:lang w:bidi="he-IL"/>
        </w:rPr>
        <w:t xml:space="preserve"> </w:t>
      </w:r>
      <w:r w:rsidR="00A51C82" w:rsidRPr="007B5D89">
        <w:rPr>
          <w:rFonts w:eastAsia="Times New Roman"/>
          <w:bCs/>
          <w:iCs/>
          <w:szCs w:val="20"/>
          <w:lang w:val="x-none" w:bidi="he-IL"/>
        </w:rPr>
        <w:t xml:space="preserve">Dans un rapport sur les transports urbains de l’ex-Commissariat Général au Plan, les auteurs considèrent que le vélo multiplierait « par 15 la zone de </w:t>
      </w:r>
      <w:r w:rsidR="00A51C82" w:rsidRPr="00A51C82">
        <w:rPr>
          <w:rFonts w:eastAsia="Times New Roman"/>
          <w:bCs/>
          <w:iCs/>
          <w:szCs w:val="20"/>
          <w:lang w:val="x-none" w:bidi="he-IL"/>
        </w:rPr>
        <w:t xml:space="preserve">chalandise d’une station de métro ou d’une gare ». Le vélo à assistance électrique pourrait conquérir la moitié du parc des bicyclettes utilitaires d’ici à 2040. </w:t>
      </w:r>
    </w:p>
    <w:p w14:paraId="0A2F50F0" w14:textId="32FDD38D" w:rsidR="00935A39" w:rsidRPr="002D4874" w:rsidRDefault="00A51C82" w:rsidP="00225D2D">
      <w:pPr>
        <w:keepNext/>
        <w:keepLines/>
        <w:spacing w:before="200"/>
        <w:jc w:val="both"/>
        <w:rPr>
          <w:rFonts w:eastAsia="Times New Roman"/>
          <w:bCs/>
          <w:iCs/>
          <w:szCs w:val="20"/>
          <w:lang w:bidi="he-IL"/>
        </w:rPr>
      </w:pPr>
      <w:r w:rsidRPr="007B5D89">
        <w:rPr>
          <w:rFonts w:eastAsia="Times New Roman"/>
          <w:bCs/>
          <w:iCs/>
          <w:szCs w:val="20"/>
          <w:lang w:val="x-none" w:bidi="he-IL"/>
        </w:rPr>
        <w:t xml:space="preserve">La part des ménages possédant au moins un deux-roues motorisé varie entre 7% dans Paris et 14% dans les « autres territoires » au-delà de l’agglomération centrale. </w:t>
      </w:r>
      <w:r w:rsidRPr="007B5D89">
        <w:rPr>
          <w:rFonts w:eastAsia="Times New Roman"/>
          <w:bCs/>
          <w:iCs/>
          <w:szCs w:val="20"/>
          <w:lang w:bidi="he-IL"/>
        </w:rPr>
        <w:t>La</w:t>
      </w:r>
      <w:r w:rsidRPr="007B5D89">
        <w:rPr>
          <w:rFonts w:eastAsia="Times New Roman"/>
          <w:bCs/>
          <w:iCs/>
          <w:szCs w:val="20"/>
          <w:lang w:val="x-none" w:bidi="he-IL"/>
        </w:rPr>
        <w:t xml:space="preserve"> mobilité individuelle des Parisiens pour ce mode est trois fois supérieure à celle des résidents des autres territoires</w:t>
      </w:r>
      <w:r w:rsidR="00E6725F" w:rsidRPr="007B5D89">
        <w:rPr>
          <w:rFonts w:eastAsia="Times New Roman"/>
          <w:bCs/>
          <w:iCs/>
          <w:szCs w:val="20"/>
          <w:lang w:bidi="he-IL"/>
        </w:rPr>
        <w:t>, mais elle est en baisse depuis 2010</w:t>
      </w:r>
      <w:r w:rsidRPr="007B5D89">
        <w:rPr>
          <w:rFonts w:eastAsia="Times New Roman"/>
          <w:bCs/>
          <w:iCs/>
          <w:szCs w:val="20"/>
          <w:lang w:val="x-none" w:bidi="he-IL"/>
        </w:rPr>
        <w:t>. En moyenne, les déplacements en deux-roues motorisés ont des portées et des durées à peu près équivalentes à celles des voitures. Le parc total des Franciliens est proche des 500</w:t>
      </w:r>
      <w:r w:rsidR="0084080B">
        <w:rPr>
          <w:rFonts w:eastAsia="Times New Roman"/>
          <w:bCs/>
          <w:iCs/>
          <w:szCs w:val="20"/>
          <w:lang w:bidi="he-IL"/>
        </w:rPr>
        <w:t> </w:t>
      </w:r>
      <w:r w:rsidRPr="007B5D89">
        <w:rPr>
          <w:rFonts w:eastAsia="Times New Roman"/>
          <w:bCs/>
          <w:iCs/>
          <w:szCs w:val="20"/>
          <w:lang w:val="x-none" w:bidi="he-IL"/>
        </w:rPr>
        <w:t>000 véhicules et leur volume de trafic</w:t>
      </w:r>
      <w:r w:rsidR="0003254E" w:rsidRPr="007B5D89">
        <w:rPr>
          <w:rFonts w:eastAsia="Times New Roman"/>
          <w:bCs/>
          <w:iCs/>
          <w:szCs w:val="20"/>
          <w:lang w:bidi="he-IL"/>
        </w:rPr>
        <w:t xml:space="preserve"> </w:t>
      </w:r>
      <w:r w:rsidR="003667A2">
        <w:rPr>
          <w:rFonts w:eastAsia="Times New Roman"/>
          <w:bCs/>
          <w:iCs/>
          <w:szCs w:val="20"/>
          <w:lang w:bidi="he-IL"/>
        </w:rPr>
        <w:t>était, jusqu</w:t>
      </w:r>
      <w:r w:rsidR="002D4874">
        <w:rPr>
          <w:rFonts w:eastAsia="Times New Roman"/>
          <w:bCs/>
          <w:iCs/>
          <w:szCs w:val="20"/>
          <w:lang w:bidi="he-IL"/>
        </w:rPr>
        <w:t>’à une période récente,</w:t>
      </w:r>
      <w:r w:rsidR="0003254E" w:rsidRPr="007B5D89">
        <w:rPr>
          <w:rFonts w:eastAsia="Times New Roman"/>
          <w:bCs/>
          <w:iCs/>
          <w:szCs w:val="20"/>
          <w:lang w:bidi="he-IL"/>
        </w:rPr>
        <w:t xml:space="preserve"> en recul depuis 2010</w:t>
      </w:r>
      <w:r w:rsidRPr="007B5D89">
        <w:rPr>
          <w:rFonts w:eastAsia="Times New Roman"/>
          <w:bCs/>
          <w:iCs/>
          <w:szCs w:val="20"/>
          <w:lang w:val="x-none" w:bidi="he-IL"/>
        </w:rPr>
        <w:t xml:space="preserve">, </w:t>
      </w:r>
      <w:r w:rsidR="0003254E" w:rsidRPr="007B5D89">
        <w:rPr>
          <w:rFonts w:eastAsia="Times New Roman"/>
          <w:bCs/>
          <w:iCs/>
          <w:szCs w:val="20"/>
          <w:lang w:bidi="he-IL"/>
        </w:rPr>
        <w:t xml:space="preserve">et </w:t>
      </w:r>
      <w:r w:rsidRPr="007B5D89">
        <w:rPr>
          <w:rFonts w:eastAsia="Times New Roman"/>
          <w:bCs/>
          <w:iCs/>
          <w:szCs w:val="20"/>
          <w:lang w:val="x-none" w:bidi="he-IL"/>
        </w:rPr>
        <w:t>ne représent</w:t>
      </w:r>
      <w:r w:rsidR="002D4874">
        <w:rPr>
          <w:rFonts w:eastAsia="Times New Roman"/>
          <w:bCs/>
          <w:iCs/>
          <w:szCs w:val="20"/>
          <w:lang w:bidi="he-IL"/>
        </w:rPr>
        <w:t>ait</w:t>
      </w:r>
      <w:r w:rsidRPr="007B5D89">
        <w:rPr>
          <w:rFonts w:eastAsia="Times New Roman"/>
          <w:bCs/>
          <w:iCs/>
          <w:szCs w:val="20"/>
          <w:lang w:val="x-none" w:bidi="he-IL"/>
        </w:rPr>
        <w:t xml:space="preserve"> que moins de </w:t>
      </w:r>
      <w:r w:rsidR="00584DDC" w:rsidRPr="007B5D89">
        <w:rPr>
          <w:rFonts w:eastAsia="Times New Roman"/>
          <w:bCs/>
          <w:iCs/>
          <w:szCs w:val="20"/>
          <w:lang w:bidi="he-IL"/>
        </w:rPr>
        <w:t xml:space="preserve">1% </w:t>
      </w:r>
      <w:r w:rsidRPr="007B5D89">
        <w:rPr>
          <w:rFonts w:eastAsia="Times New Roman"/>
          <w:bCs/>
          <w:iCs/>
          <w:szCs w:val="20"/>
          <w:lang w:val="x-none" w:bidi="he-IL"/>
        </w:rPr>
        <w:t>du total des déplacements quotidiens</w:t>
      </w:r>
      <w:r w:rsidR="0003254E" w:rsidRPr="007B5D89">
        <w:rPr>
          <w:rFonts w:eastAsia="Times New Roman"/>
          <w:bCs/>
          <w:iCs/>
          <w:szCs w:val="20"/>
          <w:lang w:bidi="he-IL"/>
        </w:rPr>
        <w:t xml:space="preserve"> en 2018</w:t>
      </w:r>
      <w:r w:rsidRPr="007B5D89">
        <w:rPr>
          <w:rFonts w:eastAsia="Times New Roman"/>
          <w:bCs/>
          <w:iCs/>
          <w:szCs w:val="20"/>
          <w:lang w:val="x-none" w:bidi="he-IL"/>
        </w:rPr>
        <w:t xml:space="preserve">, </w:t>
      </w:r>
      <w:r w:rsidRPr="007B5D89">
        <w:rPr>
          <w:rFonts w:eastAsia="Times New Roman"/>
          <w:bCs/>
          <w:iCs/>
          <w:strike/>
          <w:szCs w:val="20"/>
          <w:lang w:val="x-none" w:bidi="he-IL"/>
        </w:rPr>
        <w:t>a</w:t>
      </w:r>
      <w:r w:rsidRPr="007B5D89">
        <w:rPr>
          <w:rFonts w:eastAsia="Times New Roman"/>
          <w:bCs/>
          <w:iCs/>
          <w:szCs w:val="20"/>
          <w:lang w:val="x-none" w:bidi="he-IL"/>
        </w:rPr>
        <w:t xml:space="preserve"> </w:t>
      </w:r>
      <w:r w:rsidR="0003254E" w:rsidRPr="007B5D89">
        <w:rPr>
          <w:rFonts w:eastAsia="Times New Roman"/>
          <w:bCs/>
          <w:iCs/>
          <w:szCs w:val="20"/>
          <w:lang w:bidi="he-IL"/>
        </w:rPr>
        <w:t xml:space="preserve">après avoir </w:t>
      </w:r>
      <w:r w:rsidRPr="007B5D89">
        <w:rPr>
          <w:rFonts w:eastAsia="Times New Roman"/>
          <w:bCs/>
          <w:iCs/>
          <w:szCs w:val="20"/>
          <w:lang w:val="x-none" w:bidi="he-IL"/>
        </w:rPr>
        <w:t xml:space="preserve">augmenté d’environ 30% sur la période 2001-2010. Cette </w:t>
      </w:r>
      <w:r w:rsidR="002D4874">
        <w:rPr>
          <w:rFonts w:eastAsia="Times New Roman"/>
          <w:bCs/>
          <w:iCs/>
          <w:szCs w:val="20"/>
          <w:lang w:bidi="he-IL"/>
        </w:rPr>
        <w:t>tendance devra également être réappréciée à la lumière de la période récente.</w:t>
      </w:r>
    </w:p>
    <w:p w14:paraId="7DA04AF4" w14:textId="77777777" w:rsidR="002D4874" w:rsidRDefault="00935A39" w:rsidP="00225D2D">
      <w:pPr>
        <w:keepNext/>
        <w:keepLines/>
        <w:spacing w:before="200"/>
        <w:jc w:val="both"/>
        <w:rPr>
          <w:rFonts w:eastAsia="Times New Roman"/>
          <w:bCs/>
          <w:iCs/>
          <w:szCs w:val="20"/>
          <w:lang w:val="x-none" w:bidi="he-IL"/>
        </w:rPr>
      </w:pPr>
      <w:r w:rsidRPr="007B5D89">
        <w:rPr>
          <w:rFonts w:eastAsia="Times New Roman"/>
          <w:bCs/>
          <w:iCs/>
          <w:szCs w:val="20"/>
          <w:lang w:val="x-none" w:bidi="he-IL"/>
        </w:rPr>
        <w:t xml:space="preserve">D’autres moyens de transport individuels, électriques ou avec assistance électrique, tels que les trottinettes, gyropodes, planches à roulettes, etc. </w:t>
      </w:r>
      <w:r w:rsidRPr="007B5D89">
        <w:rPr>
          <w:rFonts w:eastAsia="Times New Roman"/>
          <w:bCs/>
          <w:iCs/>
          <w:szCs w:val="20"/>
          <w:lang w:bidi="he-IL"/>
        </w:rPr>
        <w:t>se développent rapidement</w:t>
      </w:r>
      <w:r w:rsidRPr="007B5D89">
        <w:rPr>
          <w:rFonts w:eastAsia="Times New Roman"/>
          <w:bCs/>
          <w:iCs/>
          <w:szCs w:val="20"/>
          <w:lang w:val="x-none" w:bidi="he-IL"/>
        </w:rPr>
        <w:t xml:space="preserve">. On </w:t>
      </w:r>
      <w:r w:rsidRPr="007B5D89">
        <w:rPr>
          <w:rFonts w:eastAsia="Times New Roman"/>
          <w:bCs/>
          <w:iCs/>
          <w:szCs w:val="20"/>
          <w:lang w:bidi="he-IL"/>
        </w:rPr>
        <w:t xml:space="preserve">ne </w:t>
      </w:r>
      <w:r w:rsidRPr="007B5D89">
        <w:rPr>
          <w:rFonts w:eastAsia="Times New Roman"/>
          <w:bCs/>
          <w:iCs/>
          <w:szCs w:val="20"/>
          <w:lang w:val="x-none" w:bidi="he-IL"/>
        </w:rPr>
        <w:t xml:space="preserve">dispose </w:t>
      </w:r>
      <w:r w:rsidRPr="007B5D89">
        <w:rPr>
          <w:rFonts w:eastAsia="Times New Roman"/>
          <w:bCs/>
          <w:iCs/>
          <w:szCs w:val="20"/>
          <w:lang w:bidi="he-IL"/>
        </w:rPr>
        <w:t xml:space="preserve">pas encore </w:t>
      </w:r>
      <w:r w:rsidRPr="007B5D89">
        <w:rPr>
          <w:rFonts w:eastAsia="Times New Roman"/>
          <w:bCs/>
          <w:iCs/>
          <w:szCs w:val="20"/>
          <w:lang w:val="x-none" w:bidi="he-IL"/>
        </w:rPr>
        <w:t xml:space="preserve">de </w:t>
      </w:r>
      <w:r w:rsidRPr="007B5D89">
        <w:rPr>
          <w:rFonts w:eastAsia="Times New Roman"/>
          <w:bCs/>
          <w:iCs/>
          <w:szCs w:val="20"/>
          <w:lang w:bidi="he-IL"/>
        </w:rPr>
        <w:t xml:space="preserve">beaucoup </w:t>
      </w:r>
      <w:r w:rsidRPr="007B5D89">
        <w:rPr>
          <w:rFonts w:eastAsia="Times New Roman"/>
          <w:bCs/>
          <w:iCs/>
          <w:szCs w:val="20"/>
          <w:lang w:val="x-none" w:bidi="he-IL"/>
        </w:rPr>
        <w:t>d’informations statistiques sur leur utilisation, entre loisirs et déplacements, mais certains offrent une vitesse de déplacement sans effort qui pourrait en faire de sérieux concurrent</w:t>
      </w:r>
      <w:r w:rsidRPr="007B5D89">
        <w:rPr>
          <w:rFonts w:eastAsia="Times New Roman"/>
          <w:bCs/>
          <w:iCs/>
          <w:szCs w:val="20"/>
          <w:lang w:bidi="he-IL"/>
        </w:rPr>
        <w:t>s</w:t>
      </w:r>
      <w:r w:rsidRPr="007B5D89">
        <w:rPr>
          <w:rFonts w:eastAsia="Times New Roman"/>
          <w:bCs/>
          <w:iCs/>
          <w:szCs w:val="20"/>
          <w:lang w:val="x-none" w:bidi="he-IL"/>
        </w:rPr>
        <w:t xml:space="preserve"> </w:t>
      </w:r>
      <w:r w:rsidRPr="007B5D89">
        <w:rPr>
          <w:rFonts w:eastAsia="Times New Roman"/>
          <w:bCs/>
          <w:iCs/>
          <w:szCs w:val="20"/>
          <w:lang w:bidi="he-IL"/>
        </w:rPr>
        <w:t xml:space="preserve">du vélo et </w:t>
      </w:r>
      <w:r w:rsidRPr="007B5D89">
        <w:rPr>
          <w:rFonts w:eastAsia="Times New Roman"/>
          <w:bCs/>
          <w:iCs/>
          <w:szCs w:val="20"/>
          <w:lang w:val="x-none" w:bidi="he-IL"/>
        </w:rPr>
        <w:t>de la marche à pied et faciliter l’accès aux transports en commun dans la mesure où leur faible encombrement et la possibilité de les plier (trottinettes) permettent de les transporter beaucoup plus facilement que les vélos. L</w:t>
      </w:r>
      <w:r w:rsidRPr="007B5D89">
        <w:rPr>
          <w:rFonts w:eastAsia="Times New Roman"/>
          <w:bCs/>
          <w:iCs/>
          <w:szCs w:val="20"/>
          <w:lang w:bidi="he-IL"/>
        </w:rPr>
        <w:t xml:space="preserve">e </w:t>
      </w:r>
      <w:r w:rsidRPr="007B5D89">
        <w:rPr>
          <w:rFonts w:eastAsia="Times New Roman"/>
          <w:bCs/>
          <w:iCs/>
          <w:szCs w:val="20"/>
          <w:lang w:val="x-none" w:bidi="he-IL"/>
        </w:rPr>
        <w:t xml:space="preserve">progrès technique devrait encore apporter son lot d’innovations (batteries, nouveaux matériaux, connexion Internet, etc.). </w:t>
      </w:r>
    </w:p>
    <w:p w14:paraId="0AE2BBB4" w14:textId="211EB76C" w:rsidR="00935A39" w:rsidRPr="00935A39" w:rsidRDefault="00935A39" w:rsidP="00225D2D">
      <w:pPr>
        <w:keepNext/>
        <w:keepLines/>
        <w:spacing w:before="200"/>
        <w:jc w:val="both"/>
        <w:rPr>
          <w:rFonts w:eastAsia="Times New Roman"/>
          <w:bCs/>
          <w:iCs/>
          <w:szCs w:val="20"/>
          <w:lang w:val="x-none" w:bidi="he-IL"/>
        </w:rPr>
      </w:pPr>
      <w:r w:rsidRPr="007B5D89">
        <w:rPr>
          <w:rFonts w:eastAsia="Times New Roman"/>
          <w:bCs/>
          <w:iCs/>
          <w:szCs w:val="20"/>
          <w:lang w:bidi="he-IL"/>
        </w:rPr>
        <w:t>La question est désormais posée dans les grandes villes</w:t>
      </w:r>
      <w:r w:rsidR="002D4874">
        <w:rPr>
          <w:rFonts w:eastAsia="Times New Roman"/>
          <w:bCs/>
          <w:iCs/>
          <w:szCs w:val="20"/>
          <w:lang w:bidi="he-IL"/>
        </w:rPr>
        <w:t>, surtout dans l’agglomération parisienne,</w:t>
      </w:r>
      <w:r w:rsidRPr="007B5D89">
        <w:rPr>
          <w:rFonts w:eastAsia="Times New Roman"/>
          <w:bCs/>
          <w:iCs/>
          <w:szCs w:val="20"/>
          <w:lang w:bidi="he-IL"/>
        </w:rPr>
        <w:t xml:space="preserve"> de l</w:t>
      </w:r>
      <w:r w:rsidR="002D4874">
        <w:rPr>
          <w:rFonts w:eastAsia="Times New Roman"/>
          <w:bCs/>
          <w:iCs/>
          <w:szCs w:val="20"/>
          <w:lang w:bidi="he-IL"/>
        </w:rPr>
        <w:t>a</w:t>
      </w:r>
      <w:r w:rsidRPr="007B5D89">
        <w:rPr>
          <w:rFonts w:eastAsia="Times New Roman"/>
          <w:bCs/>
          <w:iCs/>
          <w:szCs w:val="20"/>
          <w:lang w:bidi="he-IL"/>
        </w:rPr>
        <w:t xml:space="preserve"> cohabitation </w:t>
      </w:r>
      <w:r w:rsidR="002D4874">
        <w:rPr>
          <w:rFonts w:eastAsia="Times New Roman"/>
          <w:bCs/>
          <w:iCs/>
          <w:szCs w:val="20"/>
          <w:lang w:bidi="he-IL"/>
        </w:rPr>
        <w:t>de ces modes</w:t>
      </w:r>
      <w:r w:rsidR="00187320">
        <w:rPr>
          <w:rFonts w:eastAsia="Times New Roman"/>
          <w:bCs/>
          <w:iCs/>
          <w:szCs w:val="20"/>
          <w:lang w:bidi="he-IL"/>
        </w:rPr>
        <w:t xml:space="preserve">, </w:t>
      </w:r>
      <w:r w:rsidR="002D4874">
        <w:rPr>
          <w:rFonts w:eastAsia="Times New Roman"/>
          <w:bCs/>
          <w:iCs/>
          <w:szCs w:val="20"/>
          <w:lang w:bidi="he-IL"/>
        </w:rPr>
        <w:t>avec une ou deux roues</w:t>
      </w:r>
      <w:r w:rsidR="00187320">
        <w:rPr>
          <w:rFonts w:eastAsia="Times New Roman"/>
          <w:bCs/>
          <w:iCs/>
          <w:szCs w:val="20"/>
          <w:lang w:bidi="he-IL"/>
        </w:rPr>
        <w:t>,</w:t>
      </w:r>
      <w:r w:rsidR="002D4874">
        <w:rPr>
          <w:rFonts w:eastAsia="Times New Roman"/>
          <w:bCs/>
          <w:iCs/>
          <w:szCs w:val="20"/>
          <w:lang w:bidi="he-IL"/>
        </w:rPr>
        <w:t xml:space="preserve"> </w:t>
      </w:r>
      <w:r w:rsidRPr="007B5D89">
        <w:rPr>
          <w:rFonts w:eastAsia="Times New Roman"/>
          <w:bCs/>
          <w:iCs/>
          <w:szCs w:val="20"/>
          <w:lang w:bidi="he-IL"/>
        </w:rPr>
        <w:t>avec les piétons et avec les autres usagers des transports en commun</w:t>
      </w:r>
      <w:r w:rsidR="00187320">
        <w:rPr>
          <w:rFonts w:eastAsia="Times New Roman"/>
          <w:bCs/>
          <w:iCs/>
          <w:szCs w:val="20"/>
          <w:lang w:bidi="he-IL"/>
        </w:rPr>
        <w:t xml:space="preserve"> comme des voitures particulières</w:t>
      </w:r>
      <w:r w:rsidRPr="007B5D89">
        <w:rPr>
          <w:rFonts w:eastAsia="Times New Roman"/>
          <w:bCs/>
          <w:iCs/>
          <w:szCs w:val="20"/>
          <w:lang w:bidi="he-IL"/>
        </w:rPr>
        <w:t>.</w:t>
      </w:r>
      <w:r w:rsidR="002D4874">
        <w:rPr>
          <w:rFonts w:eastAsia="Times New Roman"/>
          <w:bCs/>
          <w:iCs/>
          <w:szCs w:val="20"/>
          <w:lang w:bidi="he-IL"/>
        </w:rPr>
        <w:t xml:space="preserve"> </w:t>
      </w:r>
      <w:r w:rsidR="00187320">
        <w:rPr>
          <w:rFonts w:eastAsia="Times New Roman"/>
          <w:bCs/>
          <w:iCs/>
          <w:szCs w:val="20"/>
          <w:lang w:bidi="he-IL"/>
        </w:rPr>
        <w:t>L</w:t>
      </w:r>
      <w:r w:rsidRPr="007B5D89">
        <w:rPr>
          <w:rFonts w:eastAsia="Times New Roman"/>
          <w:bCs/>
          <w:iCs/>
          <w:szCs w:val="20"/>
          <w:lang w:bidi="he-IL"/>
        </w:rPr>
        <w:t xml:space="preserve">eur incidence </w:t>
      </w:r>
      <w:r w:rsidR="002D4874">
        <w:rPr>
          <w:rFonts w:eastAsia="Times New Roman"/>
          <w:bCs/>
          <w:iCs/>
          <w:szCs w:val="20"/>
          <w:lang w:bidi="he-IL"/>
        </w:rPr>
        <w:t>peut rester</w:t>
      </w:r>
      <w:r w:rsidRPr="007B5D89">
        <w:rPr>
          <w:rFonts w:eastAsia="Times New Roman"/>
          <w:bCs/>
          <w:iCs/>
          <w:szCs w:val="20"/>
          <w:lang w:bidi="he-IL"/>
        </w:rPr>
        <w:t xml:space="preserve"> encore </w:t>
      </w:r>
      <w:r w:rsidR="002D4874">
        <w:rPr>
          <w:rFonts w:eastAsia="Times New Roman"/>
          <w:bCs/>
          <w:iCs/>
          <w:szCs w:val="20"/>
          <w:lang w:bidi="he-IL"/>
        </w:rPr>
        <w:t>limitée</w:t>
      </w:r>
      <w:r w:rsidRPr="007B5D89">
        <w:rPr>
          <w:rFonts w:eastAsia="Times New Roman"/>
          <w:bCs/>
          <w:iCs/>
          <w:szCs w:val="20"/>
          <w:lang w:bidi="he-IL"/>
        </w:rPr>
        <w:t xml:space="preserve"> dans les deux prochaines décennies sur les besoins d’infrastructures de transports en commun performantes et de grande capacité, qui seules permettent d’assurer la mobilité de masse sur des distances significatives en zone urbaine. On peut même considérer que ces nouveaux moyens de transport faciliteront le rabattement sur ces modes performants et de bonne capacité et qu’elles contribueront à en renforcer l’utilisation</w:t>
      </w:r>
      <w:r>
        <w:rPr>
          <w:rFonts w:eastAsia="Times New Roman"/>
          <w:bCs/>
          <w:iCs/>
          <w:szCs w:val="20"/>
          <w:lang w:bidi="he-IL"/>
        </w:rPr>
        <w:t>.</w:t>
      </w:r>
    </w:p>
    <w:p w14:paraId="459A2DD8" w14:textId="647BAD4D" w:rsidR="00935A39" w:rsidRPr="007B5D89" w:rsidRDefault="00935A39" w:rsidP="00412C10">
      <w:pPr>
        <w:pStyle w:val="Titre3"/>
        <w:numPr>
          <w:ilvl w:val="3"/>
          <w:numId w:val="33"/>
        </w:numPr>
      </w:pPr>
      <w:bookmarkStart w:id="68" w:name="_Toc46917065"/>
      <w:bookmarkStart w:id="69" w:name="_Toc63352136"/>
      <w:r w:rsidRPr="007B5D89">
        <w:t>Principaux résultats des études de trafic sur l’ensemble du réseau du Grand Paris Express</w:t>
      </w:r>
      <w:bookmarkEnd w:id="68"/>
      <w:bookmarkEnd w:id="69"/>
    </w:p>
    <w:p w14:paraId="294685CB" w14:textId="77777777" w:rsidR="00C04D59" w:rsidRDefault="00C04D59" w:rsidP="00267347">
      <w:pPr>
        <w:jc w:val="both"/>
        <w:rPr>
          <w:szCs w:val="20"/>
        </w:rPr>
      </w:pPr>
    </w:p>
    <w:p w14:paraId="2CDD6B36" w14:textId="67866110" w:rsidR="00267347" w:rsidRPr="007B5D89" w:rsidRDefault="00935A39" w:rsidP="00267347">
      <w:pPr>
        <w:jc w:val="both"/>
        <w:rPr>
          <w:szCs w:val="20"/>
        </w:rPr>
      </w:pPr>
      <w:r w:rsidRPr="007B5D89">
        <w:rPr>
          <w:szCs w:val="20"/>
        </w:rPr>
        <w:t>Les dossiers d’enquête publique présentés entre 2013 et 2016 s’étaient appuyés sur les prévisions à l’horizon 2030 fournies par le modèle de trafic MODUS 2.2 de la DRIEA dont les résultats ont été</w:t>
      </w:r>
      <w:r>
        <w:rPr>
          <w:szCs w:val="20"/>
        </w:rPr>
        <w:t xml:space="preserve"> d</w:t>
      </w:r>
      <w:r w:rsidR="00267347" w:rsidRPr="007B5D89">
        <w:rPr>
          <w:szCs w:val="20"/>
        </w:rPr>
        <w:t>iffusés en 2012</w:t>
      </w:r>
      <w:r w:rsidR="00267347" w:rsidRPr="007B5D89">
        <w:rPr>
          <w:rStyle w:val="Appelnotedebasdep"/>
          <w:szCs w:val="20"/>
        </w:rPr>
        <w:footnoteReference w:id="22"/>
      </w:r>
      <w:r w:rsidR="00267347" w:rsidRPr="007B5D89">
        <w:rPr>
          <w:szCs w:val="20"/>
        </w:rPr>
        <w:t>. Cette version du modèle avait été calée sur les données observées des déplacements</w:t>
      </w:r>
      <w:r>
        <w:rPr>
          <w:szCs w:val="20"/>
        </w:rPr>
        <w:t xml:space="preserve"> </w:t>
      </w:r>
      <w:r w:rsidR="00267347" w:rsidRPr="007B5D89">
        <w:rPr>
          <w:szCs w:val="20"/>
        </w:rPr>
        <w:t>des Franciliens en 2001</w:t>
      </w:r>
      <w:r w:rsidR="00267347" w:rsidRPr="007B5D89">
        <w:rPr>
          <w:rStyle w:val="Appelnotedebasdep"/>
          <w:szCs w:val="20"/>
        </w:rPr>
        <w:footnoteReference w:id="23"/>
      </w:r>
      <w:r w:rsidR="00267347" w:rsidRPr="007B5D89">
        <w:rPr>
          <w:szCs w:val="20"/>
        </w:rPr>
        <w:t>, données révélées par l’enquête globale transport</w:t>
      </w:r>
      <w:r w:rsidR="00267347" w:rsidRPr="007B5D89">
        <w:rPr>
          <w:rStyle w:val="Appelnotedebasdep"/>
          <w:szCs w:val="20"/>
        </w:rPr>
        <w:footnoteReference w:id="24"/>
      </w:r>
      <w:r w:rsidR="00267347" w:rsidRPr="007B5D89">
        <w:rPr>
          <w:szCs w:val="20"/>
        </w:rPr>
        <w:t xml:space="preserve"> (EGT) réalisée durant la même année. Avec ce premier modèle, reposant sur l’hypothèse d’une faible évolution du partage modal entre les transports en communs (TC) et la voiture particulière (VP)</w:t>
      </w:r>
      <w:r w:rsidR="006F7E0A">
        <w:rPr>
          <w:szCs w:val="20"/>
        </w:rPr>
        <w:t>,</w:t>
      </w:r>
      <w:r w:rsidR="00267347" w:rsidRPr="007B5D89">
        <w:rPr>
          <w:szCs w:val="20"/>
        </w:rPr>
        <w:t xml:space="preserve"> et sur les prévisions socio-démographiques disponibles à l’époque, la prévision pour 2030 sur le réseau du Grand Paris Express (GPE) aboutissait à un volume de trafic de l’ordre de </w:t>
      </w:r>
      <w:r w:rsidR="00267347" w:rsidRPr="007B5D89">
        <w:rPr>
          <w:b/>
          <w:szCs w:val="20"/>
        </w:rPr>
        <w:t>340</w:t>
      </w:r>
      <w:r w:rsidR="0084080B">
        <w:rPr>
          <w:b/>
          <w:szCs w:val="20"/>
        </w:rPr>
        <w:t> </w:t>
      </w:r>
      <w:r w:rsidR="00267347" w:rsidRPr="007B5D89">
        <w:rPr>
          <w:b/>
          <w:szCs w:val="20"/>
        </w:rPr>
        <w:t>000 voyageurs</w:t>
      </w:r>
      <w:r w:rsidR="00267347" w:rsidRPr="007B5D89">
        <w:rPr>
          <w:szCs w:val="20"/>
        </w:rPr>
        <w:t xml:space="preserve"> à l’heure de pointe du matin (HPM), correspondant à une fréquentation journalière d’environ </w:t>
      </w:r>
      <w:r w:rsidR="00267347" w:rsidRPr="007B5D89">
        <w:rPr>
          <w:b/>
          <w:szCs w:val="20"/>
        </w:rPr>
        <w:t>2,35 millions d’usagers quotidiens</w:t>
      </w:r>
      <w:r w:rsidR="00267347" w:rsidRPr="007B5D89">
        <w:rPr>
          <w:rStyle w:val="Appelnotedebasdep"/>
          <w:szCs w:val="20"/>
        </w:rPr>
        <w:footnoteReference w:id="25"/>
      </w:r>
      <w:r w:rsidR="00267347" w:rsidRPr="007B5D89">
        <w:rPr>
          <w:szCs w:val="20"/>
        </w:rPr>
        <w:t xml:space="preserve">. Parallèlement, le modèle estimait la totalité du trafic TC sur l’ensemble du réseau TC d’Île-de-France à 8,2 millions de voyageurs/jour en option de référence en 2030, c’est-à-dire sans la réalisation du projet de GPE. Mais </w:t>
      </w:r>
      <w:r w:rsidR="006F7E0A">
        <w:rPr>
          <w:szCs w:val="20"/>
        </w:rPr>
        <w:t>l’</w:t>
      </w:r>
      <w:r w:rsidR="00267347" w:rsidRPr="007B5D89">
        <w:rPr>
          <w:szCs w:val="20"/>
        </w:rPr>
        <w:t xml:space="preserve">enquête EGT réalisée en 2010 a révélé un partage modal très différent de celui de l’EGT 2001 et surtout, très différent de ce qui avait été anticipé. </w:t>
      </w:r>
      <w:r w:rsidR="00267347" w:rsidRPr="00EA04CC">
        <w:rPr>
          <w:b/>
          <w:bCs/>
          <w:szCs w:val="20"/>
        </w:rPr>
        <w:t>En effet, l’EGT 2010 révélait un nombre moyen de déplacements quotidiens en TC</w:t>
      </w:r>
      <w:r w:rsidR="00267347" w:rsidRPr="00EA04CC">
        <w:rPr>
          <w:rStyle w:val="Appelnotedebasdep"/>
          <w:b/>
          <w:bCs/>
          <w:szCs w:val="20"/>
        </w:rPr>
        <w:footnoteReference w:id="26"/>
      </w:r>
      <w:r w:rsidR="00267347" w:rsidRPr="00EA04CC">
        <w:rPr>
          <w:b/>
          <w:bCs/>
          <w:szCs w:val="20"/>
        </w:rPr>
        <w:t xml:space="preserve"> atteignant 8,3 millions en 2010, donc déjà supérieur au trafic précédemment </w:t>
      </w:r>
      <w:r w:rsidR="007B5D89" w:rsidRPr="00EA04CC">
        <w:rPr>
          <w:b/>
          <w:bCs/>
          <w:szCs w:val="20"/>
        </w:rPr>
        <w:t xml:space="preserve">prévu </w:t>
      </w:r>
      <w:r w:rsidR="00267347" w:rsidRPr="00EA04CC">
        <w:rPr>
          <w:b/>
          <w:bCs/>
          <w:szCs w:val="20"/>
        </w:rPr>
        <w:t xml:space="preserve">pour </w:t>
      </w:r>
      <w:r w:rsidR="007B5D89" w:rsidRPr="00EA04CC">
        <w:rPr>
          <w:b/>
          <w:bCs/>
          <w:szCs w:val="20"/>
        </w:rPr>
        <w:t xml:space="preserve">seulement </w:t>
      </w:r>
      <w:r w:rsidR="00267347" w:rsidRPr="00EA04CC">
        <w:rPr>
          <w:b/>
          <w:bCs/>
          <w:szCs w:val="20"/>
        </w:rPr>
        <w:lastRenderedPageBreak/>
        <w:t>2030</w:t>
      </w:r>
      <w:r w:rsidR="006F7E0A">
        <w:rPr>
          <w:b/>
          <w:bCs/>
          <w:szCs w:val="20"/>
        </w:rPr>
        <w:t>, et les premiers résultats de l’enquête 2020 sont encore en hausse par rapport à ce chiffre et s’établissent à 9,4 millions</w:t>
      </w:r>
      <w:r w:rsidR="00005CE8" w:rsidRPr="007B5D89">
        <w:rPr>
          <w:rStyle w:val="Appelnotedebasdep"/>
          <w:rFonts w:cs="Arial"/>
          <w:szCs w:val="20"/>
        </w:rPr>
        <w:footnoteReference w:id="27"/>
      </w:r>
      <w:r w:rsidR="00267347" w:rsidRPr="00EA04CC">
        <w:rPr>
          <w:b/>
          <w:bCs/>
          <w:szCs w:val="20"/>
        </w:rPr>
        <w:t>.</w:t>
      </w:r>
    </w:p>
    <w:p w14:paraId="559428C9" w14:textId="77777777" w:rsidR="001F4F1C" w:rsidRPr="007B5D89" w:rsidRDefault="001F4F1C" w:rsidP="00267347">
      <w:pPr>
        <w:jc w:val="both"/>
        <w:rPr>
          <w:szCs w:val="20"/>
        </w:rPr>
      </w:pPr>
    </w:p>
    <w:p w14:paraId="4566BA47" w14:textId="355C917C" w:rsidR="00267347" w:rsidRPr="007B5D89" w:rsidRDefault="00267347" w:rsidP="00267347">
      <w:pPr>
        <w:jc w:val="both"/>
        <w:rPr>
          <w:rFonts w:cs="Arial"/>
          <w:szCs w:val="20"/>
        </w:rPr>
      </w:pPr>
      <w:r w:rsidRPr="007B5D89">
        <w:rPr>
          <w:rFonts w:cs="Arial"/>
          <w:szCs w:val="20"/>
        </w:rPr>
        <w:t xml:space="preserve">Parallèlement, la prévision faite pour le trafic en voiture particulière – toujours en 2005 à partir des données de 2001 – aboutissait à 19,2 millions de déplacements VP pour 2030 en option de référence, en hausse de 24 % par rapport à 2001 tandis que la nouvelle enquête de 2010 révélait </w:t>
      </w:r>
      <w:r w:rsidR="006F7E0A">
        <w:rPr>
          <w:rFonts w:cs="Arial"/>
          <w:szCs w:val="20"/>
        </w:rPr>
        <w:t xml:space="preserve">au contraire </w:t>
      </w:r>
      <w:r w:rsidRPr="007B5D89">
        <w:rPr>
          <w:rFonts w:cs="Arial"/>
          <w:szCs w:val="20"/>
        </w:rPr>
        <w:t>un trafic VP en baisse</w:t>
      </w:r>
      <w:r w:rsidRPr="007B5D89">
        <w:rPr>
          <w:rStyle w:val="Appelnotedebasdep"/>
          <w:rFonts w:cs="Arial"/>
          <w:szCs w:val="20"/>
        </w:rPr>
        <w:footnoteReference w:id="28"/>
      </w:r>
      <w:r w:rsidRPr="007B5D89">
        <w:rPr>
          <w:rFonts w:cs="Arial"/>
          <w:szCs w:val="20"/>
        </w:rPr>
        <w:t xml:space="preserve"> à seulement 15,</w:t>
      </w:r>
      <w:r w:rsidR="006F7E0A">
        <w:rPr>
          <w:rFonts w:cs="Arial"/>
          <w:szCs w:val="20"/>
        </w:rPr>
        <w:t>5</w:t>
      </w:r>
      <w:r w:rsidRPr="007B5D89">
        <w:rPr>
          <w:rFonts w:cs="Arial"/>
          <w:szCs w:val="20"/>
        </w:rPr>
        <w:t xml:space="preserve"> millions de déplacements quotidiens</w:t>
      </w:r>
      <w:r w:rsidR="006F7E0A">
        <w:rPr>
          <w:rFonts w:cs="Arial"/>
          <w:szCs w:val="20"/>
        </w:rPr>
        <w:t>, la donnée pour 2020 étant de 14,8 millions</w:t>
      </w:r>
      <w:r w:rsidRPr="007B5D89">
        <w:rPr>
          <w:rFonts w:cs="Arial"/>
          <w:szCs w:val="20"/>
        </w:rPr>
        <w:t>.</w:t>
      </w:r>
    </w:p>
    <w:p w14:paraId="2FED9B76" w14:textId="77777777" w:rsidR="001F4F1C" w:rsidRPr="007B5D89" w:rsidRDefault="001F4F1C" w:rsidP="00267347">
      <w:pPr>
        <w:jc w:val="both"/>
        <w:rPr>
          <w:rFonts w:cs="Arial"/>
          <w:szCs w:val="20"/>
        </w:rPr>
      </w:pPr>
    </w:p>
    <w:p w14:paraId="24BC0076" w14:textId="01202861" w:rsidR="00005CE8" w:rsidRDefault="00267347" w:rsidP="00005CE8">
      <w:pPr>
        <w:jc w:val="both"/>
        <w:rPr>
          <w:szCs w:val="20"/>
        </w:rPr>
      </w:pPr>
      <w:r w:rsidRPr="007B5D89">
        <w:rPr>
          <w:szCs w:val="20"/>
        </w:rPr>
        <w:t xml:space="preserve">De nombreuses causes expliquent ces divergences. Certaines sont très techniques et </w:t>
      </w:r>
      <w:r w:rsidR="006F7E0A">
        <w:rPr>
          <w:szCs w:val="20"/>
        </w:rPr>
        <w:t xml:space="preserve">figurent dans les principales conclusions </w:t>
      </w:r>
      <w:r w:rsidRPr="007B5D89">
        <w:rPr>
          <w:szCs w:val="20"/>
        </w:rPr>
        <w:t>du rapport sur ces modèles de trafic utilisés au début des années 2000 pour produire les prévisions des effets du projet de Grand Paris Express</w:t>
      </w:r>
      <w:r w:rsidR="006F7E0A">
        <w:rPr>
          <w:szCs w:val="20"/>
        </w:rPr>
        <w:t xml:space="preserve"> (log-sum</w:t>
      </w:r>
      <w:r w:rsidR="003D7AF5">
        <w:rPr>
          <w:szCs w:val="20"/>
        </w:rPr>
        <w:t xml:space="preserve"> des services</w:t>
      </w:r>
      <w:r w:rsidR="006F7E0A">
        <w:rPr>
          <w:szCs w:val="20"/>
        </w:rPr>
        <w:t xml:space="preserve">, </w:t>
      </w:r>
      <w:r w:rsidR="003D7AF5">
        <w:rPr>
          <w:szCs w:val="20"/>
        </w:rPr>
        <w:t>puissance du temps…)</w:t>
      </w:r>
      <w:r w:rsidRPr="007B5D89">
        <w:rPr>
          <w:rStyle w:val="Appelnotedebasdep"/>
          <w:szCs w:val="20"/>
        </w:rPr>
        <w:footnoteReference w:id="29"/>
      </w:r>
      <w:r w:rsidRPr="007B5D89">
        <w:rPr>
          <w:szCs w:val="20"/>
        </w:rPr>
        <w:t xml:space="preserve">. D’autres sont liées à </w:t>
      </w:r>
      <w:r w:rsidR="003D7AF5">
        <w:rPr>
          <w:szCs w:val="20"/>
        </w:rPr>
        <w:t xml:space="preserve">une inflexion mal prévue au milieu des années 2000 dans l’usage respectif des </w:t>
      </w:r>
      <w:r w:rsidRPr="007B5D89">
        <w:rPr>
          <w:szCs w:val="20"/>
        </w:rPr>
        <w:t xml:space="preserve">modes de transport </w:t>
      </w:r>
      <w:r w:rsidR="003D7AF5">
        <w:rPr>
          <w:szCs w:val="20"/>
        </w:rPr>
        <w:t xml:space="preserve">VP et TC </w:t>
      </w:r>
      <w:r w:rsidRPr="007B5D89">
        <w:rPr>
          <w:szCs w:val="20"/>
        </w:rPr>
        <w:t xml:space="preserve">en région Île-de-France, évolution difficile à </w:t>
      </w:r>
      <w:r w:rsidR="003D7AF5">
        <w:rPr>
          <w:szCs w:val="20"/>
        </w:rPr>
        <w:t xml:space="preserve">anticiper </w:t>
      </w:r>
      <w:r w:rsidRPr="007B5D89">
        <w:rPr>
          <w:szCs w:val="20"/>
        </w:rPr>
        <w:t>dans un modèle du type de celui qui a été utilisé</w:t>
      </w:r>
      <w:r w:rsidR="003D7AF5">
        <w:rPr>
          <w:szCs w:val="20"/>
        </w:rPr>
        <w:t>, calé sur les données et tendances passées</w:t>
      </w:r>
      <w:r w:rsidRPr="007B5D89">
        <w:rPr>
          <w:szCs w:val="20"/>
        </w:rPr>
        <w:t>.</w:t>
      </w:r>
    </w:p>
    <w:p w14:paraId="5CB454F3" w14:textId="77777777" w:rsidR="007F3664" w:rsidRPr="007B5D89" w:rsidRDefault="007F3664" w:rsidP="007F3664">
      <w:pPr>
        <w:jc w:val="both"/>
        <w:rPr>
          <w:szCs w:val="20"/>
        </w:rPr>
      </w:pPr>
    </w:p>
    <w:p w14:paraId="0C95BEC9" w14:textId="387AA8A8" w:rsidR="007F3664" w:rsidRDefault="007F3664" w:rsidP="007F3664">
      <w:pPr>
        <w:autoSpaceDE w:val="0"/>
        <w:autoSpaceDN w:val="0"/>
        <w:adjustRightInd w:val="0"/>
        <w:jc w:val="both"/>
        <w:rPr>
          <w:rFonts w:eastAsia="Calibri"/>
          <w:szCs w:val="20"/>
        </w:rPr>
      </w:pPr>
      <w:r>
        <w:rPr>
          <w:rFonts w:cs="Verdana"/>
          <w:szCs w:val="20"/>
          <w:lang w:eastAsia="fr-FR"/>
        </w:rPr>
        <w:t>L’</w:t>
      </w:r>
      <w:r w:rsidRPr="007B5D89">
        <w:rPr>
          <w:rFonts w:cs="Verdana"/>
          <w:szCs w:val="20"/>
          <w:lang w:eastAsia="fr-FR"/>
        </w:rPr>
        <w:t xml:space="preserve">avis du Commissaire général à l’investissement en date du 26 mars 2015 sur le tronçon Olympiades–Aéroport d’Orly, la revue des travaux de recherche sur la qualité des estimations des modèles de trafic aujourd’hui disponibles </w:t>
      </w:r>
      <w:r>
        <w:rPr>
          <w:rFonts w:cs="Verdana"/>
          <w:szCs w:val="20"/>
          <w:lang w:eastAsia="fr-FR"/>
        </w:rPr>
        <w:t>avaient</w:t>
      </w:r>
      <w:r w:rsidRPr="007B5D89">
        <w:rPr>
          <w:rFonts w:cs="Verdana"/>
          <w:szCs w:val="20"/>
          <w:lang w:eastAsia="fr-FR"/>
        </w:rPr>
        <w:t xml:space="preserve"> </w:t>
      </w:r>
      <w:r>
        <w:rPr>
          <w:rFonts w:cs="Verdana"/>
          <w:szCs w:val="20"/>
          <w:lang w:eastAsia="fr-FR"/>
        </w:rPr>
        <w:t xml:space="preserve">également </w:t>
      </w:r>
      <w:r w:rsidRPr="007B5D89">
        <w:rPr>
          <w:rFonts w:cs="Verdana"/>
          <w:szCs w:val="20"/>
          <w:lang w:eastAsia="fr-FR"/>
        </w:rPr>
        <w:t xml:space="preserve">confirmé </w:t>
      </w:r>
      <w:r>
        <w:rPr>
          <w:rFonts w:cs="Verdana"/>
          <w:szCs w:val="20"/>
          <w:lang w:eastAsia="fr-FR"/>
        </w:rPr>
        <w:t xml:space="preserve">de leur côté </w:t>
      </w:r>
      <w:r w:rsidRPr="007B5D89">
        <w:rPr>
          <w:rFonts w:cs="Verdana"/>
          <w:szCs w:val="20"/>
          <w:lang w:eastAsia="fr-FR"/>
        </w:rPr>
        <w:t xml:space="preserve">une probable sous-estimation des fréquentations du futur réseau du Grand Paris. </w:t>
      </w:r>
      <w:r w:rsidRPr="007B5D89">
        <w:rPr>
          <w:bCs/>
          <w:szCs w:val="20"/>
        </w:rPr>
        <w:t>Les conséquences de ces sous-estimations peuvent être considérables car il est nécessaire d’apprécier au plus juste la charge future des lignes et les risques de sous dimensionnement des ouvrages. C’est pourquoi la SGP a</w:t>
      </w:r>
      <w:r>
        <w:rPr>
          <w:bCs/>
          <w:szCs w:val="20"/>
        </w:rPr>
        <w:t>vait</w:t>
      </w:r>
      <w:r w:rsidRPr="007B5D89">
        <w:rPr>
          <w:bCs/>
          <w:szCs w:val="20"/>
        </w:rPr>
        <w:t xml:space="preserve"> décidé d’engager des travaux approfondis qui </w:t>
      </w:r>
      <w:r>
        <w:rPr>
          <w:szCs w:val="20"/>
        </w:rPr>
        <w:t>ont</w:t>
      </w:r>
      <w:r w:rsidRPr="007B5D89">
        <w:rPr>
          <w:szCs w:val="20"/>
        </w:rPr>
        <w:t xml:space="preserve"> permis de caractériser les principales observations susceptibles d’améliorer les techniques de prévision de trafic et de les hiérarchiser. </w:t>
      </w:r>
      <w:r w:rsidRPr="00A51C82">
        <w:rPr>
          <w:rFonts w:eastAsia="Calibri"/>
          <w:szCs w:val="20"/>
        </w:rPr>
        <w:t>Ce rapport</w:t>
      </w:r>
      <w:r>
        <w:rPr>
          <w:rStyle w:val="Appelnotedebasdep"/>
          <w:rFonts w:eastAsia="Calibri"/>
          <w:szCs w:val="20"/>
        </w:rPr>
        <w:footnoteReference w:id="30"/>
      </w:r>
      <w:r w:rsidRPr="00A51C82">
        <w:rPr>
          <w:rFonts w:eastAsia="Calibri"/>
          <w:szCs w:val="20"/>
        </w:rPr>
        <w:t xml:space="preserve"> </w:t>
      </w:r>
      <w:r>
        <w:rPr>
          <w:rFonts w:eastAsia="Calibri"/>
          <w:szCs w:val="20"/>
        </w:rPr>
        <w:t xml:space="preserve">a </w:t>
      </w:r>
      <w:r w:rsidRPr="00A51C82">
        <w:rPr>
          <w:rFonts w:eastAsia="Calibri"/>
          <w:szCs w:val="20"/>
        </w:rPr>
        <w:t>comment</w:t>
      </w:r>
      <w:r>
        <w:rPr>
          <w:rFonts w:eastAsia="Calibri"/>
          <w:szCs w:val="20"/>
        </w:rPr>
        <w:t>é</w:t>
      </w:r>
      <w:r w:rsidRPr="00A51C82">
        <w:rPr>
          <w:rFonts w:eastAsia="Calibri"/>
          <w:szCs w:val="20"/>
        </w:rPr>
        <w:t xml:space="preserve"> les résultats des modèles de trafic utilisés par la SGP, résultats obtenus principalement par l’application de MODUS v2.2, et défini </w:t>
      </w:r>
      <w:r w:rsidRPr="00A51C82">
        <w:rPr>
          <w:rFonts w:eastAsia="Calibri"/>
          <w:b/>
          <w:i/>
          <w:szCs w:val="20"/>
        </w:rPr>
        <w:t>des fourchettes de vraisemblance utiles</w:t>
      </w:r>
      <w:r w:rsidRPr="00A51C82">
        <w:rPr>
          <w:rFonts w:eastAsia="Calibri"/>
          <w:szCs w:val="20"/>
        </w:rPr>
        <w:t xml:space="preserve"> à la quantification de l’impact de la réalisation du GPE ; il </w:t>
      </w:r>
      <w:r>
        <w:rPr>
          <w:rFonts w:eastAsia="Calibri"/>
          <w:szCs w:val="20"/>
        </w:rPr>
        <w:t xml:space="preserve">a </w:t>
      </w:r>
      <w:r w:rsidRPr="00A51C82">
        <w:rPr>
          <w:rFonts w:eastAsia="Calibri"/>
          <w:szCs w:val="20"/>
        </w:rPr>
        <w:t>propos</w:t>
      </w:r>
      <w:r>
        <w:rPr>
          <w:rFonts w:eastAsia="Calibri"/>
          <w:szCs w:val="20"/>
        </w:rPr>
        <w:t>é</w:t>
      </w:r>
      <w:r w:rsidRPr="00A51C82">
        <w:rPr>
          <w:rFonts w:eastAsia="Calibri"/>
          <w:szCs w:val="20"/>
        </w:rPr>
        <w:t xml:space="preserve"> des améliorations susceptibles d’incorporation dans la version de ce modèle de trafic à mettre à jour, voire intéressant d’autres modèles utilisés ou à construire en Île-de-France. </w:t>
      </w:r>
    </w:p>
    <w:p w14:paraId="67265E73" w14:textId="77777777" w:rsidR="00005CE8" w:rsidRPr="007B5D89" w:rsidRDefault="00005CE8" w:rsidP="00005CE8">
      <w:pPr>
        <w:jc w:val="both"/>
        <w:rPr>
          <w:rFonts w:cs="Arial"/>
          <w:szCs w:val="20"/>
        </w:rPr>
      </w:pPr>
    </w:p>
    <w:p w14:paraId="5B6A70CE" w14:textId="5B4C4AA0" w:rsidR="00005CE8" w:rsidRPr="007B5D89" w:rsidRDefault="00005CE8" w:rsidP="00005CE8">
      <w:pPr>
        <w:jc w:val="both"/>
        <w:rPr>
          <w:rFonts w:cs="Arial"/>
          <w:szCs w:val="20"/>
        </w:rPr>
      </w:pPr>
      <w:r w:rsidRPr="007B5D89">
        <w:rPr>
          <w:rFonts w:cs="Arial"/>
          <w:szCs w:val="20"/>
        </w:rPr>
        <w:t>L</w:t>
      </w:r>
      <w:r w:rsidR="00187320">
        <w:rPr>
          <w:rFonts w:cs="Arial"/>
          <w:szCs w:val="20"/>
        </w:rPr>
        <w:t>es</w:t>
      </w:r>
      <w:r w:rsidRPr="007B5D89">
        <w:rPr>
          <w:rFonts w:cs="Arial"/>
          <w:szCs w:val="20"/>
        </w:rPr>
        <w:t xml:space="preserve"> enquête</w:t>
      </w:r>
      <w:r w:rsidR="00187320">
        <w:rPr>
          <w:rFonts w:cs="Arial"/>
          <w:szCs w:val="20"/>
        </w:rPr>
        <w:t>s récentes</w:t>
      </w:r>
      <w:r w:rsidRPr="007B5D89">
        <w:rPr>
          <w:rFonts w:cs="Arial"/>
          <w:szCs w:val="20"/>
        </w:rPr>
        <w:t xml:space="preserve"> confirme</w:t>
      </w:r>
      <w:r w:rsidR="00187320">
        <w:rPr>
          <w:rFonts w:cs="Arial"/>
          <w:szCs w:val="20"/>
        </w:rPr>
        <w:t>nt</w:t>
      </w:r>
      <w:r w:rsidRPr="007B5D89">
        <w:rPr>
          <w:rFonts w:cs="Arial"/>
          <w:szCs w:val="20"/>
        </w:rPr>
        <w:t xml:space="preserve"> les tendances constatées depuis la fin des années 90, c’est-à-dire une modification rapide du partage modal entre la voiture et les TC au profit de ceux-ci. Ainsi, tandis qu’une hausse était anticipée, le volume des déplacements en voiture particulière (VP) a baissé de 4,5% entre 2001 et 2018. Phénomène nouveau : entre 2010 et 2018, les déplacements en VP ont diminué dans toutes les zones, dans Paris, en Petite Couronne et même en Grande Couronne ainsi que pour tous les flux entre ces trois zones sauf pour les déplacements entre la Petite Couronne et la Grande Couronne. Parallèlement, le trafic des TC en Île-de-France a augmenté de façon inattendue de près de 39% entre 2001 et 2018, passant de 6,8 à 9,42 millions de déplacements quotidiens.</w:t>
      </w:r>
    </w:p>
    <w:p w14:paraId="4971BBAF" w14:textId="326F5B17" w:rsidR="001F4F1C" w:rsidRPr="007B5D89" w:rsidRDefault="00267347" w:rsidP="00267347">
      <w:pPr>
        <w:jc w:val="both"/>
        <w:rPr>
          <w:szCs w:val="20"/>
        </w:rPr>
      </w:pPr>
      <w:r w:rsidRPr="007B5D89">
        <w:rPr>
          <w:szCs w:val="20"/>
        </w:rPr>
        <w:t xml:space="preserve"> </w:t>
      </w:r>
    </w:p>
    <w:p w14:paraId="0C0AAADB" w14:textId="23392AD3" w:rsidR="001F4F1C" w:rsidRPr="007B5D89" w:rsidRDefault="00187320" w:rsidP="00267347">
      <w:pPr>
        <w:jc w:val="both"/>
        <w:rPr>
          <w:rFonts w:cs="Arial"/>
          <w:szCs w:val="20"/>
        </w:rPr>
      </w:pPr>
      <w:r w:rsidRPr="007F174E">
        <w:rPr>
          <w:rFonts w:cs="Arial"/>
          <w:color w:val="00B050"/>
          <w:szCs w:val="20"/>
        </w:rPr>
        <w:t>Un</w:t>
      </w:r>
      <w:r w:rsidR="00267347" w:rsidRPr="007F174E">
        <w:rPr>
          <w:rFonts w:cs="Arial"/>
          <w:color w:val="00B050"/>
          <w:szCs w:val="20"/>
        </w:rPr>
        <w:t xml:space="preserve"> gros travail d’amélioration </w:t>
      </w:r>
      <w:r w:rsidRPr="007F174E">
        <w:rPr>
          <w:rFonts w:cs="Arial"/>
          <w:color w:val="00B050"/>
          <w:szCs w:val="20"/>
        </w:rPr>
        <w:t>d</w:t>
      </w:r>
      <w:r w:rsidR="007F3664" w:rsidRPr="007F174E">
        <w:rPr>
          <w:rFonts w:cs="Arial"/>
          <w:color w:val="00B050"/>
          <w:szCs w:val="20"/>
        </w:rPr>
        <w:t>u</w:t>
      </w:r>
      <w:r w:rsidRPr="007F174E">
        <w:rPr>
          <w:rFonts w:cs="Arial"/>
          <w:color w:val="00B050"/>
          <w:szCs w:val="20"/>
        </w:rPr>
        <w:t xml:space="preserve"> modèle </w:t>
      </w:r>
      <w:r w:rsidR="00267347" w:rsidRPr="007F174E">
        <w:rPr>
          <w:rFonts w:cs="Arial"/>
          <w:color w:val="00B050"/>
          <w:szCs w:val="20"/>
        </w:rPr>
        <w:t>a été effectué </w:t>
      </w:r>
      <w:r w:rsidR="007F3664" w:rsidRPr="007F174E">
        <w:rPr>
          <w:rFonts w:cs="Arial"/>
          <w:color w:val="00B050"/>
          <w:szCs w:val="20"/>
        </w:rPr>
        <w:t>pour MODUS-3 (voir l’encadré de la page suivante)</w:t>
      </w:r>
      <w:r w:rsidR="003E7E3F">
        <w:rPr>
          <w:rFonts w:cs="Arial"/>
          <w:color w:val="00B050"/>
          <w:szCs w:val="20"/>
        </w:rPr>
        <w:t xml:space="preserve"> </w:t>
      </w:r>
      <w:r w:rsidR="00267347" w:rsidRPr="007B5D89">
        <w:rPr>
          <w:rFonts w:cs="Arial"/>
          <w:szCs w:val="20"/>
        </w:rPr>
        <w:t>: construction de nouveaux réseaux VP et TC</w:t>
      </w:r>
      <w:r w:rsidR="00267347" w:rsidRPr="007B5D89">
        <w:rPr>
          <w:rStyle w:val="Appelnotedebasdep"/>
          <w:rFonts w:cs="Arial"/>
          <w:szCs w:val="20"/>
        </w:rPr>
        <w:footnoteReference w:id="31"/>
      </w:r>
      <w:r w:rsidR="00267347" w:rsidRPr="007B5D89">
        <w:rPr>
          <w:rFonts w:cs="Arial"/>
          <w:szCs w:val="20"/>
        </w:rPr>
        <w:t>, segmentation plus fine de la demande, retraitement des correspondances TC, recalibrage du modèle de demande (notamment dans l’étape d’affectation de la demande sur l’offre de transport), prise en compte de la non-linéarité des fonctions d’utilités modales, etc. En outre, la nouvelle version du modèle a été calibrée sur les données de déplacements observées dans l’enquête EGT 2010.</w:t>
      </w:r>
      <w:r w:rsidR="00E3611B">
        <w:rPr>
          <w:rFonts w:cs="Arial"/>
          <w:szCs w:val="20"/>
        </w:rPr>
        <w:t xml:space="preserve"> </w:t>
      </w:r>
      <w:r w:rsidR="00E3611B" w:rsidRPr="00E3611B">
        <w:rPr>
          <w:rFonts w:cs="Arial"/>
          <w:szCs w:val="20"/>
        </w:rPr>
        <w:t>Parallèlement, d’autres hypothèses ont été modifiées : les temps de correspondance dans certains autres pôles qui accueilleront le GPE, considérés comme sous-estimés dans l</w:t>
      </w:r>
      <w:r w:rsidR="003D7AF5">
        <w:rPr>
          <w:rFonts w:cs="Arial"/>
          <w:szCs w:val="20"/>
        </w:rPr>
        <w:t xml:space="preserve">es </w:t>
      </w:r>
      <w:r w:rsidR="00E3611B" w:rsidRPr="00E3611B">
        <w:rPr>
          <w:rFonts w:cs="Arial"/>
          <w:szCs w:val="20"/>
        </w:rPr>
        <w:t>estimation</w:t>
      </w:r>
      <w:r w:rsidR="003D7AF5">
        <w:rPr>
          <w:rFonts w:cs="Arial"/>
          <w:szCs w:val="20"/>
        </w:rPr>
        <w:t>s</w:t>
      </w:r>
      <w:r w:rsidR="00E3611B" w:rsidRPr="00E3611B">
        <w:rPr>
          <w:rFonts w:cs="Arial"/>
          <w:szCs w:val="20"/>
        </w:rPr>
        <w:t xml:space="preserve"> précédente</w:t>
      </w:r>
      <w:r w:rsidR="003D7AF5">
        <w:rPr>
          <w:rFonts w:cs="Arial"/>
          <w:szCs w:val="20"/>
        </w:rPr>
        <w:t>s</w:t>
      </w:r>
      <w:r w:rsidR="00E3611B" w:rsidRPr="00E3611B">
        <w:rPr>
          <w:rFonts w:cs="Arial"/>
          <w:szCs w:val="20"/>
        </w:rPr>
        <w:t xml:space="preserve">, ont été mis à jour </w:t>
      </w:r>
      <w:r w:rsidR="003D7AF5">
        <w:rPr>
          <w:rFonts w:cs="Arial"/>
          <w:szCs w:val="20"/>
        </w:rPr>
        <w:t>dans la</w:t>
      </w:r>
      <w:r w:rsidR="00E3611B" w:rsidRPr="00E3611B">
        <w:rPr>
          <w:rFonts w:cs="Arial"/>
          <w:szCs w:val="20"/>
        </w:rPr>
        <w:t xml:space="preserve"> nouvelle prévision de </w:t>
      </w:r>
      <w:r w:rsidR="007F3664" w:rsidRPr="007F174E">
        <w:rPr>
          <w:rFonts w:cs="Arial"/>
          <w:color w:val="00B050"/>
          <w:szCs w:val="20"/>
        </w:rPr>
        <w:t>août</w:t>
      </w:r>
      <w:r w:rsidR="00E3611B" w:rsidRPr="007F174E">
        <w:rPr>
          <w:rFonts w:cs="Arial"/>
          <w:color w:val="00B050"/>
          <w:szCs w:val="20"/>
        </w:rPr>
        <w:t xml:space="preserve"> </w:t>
      </w:r>
      <w:r w:rsidR="00E3611B" w:rsidRPr="00E3611B">
        <w:rPr>
          <w:rFonts w:cs="Arial"/>
          <w:szCs w:val="20"/>
        </w:rPr>
        <w:t xml:space="preserve">2020 </w:t>
      </w:r>
      <w:r w:rsidR="007F3664">
        <w:rPr>
          <w:rFonts w:cs="Arial"/>
          <w:szCs w:val="20"/>
        </w:rPr>
        <w:t xml:space="preserve">(sur laquelle l’ensemble de cette évaluation est basée) </w:t>
      </w:r>
      <w:r w:rsidR="00C15CAA">
        <w:rPr>
          <w:rFonts w:cs="Arial"/>
          <w:szCs w:val="20"/>
        </w:rPr>
        <w:t xml:space="preserve">et </w:t>
      </w:r>
      <w:r w:rsidR="00E3611B" w:rsidRPr="00E3611B">
        <w:rPr>
          <w:rFonts w:cs="Arial"/>
          <w:szCs w:val="20"/>
        </w:rPr>
        <w:t xml:space="preserve">le calcul des temps de correspondance est dorénavant adapté à la profondeur des gares au lieu d’un forfait par ligne, méthode qui avait été retenue dans l’estimation précédente. </w:t>
      </w:r>
    </w:p>
    <w:p w14:paraId="0A552A1B" w14:textId="10494EAE" w:rsidR="00267347" w:rsidRPr="007B5D89" w:rsidRDefault="00267347" w:rsidP="00267347">
      <w:pPr>
        <w:jc w:val="both"/>
        <w:rPr>
          <w:rFonts w:cs="Arial"/>
          <w:szCs w:val="20"/>
        </w:rPr>
      </w:pPr>
      <w:r w:rsidRPr="007B5D89">
        <w:rPr>
          <w:rFonts w:cs="Arial"/>
          <w:szCs w:val="20"/>
        </w:rPr>
        <w:t xml:space="preserve"> </w:t>
      </w:r>
    </w:p>
    <w:p w14:paraId="003CF9DF" w14:textId="374E454E" w:rsidR="00267347" w:rsidRPr="007B5D89" w:rsidRDefault="00267347" w:rsidP="00267347">
      <w:pPr>
        <w:jc w:val="both"/>
        <w:rPr>
          <w:rFonts w:cs="Arial"/>
          <w:szCs w:val="20"/>
        </w:rPr>
      </w:pPr>
      <w:bookmarkStart w:id="70" w:name="_Hlk63354837"/>
      <w:r w:rsidRPr="007B5D89">
        <w:rPr>
          <w:rFonts w:cs="Arial"/>
          <w:szCs w:val="20"/>
        </w:rPr>
        <w:t xml:space="preserve">Ces nouvelles simulations, associées à la prise en compte des volumes de population et d’emploi actualisés, </w:t>
      </w:r>
      <w:r w:rsidR="007F3664">
        <w:rPr>
          <w:rFonts w:cs="Arial"/>
          <w:szCs w:val="20"/>
        </w:rPr>
        <w:t>prévoient</w:t>
      </w:r>
      <w:r w:rsidRPr="007B5D89">
        <w:rPr>
          <w:rFonts w:cs="Arial"/>
          <w:szCs w:val="20"/>
        </w:rPr>
        <w:t xml:space="preserve"> </w:t>
      </w:r>
      <w:r w:rsidRPr="007F174E">
        <w:rPr>
          <w:rFonts w:cs="Arial"/>
          <w:b/>
          <w:bCs/>
          <w:color w:val="00B050"/>
          <w:szCs w:val="20"/>
        </w:rPr>
        <w:t xml:space="preserve">un trafic total à l’horizon 2030 sur l’ensemble du futur réseau du GPE </w:t>
      </w:r>
      <w:r w:rsidR="007F3664" w:rsidRPr="007F174E">
        <w:rPr>
          <w:rFonts w:cs="Arial"/>
          <w:b/>
          <w:bCs/>
          <w:color w:val="00B050"/>
          <w:szCs w:val="20"/>
        </w:rPr>
        <w:t>supérieur à 3</w:t>
      </w:r>
      <w:r w:rsidRPr="007F174E">
        <w:rPr>
          <w:rFonts w:cs="Arial"/>
          <w:b/>
          <w:bCs/>
          <w:color w:val="00B050"/>
          <w:szCs w:val="20"/>
        </w:rPr>
        <w:t xml:space="preserve"> millions de voyageurs par jour,</w:t>
      </w:r>
      <w:r w:rsidRPr="007F174E">
        <w:rPr>
          <w:rFonts w:cs="Arial"/>
          <w:b/>
          <w:color w:val="00B050"/>
          <w:szCs w:val="20"/>
        </w:rPr>
        <w:t xml:space="preserve"> estimation supérieure d’environ 2</w:t>
      </w:r>
      <w:r w:rsidR="007F3664" w:rsidRPr="007F174E">
        <w:rPr>
          <w:rFonts w:cs="Arial"/>
          <w:b/>
          <w:color w:val="00B050"/>
          <w:szCs w:val="20"/>
        </w:rPr>
        <w:t>5</w:t>
      </w:r>
      <w:r w:rsidRPr="007F174E">
        <w:rPr>
          <w:rFonts w:cs="Arial"/>
          <w:b/>
          <w:color w:val="00B050"/>
          <w:szCs w:val="20"/>
        </w:rPr>
        <w:t>%</w:t>
      </w:r>
      <w:r w:rsidRPr="007F174E">
        <w:rPr>
          <w:rFonts w:cs="Arial"/>
          <w:color w:val="00B050"/>
          <w:szCs w:val="20"/>
        </w:rPr>
        <w:t xml:space="preserve"> </w:t>
      </w:r>
      <w:r w:rsidR="007F3664" w:rsidRPr="007F174E">
        <w:rPr>
          <w:rFonts w:cs="Arial"/>
          <w:color w:val="00B050"/>
          <w:szCs w:val="20"/>
        </w:rPr>
        <w:t xml:space="preserve">à celle de </w:t>
      </w:r>
      <w:r w:rsidRPr="007F174E">
        <w:rPr>
          <w:rFonts w:cs="Arial"/>
          <w:color w:val="00B050"/>
          <w:szCs w:val="20"/>
        </w:rPr>
        <w:t>la prévision précédente</w:t>
      </w:r>
      <w:r w:rsidRPr="007B5D89">
        <w:rPr>
          <w:rFonts w:cs="Arial"/>
          <w:szCs w:val="20"/>
        </w:rPr>
        <w:t>.</w:t>
      </w:r>
    </w:p>
    <w:p w14:paraId="675C28C0" w14:textId="77777777" w:rsidR="001F4F1C" w:rsidRPr="007B5D89" w:rsidRDefault="001F4F1C" w:rsidP="00267347">
      <w:pPr>
        <w:jc w:val="both"/>
        <w:rPr>
          <w:rFonts w:cs="Arial"/>
          <w:szCs w:val="20"/>
        </w:rPr>
      </w:pPr>
    </w:p>
    <w:p w14:paraId="4CE98104" w14:textId="1876B9CC" w:rsidR="00267347" w:rsidRPr="007B5D89" w:rsidRDefault="00267347" w:rsidP="00267347">
      <w:pPr>
        <w:jc w:val="both"/>
        <w:rPr>
          <w:rFonts w:cs="Arial"/>
          <w:szCs w:val="20"/>
        </w:rPr>
      </w:pPr>
      <w:r w:rsidRPr="007B5D89">
        <w:rPr>
          <w:rFonts w:cs="Arial"/>
          <w:szCs w:val="20"/>
        </w:rPr>
        <w:t xml:space="preserve">Bien que ces chiffres doivent être interprétés comme des ordres de grandeur, la nouvelle prévision du trafic attendu sur l’ensemble du GPE en 2030 est précisément supérieure à l’ancienne d’un taux équivalent à la croissance observée pour l’usage des transports en commun entre les deux enquêtes EGT de 2001 et 2010. </w:t>
      </w:r>
      <w:r w:rsidR="007F3664" w:rsidRPr="007F174E">
        <w:rPr>
          <w:rFonts w:cs="Arial"/>
          <w:color w:val="00B050"/>
          <w:szCs w:val="20"/>
        </w:rPr>
        <w:t xml:space="preserve">Ce résultat est cohérent avec la prise en compte de l’EGT 2010 dans les simulations de trafic d’août 2020. </w:t>
      </w:r>
      <w:r w:rsidRPr="007B5D89">
        <w:rPr>
          <w:rFonts w:cs="Arial"/>
          <w:szCs w:val="20"/>
        </w:rPr>
        <w:t xml:space="preserve">La nouvelle estimation du trafic à l’heure de pointe du matin sur l’ensemble du GPE s’établit </w:t>
      </w:r>
      <w:r w:rsidRPr="007F174E">
        <w:rPr>
          <w:rFonts w:cs="Arial"/>
          <w:color w:val="00B050"/>
          <w:szCs w:val="20"/>
        </w:rPr>
        <w:t xml:space="preserve">à </w:t>
      </w:r>
      <w:r w:rsidR="007F3664" w:rsidRPr="007F174E">
        <w:rPr>
          <w:rFonts w:cs="Arial"/>
          <w:color w:val="00B050"/>
          <w:szCs w:val="20"/>
        </w:rPr>
        <w:t xml:space="preserve">plus de </w:t>
      </w:r>
      <w:r w:rsidRPr="007F174E">
        <w:rPr>
          <w:rFonts w:cs="Arial"/>
          <w:b/>
          <w:color w:val="00B050"/>
          <w:szCs w:val="20"/>
        </w:rPr>
        <w:t>4</w:t>
      </w:r>
      <w:r w:rsidR="007F3664" w:rsidRPr="007F174E">
        <w:rPr>
          <w:rFonts w:cs="Arial"/>
          <w:b/>
          <w:color w:val="00B050"/>
          <w:szCs w:val="20"/>
        </w:rPr>
        <w:t>50</w:t>
      </w:r>
      <w:r w:rsidRPr="007F174E">
        <w:rPr>
          <w:rFonts w:cs="Arial"/>
          <w:b/>
          <w:color w:val="00B050"/>
          <w:szCs w:val="20"/>
        </w:rPr>
        <w:t>000 voyageurs</w:t>
      </w:r>
    </w:p>
    <w:bookmarkEnd w:id="70"/>
    <w:p w14:paraId="688D33D7" w14:textId="77777777" w:rsidR="001F4F1C" w:rsidRPr="007B5D89" w:rsidRDefault="001F4F1C" w:rsidP="00267347">
      <w:pPr>
        <w:jc w:val="both"/>
        <w:rPr>
          <w:rFonts w:cs="Arial"/>
          <w:szCs w:val="20"/>
        </w:rPr>
      </w:pPr>
    </w:p>
    <w:p w14:paraId="35075457" w14:textId="42618874" w:rsidR="00267347" w:rsidRPr="007B5D89" w:rsidRDefault="00267347" w:rsidP="00267347">
      <w:pPr>
        <w:jc w:val="both"/>
        <w:rPr>
          <w:rFonts w:cs="Arial"/>
          <w:szCs w:val="20"/>
        </w:rPr>
      </w:pPr>
      <w:r w:rsidRPr="007B5D89">
        <w:rPr>
          <w:rFonts w:cs="Arial"/>
          <w:szCs w:val="20"/>
        </w:rPr>
        <w:t>Mais, comme le modèle ne prend qu’imparfaitement en compte l’évolution dans le temps des comportements des usagers confrontés au choix de mode entre la voiture et les TC, on peut considérer que ces nouveaux volumes de trafics sous-estiment encore le trafic du GPE auquel on doit pouvoir s’attendre en 2030 car</w:t>
      </w:r>
      <w:r w:rsidR="00005CE8">
        <w:rPr>
          <w:rFonts w:cs="Arial"/>
          <w:szCs w:val="20"/>
        </w:rPr>
        <w:t>, comme on l’a vu,</w:t>
      </w:r>
      <w:r w:rsidRPr="007B5D89">
        <w:rPr>
          <w:rFonts w:cs="Arial"/>
          <w:szCs w:val="20"/>
        </w:rPr>
        <w:t xml:space="preserve"> </w:t>
      </w:r>
      <w:r w:rsidR="00533A9E">
        <w:rPr>
          <w:rFonts w:cs="Arial"/>
          <w:szCs w:val="20"/>
        </w:rPr>
        <w:t>la</w:t>
      </w:r>
      <w:r w:rsidR="00005CE8">
        <w:rPr>
          <w:rFonts w:cs="Arial"/>
          <w:szCs w:val="20"/>
        </w:rPr>
        <w:t xml:space="preserve"> </w:t>
      </w:r>
      <w:r w:rsidR="00533A9E">
        <w:rPr>
          <w:rFonts w:cs="Arial"/>
          <w:szCs w:val="20"/>
        </w:rPr>
        <w:t>nouvelle</w:t>
      </w:r>
      <w:r w:rsidRPr="007B5D89">
        <w:rPr>
          <w:rFonts w:cs="Arial"/>
          <w:szCs w:val="20"/>
        </w:rPr>
        <w:t xml:space="preserve"> enquête EGT, réalisée depuis la construction de la dernière version du modèle MODUS, a révélé qu’en 2018 la part modale des TC avait encore augmenté depuis l’enquête de 2010. Aussi, les constatations faites ci-dessus incitent à penser que </w:t>
      </w:r>
      <w:r w:rsidR="00005CE8">
        <w:rPr>
          <w:rFonts w:cs="Arial"/>
          <w:szCs w:val="20"/>
        </w:rPr>
        <w:t xml:space="preserve">quand la </w:t>
      </w:r>
      <w:r w:rsidRPr="007B5D89">
        <w:rPr>
          <w:rFonts w:cs="Arial"/>
          <w:szCs w:val="20"/>
        </w:rPr>
        <w:t xml:space="preserve">nouvelle version du modèle MODUS </w:t>
      </w:r>
      <w:r w:rsidR="00005CE8">
        <w:rPr>
          <w:rFonts w:cs="Arial"/>
          <w:szCs w:val="20"/>
        </w:rPr>
        <w:t>sera</w:t>
      </w:r>
      <w:r w:rsidRPr="007B5D89">
        <w:rPr>
          <w:rFonts w:cs="Arial"/>
          <w:szCs w:val="20"/>
        </w:rPr>
        <w:t xml:space="preserve"> calibrée sur les données de cette EGT 2018, </w:t>
      </w:r>
      <w:r w:rsidR="00005CE8">
        <w:rPr>
          <w:rFonts w:cs="Arial"/>
          <w:szCs w:val="20"/>
        </w:rPr>
        <w:t xml:space="preserve">il est probable que </w:t>
      </w:r>
      <w:r w:rsidRPr="007B5D89">
        <w:rPr>
          <w:rFonts w:cs="Arial"/>
          <w:szCs w:val="20"/>
        </w:rPr>
        <w:t xml:space="preserve">le trafic estimé à l’horizon 2030 </w:t>
      </w:r>
      <w:r w:rsidR="00005CE8">
        <w:rPr>
          <w:rFonts w:cs="Arial"/>
          <w:szCs w:val="20"/>
        </w:rPr>
        <w:t xml:space="preserve">pour l’ensemble des TC comme pour le GPE </w:t>
      </w:r>
      <w:r w:rsidRPr="007B5D89">
        <w:rPr>
          <w:rFonts w:cs="Arial"/>
          <w:szCs w:val="20"/>
        </w:rPr>
        <w:t>serait encore supérieur aux valeurs indiquées plus haut, toutes choses égales d’ailleurs.</w:t>
      </w:r>
    </w:p>
    <w:p w14:paraId="666B9B08" w14:textId="77777777" w:rsidR="009C1FDF" w:rsidRPr="007B5D89" w:rsidRDefault="009C1FDF" w:rsidP="00267347">
      <w:pPr>
        <w:jc w:val="both"/>
        <w:rPr>
          <w:rFonts w:cs="Arial"/>
          <w:szCs w:val="20"/>
        </w:rPr>
      </w:pPr>
    </w:p>
    <w:p w14:paraId="6F5665C8" w14:textId="31D53203" w:rsidR="001F4F1C" w:rsidRPr="007B5D89" w:rsidRDefault="001F4F1C" w:rsidP="001F4F1C">
      <w:pPr>
        <w:jc w:val="both"/>
        <w:rPr>
          <w:rFonts w:cs="Arial"/>
          <w:szCs w:val="20"/>
        </w:rPr>
      </w:pPr>
      <w:r w:rsidRPr="007B5D89">
        <w:rPr>
          <w:rFonts w:cs="Arial"/>
          <w:szCs w:val="20"/>
        </w:rPr>
        <w:t>Il convient, en outre, de noter que la nouvelle prévision de trafic a été réalisée pour un futur réseau du GPE moins ambitieux que celui qui correspondait à la prévision antérieure</w:t>
      </w:r>
      <w:r w:rsidR="00187320">
        <w:rPr>
          <w:rFonts w:cs="Arial"/>
          <w:szCs w:val="20"/>
        </w:rPr>
        <w:t>,</w:t>
      </w:r>
      <w:r w:rsidR="007D095C">
        <w:rPr>
          <w:rFonts w:cs="Arial"/>
          <w:szCs w:val="20"/>
        </w:rPr>
        <w:t xml:space="preserve"> car n’ont été retenues par les modélisateurs de ces nouvelles prévisions que les lignes en service à l’horizon 2030.</w:t>
      </w:r>
      <w:r w:rsidRPr="007B5D89">
        <w:rPr>
          <w:rFonts w:cs="Arial"/>
          <w:szCs w:val="20"/>
        </w:rPr>
        <w:t xml:space="preserve"> Ainsi, la section Pleyel à Nanterre de </w:t>
      </w:r>
      <w:r w:rsidR="00187320">
        <w:rPr>
          <w:rFonts w:cs="Arial"/>
          <w:szCs w:val="20"/>
        </w:rPr>
        <w:t xml:space="preserve">la </w:t>
      </w:r>
      <w:r w:rsidRPr="007B5D89">
        <w:rPr>
          <w:rFonts w:cs="Arial"/>
          <w:szCs w:val="20"/>
        </w:rPr>
        <w:t>ligne orange n’a pas été prise en compte dans la modélisation de 2020 (</w:t>
      </w:r>
      <w:r w:rsidR="00187320">
        <w:rPr>
          <w:rFonts w:cs="Arial"/>
          <w:szCs w:val="20"/>
        </w:rPr>
        <w:t>alors qu’</w:t>
      </w:r>
      <w:r w:rsidRPr="007B5D89">
        <w:rPr>
          <w:rFonts w:cs="Arial"/>
          <w:szCs w:val="20"/>
        </w:rPr>
        <w:t>elle l’avait été en 2012). Il en est de même pour le prolongement de la ligne 12 vers le sud. En outre, le prolongement de l</w:t>
      </w:r>
      <w:r w:rsidR="00187320">
        <w:rPr>
          <w:rFonts w:cs="Arial"/>
          <w:szCs w:val="20"/>
        </w:rPr>
        <w:t xml:space="preserve">a </w:t>
      </w:r>
      <w:r w:rsidRPr="007B5D89">
        <w:rPr>
          <w:rFonts w:cs="Arial"/>
          <w:szCs w:val="20"/>
        </w:rPr>
        <w:t xml:space="preserve">ligne verte de Versailles à Nanterre </w:t>
      </w:r>
      <w:r w:rsidR="00187320" w:rsidRPr="007B5D89">
        <w:rPr>
          <w:rFonts w:cs="Arial"/>
          <w:szCs w:val="20"/>
        </w:rPr>
        <w:t xml:space="preserve">(ligne 18) </w:t>
      </w:r>
      <w:r w:rsidRPr="007B5D89">
        <w:rPr>
          <w:rFonts w:cs="Arial"/>
          <w:szCs w:val="20"/>
        </w:rPr>
        <w:t>avait été pris en compte dans la prévision du schéma d’ensemble de 2012 mais ne l’a pas été dans celle de 2020. Il s’ensuit que les deux prévisions du trafic futur sur ce schéma d’ensemble du GPE ne sont pas rigoureusement comparables. Et</w:t>
      </w:r>
      <w:r w:rsidR="007D095C">
        <w:rPr>
          <w:rFonts w:cs="Arial"/>
          <w:szCs w:val="20"/>
        </w:rPr>
        <w:t xml:space="preserve"> donc</w:t>
      </w:r>
      <w:r w:rsidRPr="007B5D89">
        <w:rPr>
          <w:rFonts w:cs="Arial"/>
          <w:szCs w:val="20"/>
        </w:rPr>
        <w:t xml:space="preserve">, toutes choses égales d’ailleurs, la nouvelle prévision, comparée à la précédente, est, en valeur relative, </w:t>
      </w:r>
      <w:r w:rsidR="007D095C">
        <w:rPr>
          <w:rFonts w:cs="Arial"/>
          <w:szCs w:val="20"/>
        </w:rPr>
        <w:t xml:space="preserve">encore </w:t>
      </w:r>
      <w:r w:rsidRPr="007B5D89">
        <w:rPr>
          <w:rFonts w:cs="Arial"/>
          <w:szCs w:val="20"/>
        </w:rPr>
        <w:t>plus élevée que ne le laissent penser les chiffres fournis plus haut.</w:t>
      </w:r>
    </w:p>
    <w:p w14:paraId="1FDA19DC" w14:textId="77777777" w:rsidR="004D04E6" w:rsidRPr="007B5D89" w:rsidRDefault="004D04E6" w:rsidP="001F4F1C">
      <w:pPr>
        <w:jc w:val="both"/>
        <w:rPr>
          <w:rFonts w:cs="Arial"/>
          <w:szCs w:val="20"/>
        </w:rPr>
      </w:pPr>
    </w:p>
    <w:p w14:paraId="1832C904" w14:textId="15906E6D" w:rsidR="001F4F1C" w:rsidRPr="007B5D89" w:rsidRDefault="007D095C" w:rsidP="001F4F1C">
      <w:pPr>
        <w:jc w:val="both"/>
        <w:rPr>
          <w:rFonts w:cs="Arial"/>
          <w:szCs w:val="20"/>
        </w:rPr>
      </w:pPr>
      <w:r>
        <w:rPr>
          <w:rFonts w:cs="Arial"/>
          <w:szCs w:val="20"/>
        </w:rPr>
        <w:t>U</w:t>
      </w:r>
      <w:r w:rsidR="001F4F1C" w:rsidRPr="007B5D89">
        <w:rPr>
          <w:rFonts w:cs="Arial"/>
          <w:szCs w:val="20"/>
        </w:rPr>
        <w:t xml:space="preserve">ne prévision à l’horizon 2035, intégrant les tronçons Versailles–Nanterre et Saint-Denis Pleyel–Nanterre, conduirait évidemment à une fréquentation du Grand Paris Express supérieure aux estimations précédentes également amplifiée par la croissance démographique au-delà de 2030. </w:t>
      </w:r>
    </w:p>
    <w:p w14:paraId="4D61250A" w14:textId="77777777" w:rsidR="009C1FDF" w:rsidRPr="007B5D89" w:rsidRDefault="009C1FDF" w:rsidP="001F4F1C">
      <w:pPr>
        <w:jc w:val="both"/>
        <w:rPr>
          <w:szCs w:val="20"/>
        </w:rPr>
      </w:pPr>
    </w:p>
    <w:p w14:paraId="3D12DA79" w14:textId="67DF9542" w:rsidR="00A51C82" w:rsidRDefault="00A51C82" w:rsidP="004C4CA3">
      <w:pPr>
        <w:jc w:val="both"/>
        <w:rPr>
          <w:szCs w:val="20"/>
        </w:rPr>
      </w:pPr>
      <w:r w:rsidRPr="007B5D89">
        <w:rPr>
          <w:szCs w:val="20"/>
        </w:rPr>
        <w:t>Les résultats de modélisation mettent en évidence l’impact relativement faible du niveau du cadrage socio-démographique</w:t>
      </w:r>
      <w:r w:rsidR="007D095C">
        <w:rPr>
          <w:szCs w:val="20"/>
        </w:rPr>
        <w:t xml:space="preserve"> global</w:t>
      </w:r>
      <w:r w:rsidRPr="007B5D89">
        <w:rPr>
          <w:szCs w:val="20"/>
        </w:rPr>
        <w:t xml:space="preserve"> utilisé en référence sur les prévisions de trafic aux horizons projetés</w:t>
      </w:r>
      <w:r w:rsidR="007D095C">
        <w:rPr>
          <w:szCs w:val="20"/>
        </w:rPr>
        <w:t xml:space="preserve"> pour l’ensemble de la région</w:t>
      </w:r>
      <w:r w:rsidRPr="007B5D89">
        <w:rPr>
          <w:szCs w:val="20"/>
        </w:rPr>
        <w:t xml:space="preserve">. Cela illustre le poids prépondérant du volume actuel d’habitants et d’emplois dans la région d’Île-de-France, qui générera la grande majorité des déplacements effectués à l’horizon 2030. </w:t>
      </w:r>
      <w:r w:rsidR="00187320">
        <w:rPr>
          <w:szCs w:val="20"/>
        </w:rPr>
        <w:t xml:space="preserve">Cela signifie que le niveau de la croissance de la population et de l’emploi n’a qu’une incidence modeste sur le trafic global attendu sur le Grand Paris Express. </w:t>
      </w:r>
      <w:r w:rsidR="00A97CBB" w:rsidRPr="007B5D89">
        <w:rPr>
          <w:szCs w:val="20"/>
        </w:rPr>
        <w:t xml:space="preserve">Mais cette remarque, valable à l’échelle du Grand Paris Express dans sa globalité et pour la plupart des lignes, ne l’est pas pour </w:t>
      </w:r>
      <w:r w:rsidR="007B5D89">
        <w:rPr>
          <w:szCs w:val="20"/>
        </w:rPr>
        <w:t>des</w:t>
      </w:r>
      <w:r w:rsidR="00A97CBB" w:rsidRPr="007B5D89">
        <w:rPr>
          <w:szCs w:val="20"/>
        </w:rPr>
        <w:t xml:space="preserve"> lignes </w:t>
      </w:r>
      <w:r w:rsidR="007B5D89">
        <w:rPr>
          <w:szCs w:val="20"/>
        </w:rPr>
        <w:t xml:space="preserve">dont l’environnement urbain </w:t>
      </w:r>
      <w:r w:rsidR="00A97CBB" w:rsidRPr="007B5D89">
        <w:rPr>
          <w:szCs w:val="20"/>
        </w:rPr>
        <w:t>v</w:t>
      </w:r>
      <w:r w:rsidR="008C6F0F">
        <w:rPr>
          <w:szCs w:val="20"/>
        </w:rPr>
        <w:t>a</w:t>
      </w:r>
      <w:r w:rsidR="00A97CBB" w:rsidRPr="007B5D89">
        <w:rPr>
          <w:szCs w:val="20"/>
        </w:rPr>
        <w:t xml:space="preserve"> connaître un développement très important du fait de la mise en service du Grand Paris Express</w:t>
      </w:r>
      <w:r w:rsidR="007D095C">
        <w:rPr>
          <w:szCs w:val="20"/>
        </w:rPr>
        <w:t>, comme les zones de Saclay et du corridor nord de Paris, celui de l’axe Saint Denis-Roissy</w:t>
      </w:r>
      <w:r w:rsidR="00A97CBB" w:rsidRPr="007B5D89">
        <w:rPr>
          <w:szCs w:val="20"/>
        </w:rPr>
        <w:t xml:space="preserve">. </w:t>
      </w:r>
    </w:p>
    <w:p w14:paraId="076DE09E" w14:textId="2E0ED7C4" w:rsidR="00644CC4" w:rsidRDefault="00644CC4" w:rsidP="004C4CA3">
      <w:pPr>
        <w:jc w:val="both"/>
        <w:rPr>
          <w:szCs w:val="20"/>
        </w:rPr>
      </w:pPr>
    </w:p>
    <w:tbl>
      <w:tblPr>
        <w:tblStyle w:val="Grilledutableau"/>
        <w:tblW w:w="0" w:type="auto"/>
        <w:tblLook w:val="04A0" w:firstRow="1" w:lastRow="0" w:firstColumn="1" w:lastColumn="0" w:noHBand="0" w:noVBand="1"/>
      </w:tblPr>
      <w:tblGrid>
        <w:gridCol w:w="10127"/>
      </w:tblGrid>
      <w:tr w:rsidR="007F174E" w:rsidRPr="007F174E" w14:paraId="2F6ABD53" w14:textId="77777777" w:rsidTr="00644CC4">
        <w:tc>
          <w:tcPr>
            <w:tcW w:w="10127" w:type="dxa"/>
          </w:tcPr>
          <w:p w14:paraId="158784F4" w14:textId="77777777" w:rsidR="00644CC4" w:rsidRPr="007F174E" w:rsidRDefault="00644CC4" w:rsidP="00644CC4">
            <w:pPr>
              <w:jc w:val="both"/>
              <w:rPr>
                <w:color w:val="00B050"/>
                <w:szCs w:val="20"/>
              </w:rPr>
            </w:pPr>
            <w:r w:rsidRPr="007F174E">
              <w:rPr>
                <w:b/>
                <w:bCs/>
                <w:color w:val="00B050"/>
                <w:szCs w:val="20"/>
              </w:rPr>
              <w:lastRenderedPageBreak/>
              <w:t>MODUS</w:t>
            </w:r>
            <w:r w:rsidRPr="007F174E">
              <w:rPr>
                <w:color w:val="00B050"/>
                <w:szCs w:val="20"/>
              </w:rPr>
              <w:t xml:space="preserve"> (acronyme de MOdèle de Déplacements Urbains et Suburbains) est un modèle de déplacement macroscopique statique multimodal à 4 étapes développé et géré par la Direction Régionale et Interdépartementale de l’Équipement et de l’Aménagement d’Ile-de-France. </w:t>
            </w:r>
          </w:p>
          <w:p w14:paraId="0B04314D" w14:textId="77777777" w:rsidR="00644CC4" w:rsidRPr="007F174E" w:rsidRDefault="00644CC4" w:rsidP="00644CC4">
            <w:pPr>
              <w:jc w:val="both"/>
              <w:rPr>
                <w:color w:val="00B050"/>
                <w:szCs w:val="20"/>
              </w:rPr>
            </w:pPr>
            <w:r w:rsidRPr="007F174E">
              <w:rPr>
                <w:color w:val="00B050"/>
                <w:szCs w:val="20"/>
              </w:rPr>
              <w:t>La DRIEA-IF, en tant que service déconcentré ministériel, utilise MODUS pour éclairer les décisions de l’État concernant : les investissements dans les infrastructures de transports en commun franciliens, la gestion et la modernisation du réseau routier national et de manière plus large dans le portage régional des politiques de mobilités durables. Concrètement, les simulations issues de MODUS servent à modéliser des projections en matière de déplacements mais aussi à évaluer des projets à la manière « avant/après »). Enfin, les sorties de MODUS alimentent des modèles plus locaux, par exemple ceux des départements, comme entrées de cadrage général, que les modélisations locales viennent raffiner.</w:t>
            </w:r>
          </w:p>
          <w:p w14:paraId="3AE41457" w14:textId="77777777" w:rsidR="00644CC4" w:rsidRPr="007F174E" w:rsidRDefault="00644CC4" w:rsidP="00644CC4">
            <w:pPr>
              <w:jc w:val="both"/>
              <w:rPr>
                <w:color w:val="00B050"/>
                <w:szCs w:val="20"/>
              </w:rPr>
            </w:pPr>
            <w:r w:rsidRPr="007F174E">
              <w:rPr>
                <w:color w:val="00B050"/>
                <w:szCs w:val="20"/>
              </w:rPr>
              <w:t xml:space="preserve">L’État possède ainsi un outil propre, adaptable et utilisable en continu, permettant d’expertiser les projets ou politiques de transports terrestres en Île-de-France. Ce modèle opérationnel de déplacements indépendant et développé en régie, à la DRIEA-IF, permet à l’État d’avoir un positionnement objectivé, et d'alimenter ainsi la réflexion et la discussion avec les autres acteurs publics ou privés en mettant à disposition les résultats obtenus. Les résultats des modélisations et analyses sont le fruit de méthodes et d’outils développés en regard de l’état de l’art scientifique en la matière et des hypothèses jugées les plus tangibles et pertinentes à l’heure actuelle. </w:t>
            </w:r>
          </w:p>
          <w:p w14:paraId="5AED1E60" w14:textId="77777777" w:rsidR="00644CC4" w:rsidRPr="007F174E" w:rsidRDefault="00644CC4" w:rsidP="00644CC4">
            <w:pPr>
              <w:jc w:val="both"/>
              <w:rPr>
                <w:color w:val="00B050"/>
                <w:szCs w:val="20"/>
              </w:rPr>
            </w:pPr>
            <w:r w:rsidRPr="007F174E">
              <w:rPr>
                <w:color w:val="00B050"/>
                <w:szCs w:val="20"/>
              </w:rPr>
              <w:t xml:space="preserve">MODUS 3.1 est donc issu des améliorations les plus récentes et de l’actualisation du modèle antérieur MODUS 2.2 qui avait été utilisé pour réaliser les prévisions de trafic des différentes lignes du Grand Paris Express des dossiers de déclaration d’utilité publique de 2014 à 2020. Les différentes préconisations formulées par le Commissariat général de l’environnement et du développement durable, le Centre d’Etudes et d’Expertise sur les Risques, l’Environnement, la Mobilité, l’Aménagement ainsi que le conseil scientifique de la Société du Grand Paris. </w:t>
            </w:r>
          </w:p>
          <w:p w14:paraId="55B341BC" w14:textId="77777777" w:rsidR="00644CC4" w:rsidRPr="007F174E" w:rsidRDefault="00644CC4" w:rsidP="00644CC4">
            <w:pPr>
              <w:jc w:val="both"/>
              <w:rPr>
                <w:color w:val="00B050"/>
                <w:szCs w:val="20"/>
              </w:rPr>
            </w:pPr>
          </w:p>
          <w:p w14:paraId="58EDA29C" w14:textId="77777777" w:rsidR="00644CC4" w:rsidRPr="007F174E" w:rsidRDefault="00644CC4" w:rsidP="00644CC4">
            <w:pPr>
              <w:jc w:val="both"/>
              <w:rPr>
                <w:color w:val="00B050"/>
                <w:szCs w:val="20"/>
              </w:rPr>
            </w:pPr>
            <w:r w:rsidRPr="007F174E">
              <w:rPr>
                <w:color w:val="00B050"/>
                <w:szCs w:val="20"/>
              </w:rPr>
              <w:t>Les améliorations introduites dans MODUS-3 sont les suivantes :</w:t>
            </w:r>
          </w:p>
          <w:p w14:paraId="2F84284B" w14:textId="77777777" w:rsidR="00644CC4" w:rsidRPr="007F174E" w:rsidRDefault="00644CC4" w:rsidP="00644CC4">
            <w:pPr>
              <w:jc w:val="both"/>
              <w:rPr>
                <w:color w:val="00B050"/>
                <w:szCs w:val="20"/>
              </w:rPr>
            </w:pPr>
          </w:p>
          <w:p w14:paraId="7C0A951E" w14:textId="77777777" w:rsidR="00644CC4" w:rsidRPr="007F174E" w:rsidRDefault="00644CC4" w:rsidP="00644CC4">
            <w:pPr>
              <w:jc w:val="both"/>
              <w:rPr>
                <w:color w:val="00B050"/>
                <w:szCs w:val="20"/>
              </w:rPr>
            </w:pPr>
            <w:r w:rsidRPr="007F174E">
              <w:rPr>
                <w:color w:val="00B050"/>
                <w:szCs w:val="20"/>
              </w:rPr>
              <w:t>• Refonte du modèle de demande au travers : d’une définition d’une nouvelle segmentation ; de l’étendue des périodes (à 4 heures) de pointe du matin (6-10h) et du soir (16-20h) et de la création d’une plage creuse (10-16h) de jour (dites désormais respectivement PPM, PPS et PCJ) ; de travaux sur le calibrage du choix modal (fonction d’utilité non linéaire avec la prise en compte de la contrainte de stationnement) ; d’une segmentation des motifs de déplacements affinée ; de l’intégration des matrices relatives aux nouveaux cordons routiers franciliens ; de l’amélioration de la projection de la demande des poids lourds (PL).</w:t>
            </w:r>
          </w:p>
          <w:p w14:paraId="3D0791DD" w14:textId="77777777" w:rsidR="00644CC4" w:rsidRPr="007F174E" w:rsidRDefault="00644CC4" w:rsidP="00644CC4">
            <w:pPr>
              <w:jc w:val="both"/>
              <w:rPr>
                <w:color w:val="00B050"/>
                <w:szCs w:val="20"/>
              </w:rPr>
            </w:pPr>
            <w:r w:rsidRPr="007F174E">
              <w:rPr>
                <w:color w:val="00B050"/>
                <w:szCs w:val="20"/>
              </w:rPr>
              <w:t>• Projection des demandes exogènes (c’est-à-dire les cordons pour les véhicules légers (VL) et les PL, la demande interne de PL, les gares et aéroports), qui sont traduites sous la forme de matrices origines-destinations (OD) en entrée de MODUS.</w:t>
            </w:r>
          </w:p>
          <w:p w14:paraId="6673AFC3" w14:textId="77777777" w:rsidR="00644CC4" w:rsidRPr="007F174E" w:rsidRDefault="00644CC4" w:rsidP="00644CC4">
            <w:pPr>
              <w:jc w:val="both"/>
              <w:rPr>
                <w:color w:val="00B050"/>
                <w:szCs w:val="20"/>
              </w:rPr>
            </w:pPr>
            <w:r w:rsidRPr="007F174E">
              <w:rPr>
                <w:color w:val="00B050"/>
                <w:szCs w:val="20"/>
              </w:rPr>
              <w:t>Amélioration des modèles d’affectation routière et transports en commun (TC). Par exemple les véhicules légers (VL) et PL sont désormais distingués dans le choix d’itinéraires, il est introduit des courbes débits-vitesses plus contraignantes afin de mieux représenter les débits des routes prises dans la congestion, ou encore l’affectation TC est calibrée sur les enquêtes OD des opérateurs franciliens et s’appuie sur une description plus exhaustive de l’offre (cf. ci-dessous).</w:t>
            </w:r>
          </w:p>
          <w:p w14:paraId="7F2ABBEE" w14:textId="77777777" w:rsidR="00644CC4" w:rsidRPr="007F174E" w:rsidRDefault="00644CC4" w:rsidP="00644CC4">
            <w:pPr>
              <w:jc w:val="both"/>
              <w:rPr>
                <w:color w:val="00B050"/>
                <w:szCs w:val="20"/>
              </w:rPr>
            </w:pPr>
            <w:r w:rsidRPr="007F174E">
              <w:rPr>
                <w:color w:val="00B050"/>
                <w:szCs w:val="20"/>
              </w:rPr>
              <w:t>• Création d’un réseau TC modélisé à partir des données au format GTFS  d’Île-de-France Mobilités (IDFM).</w:t>
            </w:r>
          </w:p>
          <w:p w14:paraId="25788F7A" w14:textId="77777777" w:rsidR="00644CC4" w:rsidRPr="007F174E" w:rsidRDefault="00644CC4" w:rsidP="00644CC4">
            <w:pPr>
              <w:jc w:val="both"/>
              <w:rPr>
                <w:color w:val="00B050"/>
                <w:szCs w:val="20"/>
              </w:rPr>
            </w:pPr>
            <w:r w:rsidRPr="007F174E">
              <w:rPr>
                <w:color w:val="00B050"/>
                <w:szCs w:val="20"/>
              </w:rPr>
              <w:t>• Développement d’une nouvelle méthodologie de génération et d’intégration des connecteurs TC.</w:t>
            </w:r>
          </w:p>
          <w:p w14:paraId="107D3BC5" w14:textId="21A6E668" w:rsidR="00644CC4" w:rsidRPr="007F174E" w:rsidRDefault="00644CC4" w:rsidP="00644CC4">
            <w:pPr>
              <w:jc w:val="both"/>
              <w:rPr>
                <w:color w:val="00B050"/>
                <w:szCs w:val="20"/>
              </w:rPr>
            </w:pPr>
            <w:r w:rsidRPr="007F174E">
              <w:rPr>
                <w:color w:val="00B050"/>
                <w:szCs w:val="20"/>
              </w:rPr>
              <w:t>• Génération d’une nouvelle chaîne globale de codage de MODUS.</w:t>
            </w:r>
          </w:p>
        </w:tc>
      </w:tr>
    </w:tbl>
    <w:p w14:paraId="54AD912A" w14:textId="6F1A72E9" w:rsidR="00644CC4" w:rsidRPr="007F174E" w:rsidRDefault="00644CC4" w:rsidP="00644CC4">
      <w:pPr>
        <w:jc w:val="both"/>
        <w:rPr>
          <w:i/>
          <w:iCs/>
          <w:color w:val="00B050"/>
          <w:szCs w:val="20"/>
        </w:rPr>
      </w:pPr>
      <w:r w:rsidRPr="007F174E">
        <w:rPr>
          <w:i/>
          <w:iCs/>
          <w:color w:val="00B050"/>
          <w:szCs w:val="20"/>
        </w:rPr>
        <w:t xml:space="preserve">Source DRIEA Île de </w:t>
      </w:r>
      <w:r w:rsidR="00374564" w:rsidRPr="007F174E">
        <w:rPr>
          <w:i/>
          <w:iCs/>
          <w:color w:val="00B050"/>
          <w:szCs w:val="20"/>
        </w:rPr>
        <w:t>France, rapport MODUS, janvier 2021</w:t>
      </w:r>
    </w:p>
    <w:p w14:paraId="0A784B21" w14:textId="77777777" w:rsidR="00644CC4" w:rsidRPr="007F174E" w:rsidRDefault="00644CC4" w:rsidP="004C4CA3">
      <w:pPr>
        <w:jc w:val="both"/>
        <w:rPr>
          <w:color w:val="00B050"/>
          <w:szCs w:val="20"/>
        </w:rPr>
      </w:pPr>
    </w:p>
    <w:p w14:paraId="25119BE9" w14:textId="77777777" w:rsidR="007735FB" w:rsidRPr="00A51C82" w:rsidRDefault="007735FB" w:rsidP="007735FB">
      <w:pPr>
        <w:jc w:val="both"/>
        <w:rPr>
          <w:rFonts w:eastAsia="Calibri"/>
          <w:szCs w:val="20"/>
          <w:lang w:val="fr-CA"/>
        </w:rPr>
      </w:pPr>
    </w:p>
    <w:p w14:paraId="27BC2EA9" w14:textId="77777777" w:rsidR="00A51C82" w:rsidRPr="008C6F0F" w:rsidRDefault="00A51C82" w:rsidP="000F4BF8">
      <w:pPr>
        <w:tabs>
          <w:tab w:val="left" w:pos="1134"/>
        </w:tabs>
        <w:ind w:left="1134"/>
        <w:jc w:val="both"/>
        <w:rPr>
          <w:szCs w:val="20"/>
        </w:rPr>
      </w:pPr>
    </w:p>
    <w:p w14:paraId="550A1347" w14:textId="77777777" w:rsidR="00644CC4" w:rsidRPr="006F7E0A" w:rsidRDefault="00A13130" w:rsidP="00644CC4">
      <w:pPr>
        <w:pStyle w:val="Titre3"/>
      </w:pPr>
      <w:r w:rsidRPr="00644CC4">
        <w:rPr>
          <w:szCs w:val="20"/>
        </w:rPr>
        <w:br w:type="column"/>
      </w:r>
      <w:bookmarkStart w:id="71" w:name="_Toc63352137"/>
      <w:r w:rsidR="00644CC4" w:rsidRPr="006F7E0A">
        <w:t>Les trafics des lignes</w:t>
      </w:r>
      <w:bookmarkEnd w:id="71"/>
    </w:p>
    <w:p w14:paraId="7E9276FC" w14:textId="77777777" w:rsidR="00644CC4" w:rsidRDefault="00644CC4" w:rsidP="00644CC4">
      <w:pPr>
        <w:jc w:val="both"/>
        <w:rPr>
          <w:szCs w:val="20"/>
        </w:rPr>
      </w:pPr>
    </w:p>
    <w:p w14:paraId="53EBACD6" w14:textId="77777777" w:rsidR="00644CC4" w:rsidRPr="008C6F0F" w:rsidRDefault="00644CC4" w:rsidP="00644CC4">
      <w:pPr>
        <w:jc w:val="both"/>
        <w:rPr>
          <w:szCs w:val="20"/>
        </w:rPr>
      </w:pPr>
      <w:r>
        <w:rPr>
          <w:szCs w:val="20"/>
        </w:rPr>
        <w:t>La</w:t>
      </w:r>
      <w:r w:rsidRPr="008C6F0F">
        <w:rPr>
          <w:szCs w:val="20"/>
        </w:rPr>
        <w:t xml:space="preserve"> charge des différentes sections du réseau Grand Paris Express varie en fonction de la structure des déplacements actuels et prévisibles, des caractéristiques des territoires traversés</w:t>
      </w:r>
      <w:r>
        <w:rPr>
          <w:szCs w:val="20"/>
        </w:rPr>
        <w:t>,</w:t>
      </w:r>
      <w:r w:rsidRPr="008C6F0F">
        <w:rPr>
          <w:szCs w:val="20"/>
        </w:rPr>
        <w:t xml:space="preserve"> ainsi que de la nature du maillage avec le réseau de transport en commun existant et futur :</w:t>
      </w:r>
    </w:p>
    <w:p w14:paraId="1352815C" w14:textId="77777777" w:rsidR="00644CC4" w:rsidRPr="008C6F0F" w:rsidRDefault="00644CC4" w:rsidP="00644CC4">
      <w:pPr>
        <w:tabs>
          <w:tab w:val="left" w:pos="0"/>
        </w:tabs>
        <w:jc w:val="both"/>
        <w:rPr>
          <w:szCs w:val="20"/>
        </w:rPr>
      </w:pPr>
    </w:p>
    <w:p w14:paraId="5F396450" w14:textId="77777777" w:rsidR="00644CC4" w:rsidRDefault="00644CC4" w:rsidP="00644CC4">
      <w:pPr>
        <w:tabs>
          <w:tab w:val="left" w:pos="0"/>
        </w:tabs>
        <w:jc w:val="both"/>
        <w:rPr>
          <w:szCs w:val="20"/>
        </w:rPr>
      </w:pPr>
      <w:r w:rsidRPr="008C6F0F">
        <w:rPr>
          <w:szCs w:val="20"/>
        </w:rPr>
        <w:t xml:space="preserve">La </w:t>
      </w:r>
      <w:r w:rsidRPr="008C6F0F">
        <w:rPr>
          <w:b/>
          <w:szCs w:val="20"/>
        </w:rPr>
        <w:t xml:space="preserve">ligne 14 </w:t>
      </w:r>
      <w:r w:rsidRPr="008C6F0F">
        <w:rPr>
          <w:szCs w:val="20"/>
        </w:rPr>
        <w:t xml:space="preserve">entre Saint-Denis Pleyel et Orly constitue une liaison « diamétrale », traversant Paris du nord au sud. A l’horizon 2030, environ 40% à 45% des voyageurs à l’heure de pointe du matin qui empruntent au moins une ligne du réseau Grand Paris Express utilisent la ligne 14 (y compris dans sa partie existante). </w:t>
      </w:r>
    </w:p>
    <w:p w14:paraId="37CA2C40" w14:textId="77777777" w:rsidR="00644CC4" w:rsidRPr="008C6F0F" w:rsidRDefault="00644CC4" w:rsidP="00644CC4">
      <w:pPr>
        <w:tabs>
          <w:tab w:val="left" w:pos="0"/>
        </w:tabs>
        <w:jc w:val="both"/>
        <w:rPr>
          <w:szCs w:val="20"/>
        </w:rPr>
      </w:pPr>
    </w:p>
    <w:p w14:paraId="62106F43" w14:textId="77777777" w:rsidR="00644CC4" w:rsidRDefault="00644CC4" w:rsidP="00644CC4">
      <w:pPr>
        <w:tabs>
          <w:tab w:val="left" w:pos="0"/>
        </w:tabs>
        <w:jc w:val="both"/>
        <w:rPr>
          <w:szCs w:val="20"/>
        </w:rPr>
      </w:pPr>
      <w:r w:rsidRPr="008C6F0F">
        <w:rPr>
          <w:szCs w:val="20"/>
        </w:rPr>
        <w:t>La ligne présente alors la structure de charge traditionnelle d’une ligne centrée sur Paris : elle se charge progressivement dans la première partie de son tracé, pour connaître sa charge maximale à l’intérieur de Paris, avant de se décharger progressivement dans la seconde partie de son tracé. A l’heure de pointe du matin, la ligne est davantage utilisée dans le sens Sud &gt; Nord ; les deux sens de circulation sont toutefois globalement équilibrés en termes de fréquentation</w:t>
      </w:r>
      <w:r>
        <w:rPr>
          <w:szCs w:val="20"/>
        </w:rPr>
        <w:t xml:space="preserve"> quotidienne</w:t>
      </w:r>
      <w:r w:rsidRPr="008C6F0F">
        <w:rPr>
          <w:szCs w:val="20"/>
        </w:rPr>
        <w:t>.</w:t>
      </w:r>
    </w:p>
    <w:p w14:paraId="2B893947" w14:textId="77777777" w:rsidR="00644CC4" w:rsidRPr="008C6F0F" w:rsidRDefault="00644CC4" w:rsidP="00644CC4">
      <w:pPr>
        <w:tabs>
          <w:tab w:val="left" w:pos="0"/>
        </w:tabs>
        <w:jc w:val="both"/>
        <w:rPr>
          <w:szCs w:val="20"/>
        </w:rPr>
      </w:pPr>
    </w:p>
    <w:p w14:paraId="4A672DC3" w14:textId="5DEA8303" w:rsidR="00644CC4" w:rsidRPr="007F174E" w:rsidRDefault="00644CC4" w:rsidP="00644CC4">
      <w:pPr>
        <w:tabs>
          <w:tab w:val="left" w:pos="0"/>
        </w:tabs>
        <w:jc w:val="both"/>
        <w:rPr>
          <w:color w:val="00B050"/>
          <w:szCs w:val="20"/>
        </w:rPr>
      </w:pPr>
      <w:r w:rsidRPr="008C6F0F">
        <w:rPr>
          <w:szCs w:val="20"/>
        </w:rPr>
        <w:t xml:space="preserve">Le trafic quotidien estimé </w:t>
      </w:r>
      <w:r>
        <w:rPr>
          <w:szCs w:val="20"/>
        </w:rPr>
        <w:t>aujourd’hui</w:t>
      </w:r>
      <w:r w:rsidRPr="008C6F0F">
        <w:rPr>
          <w:szCs w:val="20"/>
        </w:rPr>
        <w:t xml:space="preserve"> sur cette ligne 14, avec la nouvelle version du modèle MODUS, </w:t>
      </w:r>
      <w:r w:rsidRPr="007F174E">
        <w:rPr>
          <w:color w:val="00B050"/>
          <w:szCs w:val="20"/>
        </w:rPr>
        <w:t xml:space="preserve">atteint </w:t>
      </w:r>
      <w:r w:rsidRPr="007F174E">
        <w:rPr>
          <w:b/>
          <w:color w:val="00B050"/>
          <w:szCs w:val="20"/>
        </w:rPr>
        <w:t>à l’horizon 2030</w:t>
      </w:r>
      <w:r w:rsidR="00FF4A46" w:rsidRPr="007F174E">
        <w:rPr>
          <w:b/>
          <w:color w:val="00B050"/>
          <w:szCs w:val="20"/>
        </w:rPr>
        <w:t xml:space="preserve"> plus</w:t>
      </w:r>
      <w:r w:rsidRPr="007F174E">
        <w:rPr>
          <w:b/>
          <w:color w:val="00B050"/>
          <w:szCs w:val="20"/>
        </w:rPr>
        <w:t xml:space="preserve"> d’un million de voyageurs</w:t>
      </w:r>
      <w:r w:rsidRPr="007F174E">
        <w:rPr>
          <w:color w:val="00B050"/>
          <w:szCs w:val="20"/>
        </w:rPr>
        <w:t xml:space="preserve"> pour un jour ouvrable de base (JOB) en semaine, avec une fréquentation à l’heure de pointe du matin (HPM) de </w:t>
      </w:r>
      <w:r w:rsidRPr="007F174E">
        <w:rPr>
          <w:b/>
          <w:color w:val="00B050"/>
          <w:szCs w:val="20"/>
        </w:rPr>
        <w:t>1</w:t>
      </w:r>
      <w:r w:rsidR="00FF4A46" w:rsidRPr="007F174E">
        <w:rPr>
          <w:b/>
          <w:color w:val="00B050"/>
          <w:szCs w:val="20"/>
        </w:rPr>
        <w:t>40 0</w:t>
      </w:r>
      <w:r w:rsidRPr="007F174E">
        <w:rPr>
          <w:b/>
          <w:color w:val="00B050"/>
          <w:szCs w:val="20"/>
        </w:rPr>
        <w:t>00 usagers</w:t>
      </w:r>
      <w:r w:rsidRPr="007F174E">
        <w:rPr>
          <w:color w:val="00B050"/>
          <w:szCs w:val="20"/>
        </w:rPr>
        <w:t xml:space="preserve">. </w:t>
      </w:r>
    </w:p>
    <w:p w14:paraId="73536AED" w14:textId="77777777" w:rsidR="00644CC4" w:rsidRDefault="00644CC4" w:rsidP="00644CC4">
      <w:pPr>
        <w:tabs>
          <w:tab w:val="left" w:pos="0"/>
        </w:tabs>
        <w:jc w:val="both"/>
        <w:rPr>
          <w:szCs w:val="20"/>
        </w:rPr>
      </w:pPr>
    </w:p>
    <w:p w14:paraId="623A052D" w14:textId="77777777" w:rsidR="00644CC4" w:rsidRPr="008C6F0F" w:rsidRDefault="00644CC4" w:rsidP="00644CC4">
      <w:pPr>
        <w:tabs>
          <w:tab w:val="left" w:pos="0"/>
        </w:tabs>
        <w:jc w:val="both"/>
        <w:rPr>
          <w:szCs w:val="20"/>
        </w:rPr>
      </w:pPr>
      <w:r w:rsidRPr="008C6F0F">
        <w:rPr>
          <w:szCs w:val="20"/>
        </w:rPr>
        <w:t>La ligne 14 présente par ailleurs la section de plus forte charge observée sur le réseau Grand Paris Express, nécessitant d’exploiter la ligne à pleine capacité ; celle-ci est située entre Gare de Lyon et Châtelet en direction de Saint-Denis Pleyel (charge proche de 40</w:t>
      </w:r>
      <w:r>
        <w:rPr>
          <w:szCs w:val="20"/>
        </w:rPr>
        <w:t> </w:t>
      </w:r>
      <w:r w:rsidRPr="008C6F0F">
        <w:rPr>
          <w:szCs w:val="20"/>
        </w:rPr>
        <w:t>000 voyageurs par heure).</w:t>
      </w:r>
    </w:p>
    <w:p w14:paraId="7B15D254" w14:textId="66E56B95" w:rsidR="00644CC4" w:rsidRDefault="00644CC4" w:rsidP="000F4BF8">
      <w:pPr>
        <w:tabs>
          <w:tab w:val="left" w:pos="0"/>
        </w:tabs>
        <w:jc w:val="both"/>
        <w:rPr>
          <w:szCs w:val="20"/>
        </w:rPr>
      </w:pPr>
    </w:p>
    <w:p w14:paraId="7956C2C9" w14:textId="3A142910" w:rsidR="00A51C82" w:rsidRPr="007F174E" w:rsidRDefault="00A51C82" w:rsidP="000F4BF8">
      <w:pPr>
        <w:tabs>
          <w:tab w:val="left" w:pos="0"/>
        </w:tabs>
        <w:jc w:val="both"/>
        <w:rPr>
          <w:color w:val="00B050"/>
          <w:szCs w:val="20"/>
        </w:rPr>
      </w:pPr>
      <w:r w:rsidRPr="008C6F0F">
        <w:rPr>
          <w:szCs w:val="20"/>
        </w:rPr>
        <w:t xml:space="preserve">La </w:t>
      </w:r>
      <w:r w:rsidRPr="008C6F0F">
        <w:rPr>
          <w:b/>
          <w:szCs w:val="20"/>
        </w:rPr>
        <w:t>ligne 15</w:t>
      </w:r>
      <w:r w:rsidRPr="008C6F0F">
        <w:rPr>
          <w:szCs w:val="20"/>
        </w:rPr>
        <w:t xml:space="preserve"> assure des liaisons de rocade. A l’horizon 2030, à l’heure de pointe du matin, 50% à 60% des voyageurs qui empruntent au moins une ligne du réseau Grand Paris Express utilisent la ligne 15. Les trajets à destination des pôles d’emploi régionaux de La Défense et de Saint-Denis Pleyel jouent un rôle important dans la structure des déplacements sur la ligne, dont les sections les plus fréquentées se situent dans le sud et dans le nord des Hauts-de-Seine. La ligne 15 est par ailleurs alimentée par de nombreuses lignes radiales de transport en commun, qui lui permettent de jouer pleinement son rôle de rocade facilitant les déplacements de banlieue à banlieue.</w:t>
      </w:r>
      <w:r w:rsidR="00077E37" w:rsidRPr="008C6F0F">
        <w:rPr>
          <w:szCs w:val="20"/>
        </w:rPr>
        <w:t xml:space="preserve"> </w:t>
      </w:r>
      <w:bookmarkStart w:id="72" w:name="_Hlk63354967"/>
      <w:r w:rsidR="00077E37" w:rsidRPr="007F174E">
        <w:rPr>
          <w:color w:val="00B050"/>
          <w:szCs w:val="20"/>
        </w:rPr>
        <w:t xml:space="preserve">Son trafic </w:t>
      </w:r>
      <w:r w:rsidR="00F62A5E" w:rsidRPr="007F174E">
        <w:rPr>
          <w:color w:val="00B050"/>
          <w:szCs w:val="20"/>
        </w:rPr>
        <w:t xml:space="preserve">quotidien </w:t>
      </w:r>
      <w:r w:rsidR="0034006A" w:rsidRPr="007F174E">
        <w:rPr>
          <w:color w:val="00B050"/>
          <w:szCs w:val="20"/>
        </w:rPr>
        <w:t xml:space="preserve">à l’horizon 2030 </w:t>
      </w:r>
      <w:r w:rsidR="00077E37" w:rsidRPr="007F174E">
        <w:rPr>
          <w:color w:val="00B050"/>
          <w:szCs w:val="20"/>
        </w:rPr>
        <w:t xml:space="preserve">a été réestimé </w:t>
      </w:r>
      <w:r w:rsidR="00F62A5E" w:rsidRPr="007F174E">
        <w:rPr>
          <w:color w:val="00B050"/>
          <w:szCs w:val="20"/>
        </w:rPr>
        <w:t xml:space="preserve">à </w:t>
      </w:r>
      <w:r w:rsidR="00FF4A46" w:rsidRPr="007F174E">
        <w:rPr>
          <w:b/>
          <w:color w:val="00B050"/>
          <w:szCs w:val="20"/>
        </w:rPr>
        <w:t>plus</w:t>
      </w:r>
      <w:r w:rsidR="00F62A5E" w:rsidRPr="007F174E">
        <w:rPr>
          <w:b/>
          <w:color w:val="00B050"/>
          <w:szCs w:val="20"/>
        </w:rPr>
        <w:t xml:space="preserve"> de 1,5 million d’usagers</w:t>
      </w:r>
      <w:r w:rsidR="00F62A5E" w:rsidRPr="007F174E">
        <w:rPr>
          <w:color w:val="00B050"/>
          <w:szCs w:val="20"/>
        </w:rPr>
        <w:t xml:space="preserve"> pour un </w:t>
      </w:r>
      <w:r w:rsidR="00332D0A" w:rsidRPr="007F174E">
        <w:rPr>
          <w:color w:val="00B050"/>
          <w:szCs w:val="20"/>
        </w:rPr>
        <w:t>jour ouvrable de base</w:t>
      </w:r>
      <w:r w:rsidR="00F62A5E" w:rsidRPr="007F174E">
        <w:rPr>
          <w:color w:val="00B050"/>
          <w:szCs w:val="20"/>
        </w:rPr>
        <w:t>.</w:t>
      </w:r>
      <w:r w:rsidR="00566A47" w:rsidRPr="007F174E">
        <w:rPr>
          <w:color w:val="00B050"/>
          <w:szCs w:val="20"/>
        </w:rPr>
        <w:t xml:space="preserve"> La fréquentation à l’HPM est dorénavant estimée à </w:t>
      </w:r>
      <w:r w:rsidR="00566A47" w:rsidRPr="007F174E">
        <w:rPr>
          <w:b/>
          <w:color w:val="00B050"/>
          <w:szCs w:val="20"/>
        </w:rPr>
        <w:t>2</w:t>
      </w:r>
      <w:r w:rsidR="00FF4A46" w:rsidRPr="007F174E">
        <w:rPr>
          <w:b/>
          <w:color w:val="00B050"/>
          <w:szCs w:val="20"/>
        </w:rPr>
        <w:t>30</w:t>
      </w:r>
      <w:r w:rsidR="00FC109E" w:rsidRPr="007F174E">
        <w:rPr>
          <w:b/>
          <w:color w:val="00B050"/>
          <w:szCs w:val="20"/>
        </w:rPr>
        <w:t> </w:t>
      </w:r>
      <w:r w:rsidR="00FF4A46" w:rsidRPr="007F174E">
        <w:rPr>
          <w:b/>
          <w:color w:val="00B050"/>
          <w:szCs w:val="20"/>
        </w:rPr>
        <w:t>6</w:t>
      </w:r>
      <w:r w:rsidR="00566A47" w:rsidRPr="007F174E">
        <w:rPr>
          <w:b/>
          <w:color w:val="00B050"/>
          <w:szCs w:val="20"/>
        </w:rPr>
        <w:t>00 voyageurs</w:t>
      </w:r>
      <w:r w:rsidR="00566A47" w:rsidRPr="007F174E">
        <w:rPr>
          <w:color w:val="00B050"/>
          <w:szCs w:val="20"/>
        </w:rPr>
        <w:t>.</w:t>
      </w:r>
      <w:bookmarkEnd w:id="72"/>
    </w:p>
    <w:p w14:paraId="4EDCF9C8" w14:textId="77777777" w:rsidR="008C6F0F" w:rsidRPr="008C6F0F" w:rsidRDefault="008C6F0F" w:rsidP="000F4BF8">
      <w:pPr>
        <w:tabs>
          <w:tab w:val="left" w:pos="0"/>
        </w:tabs>
        <w:jc w:val="both"/>
        <w:rPr>
          <w:szCs w:val="20"/>
        </w:rPr>
      </w:pPr>
    </w:p>
    <w:p w14:paraId="107B9E78" w14:textId="77777777" w:rsidR="00A51C82" w:rsidRPr="008C6F0F" w:rsidRDefault="00A51C82" w:rsidP="000F4BF8">
      <w:pPr>
        <w:tabs>
          <w:tab w:val="left" w:pos="0"/>
        </w:tabs>
        <w:jc w:val="both"/>
        <w:rPr>
          <w:szCs w:val="20"/>
        </w:rPr>
      </w:pPr>
      <w:r w:rsidRPr="008C6F0F">
        <w:rPr>
          <w:szCs w:val="20"/>
        </w:rPr>
        <w:t xml:space="preserve">Les sections présentant les niveaux de charge les plus hauts sont situées entre Villejuif et Pont de Sèvres, ainsi qu’entre Saint-Denis Pleyel et La Défense (tant que la liaison entre Saint-Denis Pleyel, Colombes et Nanterre n’est pas réalisée). </w:t>
      </w:r>
    </w:p>
    <w:p w14:paraId="717B2866" w14:textId="77777777" w:rsidR="00A51C82" w:rsidRPr="00A51C82" w:rsidRDefault="00A51C82" w:rsidP="000F4BF8">
      <w:pPr>
        <w:tabs>
          <w:tab w:val="left" w:pos="1134"/>
        </w:tabs>
        <w:ind w:left="1134"/>
        <w:jc w:val="both"/>
      </w:pPr>
    </w:p>
    <w:p w14:paraId="3EC98944" w14:textId="2441688C" w:rsidR="00A51C82" w:rsidRDefault="00A51C82" w:rsidP="00332D0A">
      <w:pPr>
        <w:tabs>
          <w:tab w:val="left" w:pos="0"/>
        </w:tabs>
        <w:jc w:val="both"/>
        <w:rPr>
          <w:szCs w:val="20"/>
        </w:rPr>
      </w:pPr>
      <w:r w:rsidRPr="00A51C82">
        <w:t xml:space="preserve">La </w:t>
      </w:r>
      <w:r w:rsidRPr="00A51C82">
        <w:rPr>
          <w:b/>
        </w:rPr>
        <w:t xml:space="preserve">ligne 16 </w:t>
      </w:r>
      <w:r w:rsidRPr="00A51C82">
        <w:t>combine des caractéristiques de rocade et de radiale : elle offre en effet une liaison directe nouvelle entre les territoires qu’elle dessert, et assure également une fonction de rabattement vers des pôles de transport tels que Saint-Denis Pleyel, Le Bourget ou Noisy-Champs, connectés à des lignes structurantes permettant de rejoindre Paris. A l’horizon 2030, la charge la plus importante de la ligne à l’heure de pointe du matin est localisée dans sa partie nord, en direction du Bourget et de Saint-Denis Pleyel</w:t>
      </w:r>
      <w:r w:rsidR="00332D0A">
        <w:t xml:space="preserve"> ; le </w:t>
      </w:r>
      <w:r w:rsidR="00332D0A" w:rsidRPr="008C6F0F">
        <w:rPr>
          <w:szCs w:val="20"/>
        </w:rPr>
        <w:t xml:space="preserve">trafic quotidien à l’horizon 2030 </w:t>
      </w:r>
      <w:r w:rsidR="00332D0A">
        <w:rPr>
          <w:szCs w:val="20"/>
        </w:rPr>
        <w:t xml:space="preserve">sera </w:t>
      </w:r>
      <w:r w:rsidR="00332D0A" w:rsidRPr="007F174E">
        <w:rPr>
          <w:b/>
          <w:color w:val="00B050"/>
          <w:szCs w:val="20"/>
        </w:rPr>
        <w:t xml:space="preserve">de </w:t>
      </w:r>
      <w:r w:rsidR="00FF4A46" w:rsidRPr="007F174E">
        <w:rPr>
          <w:b/>
          <w:color w:val="00B050"/>
          <w:szCs w:val="20"/>
        </w:rPr>
        <w:t xml:space="preserve">plus de </w:t>
      </w:r>
      <w:r w:rsidR="00332D0A" w:rsidRPr="007F174E">
        <w:rPr>
          <w:b/>
          <w:color w:val="00B050"/>
          <w:szCs w:val="20"/>
        </w:rPr>
        <w:t>2</w:t>
      </w:r>
      <w:r w:rsidR="00FF4A46" w:rsidRPr="007F174E">
        <w:rPr>
          <w:b/>
          <w:color w:val="00B050"/>
          <w:szCs w:val="20"/>
        </w:rPr>
        <w:t>45 0</w:t>
      </w:r>
      <w:r w:rsidR="00332D0A" w:rsidRPr="007F174E">
        <w:rPr>
          <w:b/>
          <w:color w:val="00B050"/>
          <w:szCs w:val="20"/>
        </w:rPr>
        <w:t>00 usagers</w:t>
      </w:r>
      <w:r w:rsidR="00332D0A" w:rsidRPr="007F174E">
        <w:rPr>
          <w:color w:val="00B050"/>
          <w:szCs w:val="20"/>
        </w:rPr>
        <w:t xml:space="preserve"> pour un jour ouvrable de base et </w:t>
      </w:r>
      <w:r w:rsidR="00332D0A" w:rsidRPr="007F174E">
        <w:rPr>
          <w:b/>
          <w:bCs/>
          <w:color w:val="00B050"/>
          <w:szCs w:val="20"/>
        </w:rPr>
        <w:t xml:space="preserve">de </w:t>
      </w:r>
      <w:r w:rsidR="00FF4A46" w:rsidRPr="007F174E">
        <w:rPr>
          <w:b/>
          <w:bCs/>
          <w:color w:val="00B050"/>
          <w:szCs w:val="20"/>
        </w:rPr>
        <w:t>32 000</w:t>
      </w:r>
      <w:r w:rsidR="00332D0A" w:rsidRPr="007F174E">
        <w:rPr>
          <w:b/>
          <w:bCs/>
          <w:color w:val="00B050"/>
          <w:szCs w:val="20"/>
        </w:rPr>
        <w:t xml:space="preserve"> en HPM</w:t>
      </w:r>
      <w:r w:rsidR="00332D0A">
        <w:rPr>
          <w:szCs w:val="20"/>
        </w:rPr>
        <w:t>. P</w:t>
      </w:r>
      <w:r w:rsidRPr="00A51C82">
        <w:t>rès de 10% des voyageurs à l’heure de pointe du matin qui empruntent au moins une ligne du réseau Grand Paris</w:t>
      </w:r>
      <w:r w:rsidR="005B1396">
        <w:t xml:space="preserve"> Express utilisent la ligne 16. </w:t>
      </w:r>
    </w:p>
    <w:p w14:paraId="09FEB610" w14:textId="77777777" w:rsidR="00332D0A" w:rsidRPr="008C6F0F" w:rsidRDefault="00332D0A" w:rsidP="00332D0A">
      <w:pPr>
        <w:tabs>
          <w:tab w:val="left" w:pos="0"/>
        </w:tabs>
        <w:jc w:val="both"/>
        <w:rPr>
          <w:szCs w:val="20"/>
        </w:rPr>
      </w:pPr>
    </w:p>
    <w:p w14:paraId="54A3CD98" w14:textId="2E1116C3" w:rsidR="00A51C82" w:rsidRDefault="00A51C82" w:rsidP="000F4BF8">
      <w:pPr>
        <w:tabs>
          <w:tab w:val="left" w:pos="0"/>
        </w:tabs>
        <w:jc w:val="both"/>
        <w:rPr>
          <w:szCs w:val="20"/>
        </w:rPr>
      </w:pPr>
      <w:r w:rsidRPr="008C6F0F">
        <w:rPr>
          <w:szCs w:val="20"/>
        </w:rPr>
        <w:t xml:space="preserve">La </w:t>
      </w:r>
      <w:r w:rsidRPr="008C6F0F">
        <w:rPr>
          <w:b/>
          <w:szCs w:val="20"/>
        </w:rPr>
        <w:t xml:space="preserve">ligne 17 </w:t>
      </w:r>
      <w:r w:rsidRPr="008C6F0F">
        <w:rPr>
          <w:szCs w:val="20"/>
        </w:rPr>
        <w:t xml:space="preserve">complète et renforce la desserte de l’axe reliant la Plaine Saint-Denis, Le Bourget, Gonesse, Villepinte et le secteur de Roissy. </w:t>
      </w:r>
    </w:p>
    <w:p w14:paraId="60A30391" w14:textId="77777777" w:rsidR="000F4BF8" w:rsidRPr="008C6F0F" w:rsidRDefault="000F4BF8" w:rsidP="000F4BF8">
      <w:pPr>
        <w:tabs>
          <w:tab w:val="left" w:pos="0"/>
        </w:tabs>
        <w:jc w:val="both"/>
        <w:rPr>
          <w:szCs w:val="20"/>
        </w:rPr>
      </w:pPr>
    </w:p>
    <w:p w14:paraId="4897A1C6" w14:textId="0979329F" w:rsidR="00EF4013" w:rsidRPr="008C6F0F" w:rsidRDefault="00A51C82" w:rsidP="000F4BF8">
      <w:pPr>
        <w:tabs>
          <w:tab w:val="left" w:pos="0"/>
        </w:tabs>
        <w:jc w:val="both"/>
        <w:rPr>
          <w:szCs w:val="20"/>
        </w:rPr>
      </w:pPr>
      <w:r w:rsidRPr="008C6F0F">
        <w:rPr>
          <w:szCs w:val="20"/>
        </w:rPr>
        <w:t xml:space="preserve">Les territoires desservis sont caractérisés par la présence de plusieurs grands équipements, actuels ou projetés, d’attractivité régionale (Parc des Expositions de Villepinte, </w:t>
      </w:r>
      <w:r w:rsidR="008E4DC9" w:rsidRPr="008C6F0F">
        <w:rPr>
          <w:szCs w:val="20"/>
        </w:rPr>
        <w:t xml:space="preserve">bassin d’activités du Bourget, </w:t>
      </w:r>
      <w:r w:rsidRPr="008C6F0F">
        <w:rPr>
          <w:szCs w:val="20"/>
        </w:rPr>
        <w:t xml:space="preserve">plate-forme aéroportuaire de Roissy…). De ce fait, la structure d’utilisation de la ligne 17 sera différente de celle généralement observée sur le réseau de transport en commun, avec une fréquentation comparativement plus importante dans le courant de la journée et un niveau de charge maximale à l’heure de pointe du soir pouvant être plus élevé qu’à l’heure de pointe du matin, du fait des flux </w:t>
      </w:r>
      <w:r w:rsidRPr="008C6F0F">
        <w:rPr>
          <w:szCs w:val="20"/>
        </w:rPr>
        <w:lastRenderedPageBreak/>
        <w:t>associés aux grands équipements et aux salons.</w:t>
      </w:r>
      <w:r w:rsidR="006814A8" w:rsidRPr="008C6F0F">
        <w:rPr>
          <w:szCs w:val="20"/>
        </w:rPr>
        <w:t xml:space="preserve"> Son trafic en 2030 est dorénavant estimé à </w:t>
      </w:r>
      <w:r w:rsidR="00FF4A46" w:rsidRPr="007F174E">
        <w:rPr>
          <w:b/>
          <w:bCs/>
          <w:color w:val="00B050"/>
          <w:szCs w:val="20"/>
        </w:rPr>
        <w:t>plus de</w:t>
      </w:r>
      <w:r w:rsidR="00FF4A46" w:rsidRPr="007F174E">
        <w:rPr>
          <w:color w:val="00B050"/>
          <w:szCs w:val="20"/>
        </w:rPr>
        <w:t xml:space="preserve"> </w:t>
      </w:r>
      <w:r w:rsidR="006814A8" w:rsidRPr="007F174E">
        <w:rPr>
          <w:b/>
          <w:color w:val="00B050"/>
          <w:szCs w:val="20"/>
        </w:rPr>
        <w:t>1</w:t>
      </w:r>
      <w:r w:rsidR="00FF4A46" w:rsidRPr="007F174E">
        <w:rPr>
          <w:b/>
          <w:color w:val="00B050"/>
          <w:szCs w:val="20"/>
        </w:rPr>
        <w:t>70 0</w:t>
      </w:r>
      <w:r w:rsidR="00332D0A" w:rsidRPr="007F174E">
        <w:rPr>
          <w:b/>
          <w:color w:val="00B050"/>
          <w:szCs w:val="20"/>
        </w:rPr>
        <w:t>00</w:t>
      </w:r>
      <w:r w:rsidR="006814A8" w:rsidRPr="007F174E">
        <w:rPr>
          <w:b/>
          <w:color w:val="00B050"/>
          <w:szCs w:val="20"/>
        </w:rPr>
        <w:t xml:space="preserve"> voyageurs quotidiens</w:t>
      </w:r>
      <w:r w:rsidR="006814A8" w:rsidRPr="007F174E">
        <w:rPr>
          <w:color w:val="00B050"/>
          <w:szCs w:val="20"/>
        </w:rPr>
        <w:t xml:space="preserve">, en </w:t>
      </w:r>
      <w:r w:rsidR="008C6F0F" w:rsidRPr="007F174E">
        <w:rPr>
          <w:color w:val="00B050"/>
          <w:szCs w:val="20"/>
        </w:rPr>
        <w:t xml:space="preserve">très forte </w:t>
      </w:r>
      <w:r w:rsidR="006814A8" w:rsidRPr="007F174E">
        <w:rPr>
          <w:color w:val="00B050"/>
          <w:szCs w:val="20"/>
        </w:rPr>
        <w:t>hausse par rapport à l’estimation antérieure de 2012</w:t>
      </w:r>
      <w:r w:rsidR="00332D0A" w:rsidRPr="007F174E">
        <w:rPr>
          <w:color w:val="00B050"/>
          <w:szCs w:val="20"/>
        </w:rPr>
        <w:t xml:space="preserve">, avec un trafic de </w:t>
      </w:r>
      <w:r w:rsidR="00332D0A" w:rsidRPr="007F174E">
        <w:rPr>
          <w:b/>
          <w:bCs/>
          <w:color w:val="00B050"/>
          <w:szCs w:val="20"/>
        </w:rPr>
        <w:t>2</w:t>
      </w:r>
      <w:r w:rsidR="00FF4A46" w:rsidRPr="007F174E">
        <w:rPr>
          <w:b/>
          <w:bCs/>
          <w:color w:val="00B050"/>
          <w:szCs w:val="20"/>
        </w:rPr>
        <w:t>6</w:t>
      </w:r>
      <w:r w:rsidR="00FC109E" w:rsidRPr="007F174E">
        <w:rPr>
          <w:b/>
          <w:bCs/>
          <w:color w:val="00B050"/>
          <w:szCs w:val="20"/>
        </w:rPr>
        <w:t> </w:t>
      </w:r>
      <w:r w:rsidR="00332D0A" w:rsidRPr="007F174E">
        <w:rPr>
          <w:b/>
          <w:bCs/>
          <w:color w:val="00B050"/>
          <w:szCs w:val="20"/>
        </w:rPr>
        <w:t xml:space="preserve">300 </w:t>
      </w:r>
      <w:r w:rsidR="00115985" w:rsidRPr="007F174E">
        <w:rPr>
          <w:b/>
          <w:bCs/>
          <w:color w:val="00B050"/>
          <w:szCs w:val="20"/>
        </w:rPr>
        <w:t>à l’</w:t>
      </w:r>
      <w:r w:rsidR="00332D0A" w:rsidRPr="007F174E">
        <w:rPr>
          <w:b/>
          <w:bCs/>
          <w:color w:val="00B050"/>
          <w:szCs w:val="20"/>
        </w:rPr>
        <w:t>heure de pointe</w:t>
      </w:r>
      <w:r w:rsidR="00FF4A46" w:rsidRPr="007F174E">
        <w:rPr>
          <w:b/>
          <w:bCs/>
          <w:color w:val="00B050"/>
          <w:szCs w:val="20"/>
        </w:rPr>
        <w:t xml:space="preserve"> du matin</w:t>
      </w:r>
      <w:r w:rsidR="006814A8" w:rsidRPr="007F174E">
        <w:rPr>
          <w:color w:val="00B050"/>
          <w:szCs w:val="20"/>
        </w:rPr>
        <w:t>.</w:t>
      </w:r>
      <w:r w:rsidR="006428AA" w:rsidRPr="007F174E">
        <w:rPr>
          <w:color w:val="00B050"/>
          <w:szCs w:val="20"/>
        </w:rPr>
        <w:t xml:space="preserve"> </w:t>
      </w:r>
      <w:r w:rsidR="00115985" w:rsidRPr="007F174E">
        <w:rPr>
          <w:color w:val="00B050"/>
          <w:szCs w:val="20"/>
        </w:rPr>
        <w:t>Cette</w:t>
      </w:r>
      <w:r w:rsidR="006428AA" w:rsidRPr="007F174E">
        <w:rPr>
          <w:color w:val="00B050"/>
          <w:szCs w:val="20"/>
        </w:rPr>
        <w:t xml:space="preserve"> ligne sera </w:t>
      </w:r>
      <w:r w:rsidR="00115985" w:rsidRPr="007F174E">
        <w:rPr>
          <w:color w:val="00B050"/>
          <w:szCs w:val="20"/>
        </w:rPr>
        <w:t xml:space="preserve">notamment </w:t>
      </w:r>
      <w:r w:rsidR="006428AA" w:rsidRPr="007F174E">
        <w:rPr>
          <w:color w:val="00B050"/>
          <w:szCs w:val="20"/>
        </w:rPr>
        <w:t xml:space="preserve">empruntée par des voyageurs aériens utilisateurs de l’aéroport </w:t>
      </w:r>
      <w:r w:rsidR="003E7E3F">
        <w:rPr>
          <w:color w:val="00B050"/>
          <w:szCs w:val="20"/>
        </w:rPr>
        <w:t xml:space="preserve">actuel </w:t>
      </w:r>
      <w:r w:rsidR="006428AA" w:rsidRPr="007F174E">
        <w:rPr>
          <w:color w:val="00B050"/>
          <w:szCs w:val="20"/>
        </w:rPr>
        <w:t xml:space="preserve">de Roissy-CDG. </w:t>
      </w:r>
      <w:r w:rsidR="008C6F0F" w:rsidRPr="008C6F0F">
        <w:rPr>
          <w:szCs w:val="20"/>
        </w:rPr>
        <w:t>La</w:t>
      </w:r>
      <w:r w:rsidR="00D15075" w:rsidRPr="008C6F0F">
        <w:rPr>
          <w:szCs w:val="20"/>
        </w:rPr>
        <w:t xml:space="preserve"> ligne 17</w:t>
      </w:r>
      <w:r w:rsidR="001D7B56" w:rsidRPr="008C6F0F">
        <w:rPr>
          <w:szCs w:val="20"/>
        </w:rPr>
        <w:t>, dont l’extrémité sud est la gare de Saint-Denis Pleyel,</w:t>
      </w:r>
      <w:r w:rsidR="00D15075" w:rsidRPr="008C6F0F">
        <w:rPr>
          <w:szCs w:val="20"/>
        </w:rPr>
        <w:t xml:space="preserve"> aura un</w:t>
      </w:r>
      <w:r w:rsidR="001D7B56" w:rsidRPr="008C6F0F">
        <w:rPr>
          <w:szCs w:val="20"/>
        </w:rPr>
        <w:t>e</w:t>
      </w:r>
      <w:r w:rsidR="00D15075" w:rsidRPr="008C6F0F">
        <w:rPr>
          <w:szCs w:val="20"/>
        </w:rPr>
        <w:t xml:space="preserve"> </w:t>
      </w:r>
      <w:r w:rsidR="001D7B56" w:rsidRPr="008C6F0F">
        <w:rPr>
          <w:szCs w:val="20"/>
        </w:rPr>
        <w:t>section</w:t>
      </w:r>
      <w:r w:rsidR="00D15075" w:rsidRPr="008C6F0F">
        <w:rPr>
          <w:szCs w:val="20"/>
        </w:rPr>
        <w:t xml:space="preserve"> commun</w:t>
      </w:r>
      <w:r w:rsidR="001D7B56" w:rsidRPr="008C6F0F">
        <w:rPr>
          <w:szCs w:val="20"/>
        </w:rPr>
        <w:t>e</w:t>
      </w:r>
      <w:r w:rsidR="00D15075" w:rsidRPr="008C6F0F">
        <w:rPr>
          <w:szCs w:val="20"/>
        </w:rPr>
        <w:t xml:space="preserve"> avec la ligne 16 entre</w:t>
      </w:r>
      <w:r w:rsidR="001D7B56" w:rsidRPr="008C6F0F">
        <w:rPr>
          <w:szCs w:val="20"/>
        </w:rPr>
        <w:t xml:space="preserve"> Saint-Denis Pleyel et Le Bourget-RER. Aux heures de pointe, les rames de ces deux lignes circuler</w:t>
      </w:r>
      <w:r w:rsidR="008C6F0F" w:rsidRPr="008C6F0F">
        <w:rPr>
          <w:szCs w:val="20"/>
        </w:rPr>
        <w:t>ont</w:t>
      </w:r>
      <w:r w:rsidR="001D7B56" w:rsidRPr="008C6F0F">
        <w:rPr>
          <w:szCs w:val="20"/>
        </w:rPr>
        <w:t xml:space="preserve"> ensemble sur cette section. </w:t>
      </w:r>
      <w:r w:rsidR="008C6F0F" w:rsidRPr="008C6F0F">
        <w:rPr>
          <w:szCs w:val="20"/>
        </w:rPr>
        <w:t>Le</w:t>
      </w:r>
      <w:r w:rsidR="001D7B56" w:rsidRPr="008C6F0F">
        <w:rPr>
          <w:szCs w:val="20"/>
        </w:rPr>
        <w:t xml:space="preserve"> cumul des flux des deux lignes sur le tronc commun avait </w:t>
      </w:r>
      <w:r w:rsidR="0036511D" w:rsidRPr="008C6F0F">
        <w:rPr>
          <w:szCs w:val="20"/>
        </w:rPr>
        <w:t xml:space="preserve">déjà </w:t>
      </w:r>
      <w:r w:rsidR="001D7B56" w:rsidRPr="008C6F0F">
        <w:rPr>
          <w:szCs w:val="20"/>
        </w:rPr>
        <w:t>été considéré par la contre-expertise du CGI de 2015 comme proche de la capacité maximale du tronc commun</w:t>
      </w:r>
      <w:r w:rsidR="008C6F0F" w:rsidRPr="008C6F0F">
        <w:rPr>
          <w:szCs w:val="20"/>
        </w:rPr>
        <w:t xml:space="preserve"> avec un trafic envisagé pour la ligne 17 </w:t>
      </w:r>
      <w:r w:rsidR="000F4BF8">
        <w:rPr>
          <w:szCs w:val="20"/>
        </w:rPr>
        <w:t xml:space="preserve">alors </w:t>
      </w:r>
      <w:r w:rsidR="008C6F0F" w:rsidRPr="008C6F0F">
        <w:rPr>
          <w:szCs w:val="20"/>
        </w:rPr>
        <w:t>deux fois plus faible que celui de la nouvelle prévision</w:t>
      </w:r>
      <w:r w:rsidR="008C6F0F" w:rsidRPr="008C6F0F">
        <w:rPr>
          <w:rStyle w:val="Appelnotedebasdep"/>
          <w:szCs w:val="20"/>
        </w:rPr>
        <w:footnoteReference w:id="32"/>
      </w:r>
      <w:r w:rsidR="002E34D1" w:rsidRPr="008C6F0F">
        <w:rPr>
          <w:szCs w:val="20"/>
        </w:rPr>
        <w:t>.</w:t>
      </w:r>
      <w:r w:rsidR="008F5CC2" w:rsidRPr="008C6F0F">
        <w:rPr>
          <w:szCs w:val="20"/>
        </w:rPr>
        <w:t xml:space="preserve"> </w:t>
      </w:r>
    </w:p>
    <w:p w14:paraId="278E6410" w14:textId="77777777" w:rsidR="008C6F0F" w:rsidRDefault="008C6F0F" w:rsidP="000F4BF8">
      <w:pPr>
        <w:tabs>
          <w:tab w:val="left" w:pos="0"/>
        </w:tabs>
        <w:jc w:val="both"/>
      </w:pPr>
    </w:p>
    <w:p w14:paraId="3555BC0B" w14:textId="6A3D26D7" w:rsidR="00A51C82" w:rsidRPr="007F174E" w:rsidRDefault="00A51C82" w:rsidP="000F4BF8">
      <w:pPr>
        <w:tabs>
          <w:tab w:val="left" w:pos="0"/>
        </w:tabs>
        <w:jc w:val="both"/>
        <w:rPr>
          <w:color w:val="00B050"/>
        </w:rPr>
      </w:pPr>
      <w:r w:rsidRPr="00A51C82">
        <w:t xml:space="preserve">Le profil de charge de la </w:t>
      </w:r>
      <w:r w:rsidRPr="00A51C82">
        <w:rPr>
          <w:b/>
        </w:rPr>
        <w:t xml:space="preserve">ligne 18 </w:t>
      </w:r>
      <w:r w:rsidRPr="00A51C82">
        <w:t xml:space="preserve">diffère selon la configuration de réseau considérée. </w:t>
      </w:r>
      <w:r w:rsidRPr="00A51C82">
        <w:rPr>
          <w:i/>
        </w:rPr>
        <w:t>A l’horizon 2030</w:t>
      </w:r>
      <w:r w:rsidRPr="00A51C82">
        <w:t xml:space="preserve">, la ligne 18 </w:t>
      </w:r>
      <w:r w:rsidR="005F5767">
        <w:t>sera</w:t>
      </w:r>
      <w:r w:rsidRPr="00A51C82">
        <w:t xml:space="preserve"> réalisée entre Versailles Chantiers et Orly : en</w:t>
      </w:r>
      <w:r w:rsidR="005F5767">
        <w:t>tre</w:t>
      </w:r>
      <w:r w:rsidRPr="00A51C82">
        <w:t xml:space="preserve"> 5% </w:t>
      </w:r>
      <w:r w:rsidR="005F5767">
        <w:t xml:space="preserve">et 10% </w:t>
      </w:r>
      <w:r w:rsidRPr="00A51C82">
        <w:t>des voyageurs qui empruntent au moins une ligne du réseau Grand Paris Express utilise</w:t>
      </w:r>
      <w:r w:rsidR="005F5767">
        <w:t>ro</w:t>
      </w:r>
      <w:r w:rsidRPr="00A51C82">
        <w:t>nt alors la ligne. La structure de charge de la ligne 18 est globalement homogène sur l’ensemble de son parcours, avec une attraction toutefois plus marquée au niveau des terminus d’Orly et de Versailles</w:t>
      </w:r>
      <w:r w:rsidRPr="007F174E">
        <w:rPr>
          <w:color w:val="00B050"/>
        </w:rPr>
        <w:t>.</w:t>
      </w:r>
      <w:r w:rsidR="0080135A" w:rsidRPr="007F174E">
        <w:rPr>
          <w:color w:val="00B050"/>
          <w:szCs w:val="20"/>
        </w:rPr>
        <w:t xml:space="preserve"> Le trafic journalier de la section Orly – Versailles Chantiers de la ligne 18 est estimé à </w:t>
      </w:r>
      <w:r w:rsidR="0080135A" w:rsidRPr="007F174E">
        <w:rPr>
          <w:b/>
          <w:color w:val="00B050"/>
          <w:szCs w:val="20"/>
        </w:rPr>
        <w:t>1</w:t>
      </w:r>
      <w:r w:rsidR="00115985" w:rsidRPr="007F174E">
        <w:rPr>
          <w:b/>
          <w:color w:val="00B050"/>
          <w:szCs w:val="20"/>
        </w:rPr>
        <w:t>2</w:t>
      </w:r>
      <w:r w:rsidR="0080135A" w:rsidRPr="007F174E">
        <w:rPr>
          <w:b/>
          <w:color w:val="00B050"/>
          <w:szCs w:val="20"/>
        </w:rPr>
        <w:t>0</w:t>
      </w:r>
      <w:r w:rsidR="00115985" w:rsidRPr="007F174E">
        <w:rPr>
          <w:b/>
          <w:color w:val="00B050"/>
          <w:szCs w:val="20"/>
        </w:rPr>
        <w:t xml:space="preserve"> 0</w:t>
      </w:r>
      <w:r w:rsidR="0080135A" w:rsidRPr="007F174E">
        <w:rPr>
          <w:b/>
          <w:color w:val="00B050"/>
          <w:szCs w:val="20"/>
        </w:rPr>
        <w:t>00 voyageurs en 2030, dont 1</w:t>
      </w:r>
      <w:r w:rsidR="00115985" w:rsidRPr="007F174E">
        <w:rPr>
          <w:b/>
          <w:color w:val="00B050"/>
          <w:szCs w:val="20"/>
        </w:rPr>
        <w:t>9 0</w:t>
      </w:r>
      <w:r w:rsidR="0080135A" w:rsidRPr="007F174E">
        <w:rPr>
          <w:b/>
          <w:color w:val="00B050"/>
          <w:szCs w:val="20"/>
        </w:rPr>
        <w:t>00 à l’heure de pointe du matin</w:t>
      </w:r>
      <w:r w:rsidR="0080135A" w:rsidRPr="007F174E">
        <w:rPr>
          <w:rStyle w:val="Appelnotedebasdep"/>
          <w:color w:val="00B050"/>
          <w:szCs w:val="20"/>
        </w:rPr>
        <w:footnoteReference w:id="33"/>
      </w:r>
      <w:r w:rsidR="0080135A" w:rsidRPr="007F174E">
        <w:rPr>
          <w:color w:val="00B050"/>
          <w:szCs w:val="20"/>
        </w:rPr>
        <w:t>.</w:t>
      </w:r>
    </w:p>
    <w:p w14:paraId="245E0271" w14:textId="77777777" w:rsidR="000F4BF8" w:rsidRPr="00A51C82" w:rsidRDefault="000F4BF8" w:rsidP="000F4BF8">
      <w:pPr>
        <w:tabs>
          <w:tab w:val="left" w:pos="0"/>
        </w:tabs>
        <w:jc w:val="both"/>
      </w:pPr>
    </w:p>
    <w:p w14:paraId="351BCC96" w14:textId="75A31B88" w:rsidR="00A51C82" w:rsidRDefault="00A51C82" w:rsidP="000F4BF8">
      <w:pPr>
        <w:tabs>
          <w:tab w:val="left" w:pos="0"/>
        </w:tabs>
        <w:jc w:val="both"/>
      </w:pPr>
      <w:r w:rsidRPr="00A51C82">
        <w:rPr>
          <w:i/>
        </w:rPr>
        <w:t xml:space="preserve">Lorsque la section entre Versailles Chantiers et Nanterre </w:t>
      </w:r>
      <w:r w:rsidR="005F5767">
        <w:rPr>
          <w:i/>
        </w:rPr>
        <w:t>sera</w:t>
      </w:r>
      <w:r w:rsidRPr="00A51C82">
        <w:rPr>
          <w:i/>
        </w:rPr>
        <w:t xml:space="preserve"> réalisée (post-2030)</w:t>
      </w:r>
      <w:r w:rsidRPr="00A51C82">
        <w:t xml:space="preserve">, la ligne 18 permet également d’assurer une liaison de rocade performante en moyenne couronne pour le sud, l’ouest et le nord-ouest parisiens. </w:t>
      </w:r>
      <w:r w:rsidR="005F5767">
        <w:t>Plus de</w:t>
      </w:r>
      <w:r w:rsidRPr="00A51C82">
        <w:t xml:space="preserve"> 10% des voyageurs qui emprunte</w:t>
      </w:r>
      <w:r w:rsidR="005F5767">
        <w:t>ro</w:t>
      </w:r>
      <w:r w:rsidRPr="00A51C82">
        <w:t>nt au moins une ligne du réseau Grand Paris Express utilise</w:t>
      </w:r>
      <w:r w:rsidR="005F5767">
        <w:t>ro</w:t>
      </w:r>
      <w:r w:rsidRPr="00A51C82">
        <w:t xml:space="preserve">nt alors la ligne 18. </w:t>
      </w:r>
    </w:p>
    <w:p w14:paraId="486562D0" w14:textId="2DD29441" w:rsidR="0074416D" w:rsidRDefault="0074416D" w:rsidP="000F4BF8">
      <w:pPr>
        <w:tabs>
          <w:tab w:val="left" w:pos="0"/>
        </w:tabs>
        <w:jc w:val="both"/>
      </w:pPr>
    </w:p>
    <w:p w14:paraId="070FFEDA" w14:textId="29ED7C5A" w:rsidR="0074416D" w:rsidRPr="00304C03" w:rsidRDefault="0074416D" w:rsidP="000F4BF8">
      <w:pPr>
        <w:tabs>
          <w:tab w:val="left" w:pos="0"/>
        </w:tabs>
        <w:jc w:val="both"/>
        <w:rPr>
          <w:color w:val="00B050"/>
        </w:rPr>
      </w:pPr>
      <w:r w:rsidRPr="00304C03">
        <w:rPr>
          <w:b/>
          <w:bCs/>
          <w:color w:val="00B050"/>
        </w:rPr>
        <w:t>Trafic prévisible des lignes du Grand Paris Express</w:t>
      </w:r>
      <w:r w:rsidRPr="00304C03">
        <w:rPr>
          <w:color w:val="00B050"/>
        </w:rPr>
        <w:t xml:space="preserve"> </w:t>
      </w:r>
    </w:p>
    <w:tbl>
      <w:tblPr>
        <w:tblStyle w:val="Grilledutableau"/>
        <w:tblW w:w="0" w:type="auto"/>
        <w:tblLook w:val="04A0" w:firstRow="1" w:lastRow="0" w:firstColumn="1" w:lastColumn="0" w:noHBand="0" w:noVBand="1"/>
      </w:tblPr>
      <w:tblGrid>
        <w:gridCol w:w="8316"/>
      </w:tblGrid>
      <w:tr w:rsidR="0074416D" w14:paraId="7497ECEA" w14:textId="77777777" w:rsidTr="0074416D">
        <w:tc>
          <w:tcPr>
            <w:tcW w:w="8217" w:type="dxa"/>
          </w:tcPr>
          <w:p w14:paraId="0D89A552" w14:textId="039DAC42" w:rsidR="0074416D" w:rsidRDefault="0074416D" w:rsidP="000F4BF8">
            <w:pPr>
              <w:tabs>
                <w:tab w:val="left" w:pos="0"/>
              </w:tabs>
              <w:jc w:val="both"/>
              <w:rPr>
                <w:color w:val="FF0000"/>
                <w:sz w:val="22"/>
              </w:rPr>
            </w:pPr>
            <w:r w:rsidRPr="0074416D">
              <w:rPr>
                <w:noProof/>
              </w:rPr>
              <w:drawing>
                <wp:inline distT="0" distB="0" distL="0" distR="0" wp14:anchorId="52E61FAA" wp14:editId="38CB3E8D">
                  <wp:extent cx="5135525" cy="3317240"/>
                  <wp:effectExtent l="0" t="0" r="8255"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37397" cy="3318449"/>
                          </a:xfrm>
                          <a:prstGeom prst="rect">
                            <a:avLst/>
                          </a:prstGeom>
                          <a:noFill/>
                          <a:ln>
                            <a:noFill/>
                          </a:ln>
                        </pic:spPr>
                      </pic:pic>
                    </a:graphicData>
                  </a:graphic>
                </wp:inline>
              </w:drawing>
            </w:r>
          </w:p>
        </w:tc>
      </w:tr>
    </w:tbl>
    <w:p w14:paraId="539B6C1B" w14:textId="586F217C" w:rsidR="0074416D" w:rsidRPr="0074416D" w:rsidRDefault="0074416D" w:rsidP="000F4BF8">
      <w:pPr>
        <w:tabs>
          <w:tab w:val="left" w:pos="0"/>
        </w:tabs>
        <w:jc w:val="both"/>
        <w:rPr>
          <w:i/>
          <w:iCs/>
          <w:szCs w:val="20"/>
        </w:rPr>
      </w:pPr>
      <w:r w:rsidRPr="0074416D">
        <w:rPr>
          <w:i/>
          <w:iCs/>
          <w:szCs w:val="20"/>
        </w:rPr>
        <w:t xml:space="preserve">Source DRIEA </w:t>
      </w:r>
    </w:p>
    <w:p w14:paraId="06846120" w14:textId="3A759664" w:rsidR="00A51C82" w:rsidRDefault="00A51C82" w:rsidP="004C4CA3">
      <w:pPr>
        <w:tabs>
          <w:tab w:val="left" w:pos="0"/>
        </w:tabs>
        <w:spacing w:after="60"/>
        <w:jc w:val="both"/>
      </w:pPr>
    </w:p>
    <w:p w14:paraId="4C1754EB" w14:textId="586DA7DC" w:rsidR="0074416D" w:rsidRPr="00A51C82" w:rsidRDefault="0074416D" w:rsidP="004C4CA3">
      <w:pPr>
        <w:tabs>
          <w:tab w:val="left" w:pos="0"/>
        </w:tabs>
        <w:spacing w:after="60"/>
        <w:jc w:val="both"/>
      </w:pPr>
    </w:p>
    <w:p w14:paraId="415488CF" w14:textId="77777777" w:rsidR="00A51C82" w:rsidRPr="00A51C82" w:rsidRDefault="00A51C82" w:rsidP="004C4CA3">
      <w:pPr>
        <w:tabs>
          <w:tab w:val="left" w:pos="0"/>
        </w:tabs>
        <w:spacing w:after="60"/>
        <w:jc w:val="both"/>
      </w:pPr>
    </w:p>
    <w:p w14:paraId="63113C19" w14:textId="77777777" w:rsidR="00A51C82" w:rsidRPr="00A51C82" w:rsidRDefault="00A51C82" w:rsidP="004C4CA3">
      <w:pPr>
        <w:tabs>
          <w:tab w:val="left" w:pos="0"/>
        </w:tabs>
        <w:spacing w:after="60"/>
        <w:jc w:val="both"/>
      </w:pPr>
    </w:p>
    <w:p w14:paraId="273B6F30" w14:textId="77777777" w:rsidR="00A51C82" w:rsidRPr="00A51C82" w:rsidRDefault="00A51C82" w:rsidP="004C4CA3">
      <w:pPr>
        <w:tabs>
          <w:tab w:val="left" w:pos="0"/>
        </w:tabs>
        <w:spacing w:after="60"/>
        <w:jc w:val="both"/>
      </w:pPr>
    </w:p>
    <w:p w14:paraId="2E2551B1" w14:textId="77777777" w:rsidR="00A51C82" w:rsidRPr="00A51C82" w:rsidRDefault="00A51C82" w:rsidP="004C4CA3">
      <w:pPr>
        <w:tabs>
          <w:tab w:val="left" w:pos="0"/>
        </w:tabs>
        <w:spacing w:after="60"/>
        <w:jc w:val="both"/>
      </w:pPr>
    </w:p>
    <w:p w14:paraId="68BBB130" w14:textId="77777777" w:rsidR="00A51C82" w:rsidRPr="00A51C82" w:rsidRDefault="00A51C82" w:rsidP="004C4CA3">
      <w:pPr>
        <w:tabs>
          <w:tab w:val="left" w:pos="0"/>
        </w:tabs>
        <w:spacing w:after="60"/>
        <w:jc w:val="both"/>
      </w:pPr>
    </w:p>
    <w:p w14:paraId="03897FFE" w14:textId="77777777" w:rsidR="00A51C82" w:rsidRPr="00A51C82" w:rsidRDefault="00A51C82" w:rsidP="004C4CA3">
      <w:pPr>
        <w:tabs>
          <w:tab w:val="left" w:pos="0"/>
        </w:tabs>
        <w:spacing w:after="60"/>
        <w:jc w:val="both"/>
      </w:pPr>
    </w:p>
    <w:p w14:paraId="4CFFE8EC" w14:textId="77777777" w:rsidR="00A51C82" w:rsidRPr="00A51C82" w:rsidRDefault="00A51C82" w:rsidP="004C4CA3">
      <w:pPr>
        <w:tabs>
          <w:tab w:val="left" w:pos="0"/>
        </w:tabs>
        <w:spacing w:after="60"/>
        <w:jc w:val="both"/>
      </w:pPr>
    </w:p>
    <w:p w14:paraId="109781AD" w14:textId="4418E47A" w:rsidR="00A51C82" w:rsidRDefault="00A51C82" w:rsidP="004C4CA3">
      <w:pPr>
        <w:tabs>
          <w:tab w:val="left" w:pos="0"/>
        </w:tabs>
        <w:spacing w:after="60"/>
        <w:jc w:val="both"/>
      </w:pPr>
    </w:p>
    <w:p w14:paraId="0A01F20B" w14:textId="2AECD740" w:rsidR="00140449" w:rsidRDefault="00140449" w:rsidP="004C4CA3">
      <w:pPr>
        <w:tabs>
          <w:tab w:val="left" w:pos="0"/>
        </w:tabs>
        <w:spacing w:after="60"/>
        <w:jc w:val="both"/>
      </w:pPr>
    </w:p>
    <w:p w14:paraId="5B0A7FE0" w14:textId="77777777" w:rsidR="00140449" w:rsidRPr="00A51C82" w:rsidRDefault="00140449" w:rsidP="004C4CA3">
      <w:pPr>
        <w:tabs>
          <w:tab w:val="left" w:pos="0"/>
        </w:tabs>
        <w:spacing w:after="60"/>
        <w:jc w:val="both"/>
      </w:pPr>
    </w:p>
    <w:p w14:paraId="1F567875" w14:textId="685410B8" w:rsidR="00A51C82" w:rsidRDefault="00A51C82" w:rsidP="004C4CA3">
      <w:pPr>
        <w:tabs>
          <w:tab w:val="left" w:pos="0"/>
        </w:tabs>
        <w:spacing w:after="60"/>
        <w:jc w:val="both"/>
      </w:pPr>
    </w:p>
    <w:p w14:paraId="7C124226" w14:textId="2AF3E1B1" w:rsidR="00A13130" w:rsidRDefault="00A13130" w:rsidP="004C4CA3">
      <w:pPr>
        <w:tabs>
          <w:tab w:val="left" w:pos="0"/>
        </w:tabs>
        <w:spacing w:after="60"/>
        <w:jc w:val="both"/>
      </w:pPr>
    </w:p>
    <w:p w14:paraId="69261665" w14:textId="75360B63" w:rsidR="00A13130" w:rsidRDefault="00A13130" w:rsidP="004C4CA3">
      <w:pPr>
        <w:tabs>
          <w:tab w:val="left" w:pos="0"/>
        </w:tabs>
        <w:spacing w:after="60"/>
        <w:jc w:val="both"/>
      </w:pPr>
    </w:p>
    <w:p w14:paraId="355FC7FB" w14:textId="3687BB21" w:rsidR="00A13130" w:rsidRDefault="00A13130" w:rsidP="004C4CA3">
      <w:pPr>
        <w:tabs>
          <w:tab w:val="left" w:pos="0"/>
        </w:tabs>
        <w:spacing w:after="60"/>
        <w:jc w:val="both"/>
      </w:pPr>
    </w:p>
    <w:p w14:paraId="1022BDC1" w14:textId="1FD643A5" w:rsidR="00A13130" w:rsidRDefault="00A13130" w:rsidP="004C4CA3">
      <w:pPr>
        <w:tabs>
          <w:tab w:val="left" w:pos="0"/>
        </w:tabs>
        <w:spacing w:after="60"/>
        <w:jc w:val="both"/>
      </w:pPr>
    </w:p>
    <w:p w14:paraId="79EDE30F" w14:textId="362CB9A6" w:rsidR="00A13130" w:rsidRDefault="00A13130" w:rsidP="004C4CA3">
      <w:pPr>
        <w:tabs>
          <w:tab w:val="left" w:pos="0"/>
        </w:tabs>
        <w:spacing w:after="60"/>
        <w:jc w:val="both"/>
      </w:pPr>
    </w:p>
    <w:p w14:paraId="6CDAF13D" w14:textId="2665AC7E" w:rsidR="00A13130" w:rsidRDefault="00A13130" w:rsidP="004C4CA3">
      <w:pPr>
        <w:tabs>
          <w:tab w:val="left" w:pos="0"/>
        </w:tabs>
        <w:spacing w:after="60"/>
        <w:jc w:val="both"/>
      </w:pPr>
    </w:p>
    <w:p w14:paraId="25973704" w14:textId="352654BE" w:rsidR="00A13130" w:rsidRDefault="00A13130" w:rsidP="004C4CA3">
      <w:pPr>
        <w:tabs>
          <w:tab w:val="left" w:pos="0"/>
        </w:tabs>
        <w:spacing w:after="60"/>
        <w:jc w:val="both"/>
      </w:pPr>
    </w:p>
    <w:p w14:paraId="1A8DD105" w14:textId="4D98780B" w:rsidR="00A13130" w:rsidRDefault="00A13130" w:rsidP="004C4CA3">
      <w:pPr>
        <w:tabs>
          <w:tab w:val="left" w:pos="0"/>
        </w:tabs>
        <w:spacing w:after="60"/>
        <w:jc w:val="both"/>
      </w:pPr>
    </w:p>
    <w:p w14:paraId="6D4225EB" w14:textId="1DB5A61A" w:rsidR="00A13130" w:rsidRDefault="00A13130" w:rsidP="004C4CA3">
      <w:pPr>
        <w:tabs>
          <w:tab w:val="left" w:pos="0"/>
        </w:tabs>
        <w:spacing w:after="60"/>
        <w:jc w:val="both"/>
      </w:pPr>
    </w:p>
    <w:p w14:paraId="5CB2057E" w14:textId="348988A4" w:rsidR="00A13130" w:rsidRDefault="00A13130" w:rsidP="004C4CA3">
      <w:pPr>
        <w:tabs>
          <w:tab w:val="left" w:pos="0"/>
        </w:tabs>
        <w:spacing w:after="60"/>
        <w:jc w:val="both"/>
      </w:pPr>
    </w:p>
    <w:p w14:paraId="1B4BDB90" w14:textId="4832F0F0" w:rsidR="00A13130" w:rsidRDefault="00A13130" w:rsidP="004C4CA3">
      <w:pPr>
        <w:tabs>
          <w:tab w:val="left" w:pos="0"/>
        </w:tabs>
        <w:spacing w:after="60"/>
        <w:jc w:val="both"/>
      </w:pPr>
    </w:p>
    <w:p w14:paraId="655207EB" w14:textId="1706AF52" w:rsidR="00A13130" w:rsidRDefault="00A13130" w:rsidP="004C4CA3">
      <w:pPr>
        <w:tabs>
          <w:tab w:val="left" w:pos="0"/>
        </w:tabs>
        <w:spacing w:after="60"/>
        <w:jc w:val="both"/>
      </w:pPr>
    </w:p>
    <w:p w14:paraId="7680944F" w14:textId="3DC68B64" w:rsidR="00A13130" w:rsidRDefault="00A13130" w:rsidP="004C4CA3">
      <w:pPr>
        <w:tabs>
          <w:tab w:val="left" w:pos="0"/>
        </w:tabs>
        <w:spacing w:after="60"/>
        <w:jc w:val="both"/>
      </w:pPr>
    </w:p>
    <w:p w14:paraId="04DE5C5D" w14:textId="618A17E0" w:rsidR="00A13130" w:rsidRDefault="00A13130" w:rsidP="004C4CA3">
      <w:pPr>
        <w:tabs>
          <w:tab w:val="left" w:pos="0"/>
        </w:tabs>
        <w:spacing w:after="60"/>
        <w:jc w:val="both"/>
      </w:pPr>
    </w:p>
    <w:p w14:paraId="09C2E025" w14:textId="141D90E9" w:rsidR="00A13130" w:rsidRDefault="00A13130" w:rsidP="004C4CA3">
      <w:pPr>
        <w:tabs>
          <w:tab w:val="left" w:pos="0"/>
        </w:tabs>
        <w:spacing w:after="60"/>
        <w:jc w:val="both"/>
      </w:pPr>
    </w:p>
    <w:p w14:paraId="4D4CE73A" w14:textId="1A4F78D6" w:rsidR="00A13130" w:rsidRDefault="00A13130" w:rsidP="004C4CA3">
      <w:pPr>
        <w:tabs>
          <w:tab w:val="left" w:pos="0"/>
        </w:tabs>
        <w:spacing w:after="60"/>
        <w:jc w:val="both"/>
      </w:pPr>
    </w:p>
    <w:p w14:paraId="75DB5845" w14:textId="7AD6478C" w:rsidR="00A13130" w:rsidRDefault="00A13130" w:rsidP="004C4CA3">
      <w:pPr>
        <w:tabs>
          <w:tab w:val="left" w:pos="0"/>
        </w:tabs>
        <w:spacing w:after="60"/>
        <w:jc w:val="both"/>
      </w:pPr>
    </w:p>
    <w:p w14:paraId="0983C910" w14:textId="1FC52063" w:rsidR="00A13130" w:rsidRDefault="00A13130" w:rsidP="004C4CA3">
      <w:pPr>
        <w:tabs>
          <w:tab w:val="left" w:pos="0"/>
        </w:tabs>
        <w:spacing w:after="60"/>
        <w:jc w:val="both"/>
      </w:pPr>
    </w:p>
    <w:p w14:paraId="68784AEE" w14:textId="69DF8BE9" w:rsidR="00A13130" w:rsidRDefault="00A13130" w:rsidP="004C4CA3">
      <w:pPr>
        <w:tabs>
          <w:tab w:val="left" w:pos="0"/>
        </w:tabs>
        <w:spacing w:after="60"/>
        <w:jc w:val="both"/>
      </w:pPr>
    </w:p>
    <w:p w14:paraId="400768B9" w14:textId="77495D71" w:rsidR="00A13130" w:rsidRDefault="00A13130" w:rsidP="004C4CA3">
      <w:pPr>
        <w:tabs>
          <w:tab w:val="left" w:pos="0"/>
        </w:tabs>
        <w:spacing w:after="60"/>
        <w:jc w:val="both"/>
      </w:pPr>
    </w:p>
    <w:p w14:paraId="5492A8E4" w14:textId="196621F3" w:rsidR="00A13130" w:rsidRDefault="00A13130" w:rsidP="004C4CA3">
      <w:pPr>
        <w:tabs>
          <w:tab w:val="left" w:pos="0"/>
        </w:tabs>
        <w:spacing w:after="60"/>
        <w:jc w:val="both"/>
      </w:pPr>
    </w:p>
    <w:p w14:paraId="7E312910" w14:textId="77777777" w:rsidR="00A13130" w:rsidRPr="00A51C82" w:rsidRDefault="00A13130" w:rsidP="004C4CA3">
      <w:pPr>
        <w:tabs>
          <w:tab w:val="left" w:pos="0"/>
        </w:tabs>
        <w:spacing w:after="60"/>
        <w:jc w:val="both"/>
      </w:pPr>
    </w:p>
    <w:p w14:paraId="5357D33B" w14:textId="77777777" w:rsidR="00A51C82" w:rsidRPr="00A51C82" w:rsidRDefault="00A51C82" w:rsidP="004C4CA3">
      <w:pPr>
        <w:tabs>
          <w:tab w:val="left" w:pos="0"/>
        </w:tabs>
        <w:spacing w:after="60"/>
        <w:jc w:val="both"/>
      </w:pPr>
    </w:p>
    <w:p w14:paraId="6B4F5725" w14:textId="040A9F4C" w:rsidR="00A51C82" w:rsidRDefault="00A51C82" w:rsidP="004C4CA3">
      <w:pPr>
        <w:tabs>
          <w:tab w:val="left" w:pos="0"/>
        </w:tabs>
        <w:spacing w:after="60"/>
        <w:jc w:val="both"/>
      </w:pPr>
    </w:p>
    <w:p w14:paraId="268DD7FD" w14:textId="2AA3D349" w:rsidR="0080135A" w:rsidRDefault="0080135A" w:rsidP="004C4CA3">
      <w:pPr>
        <w:tabs>
          <w:tab w:val="left" w:pos="0"/>
        </w:tabs>
        <w:spacing w:after="60"/>
        <w:jc w:val="both"/>
      </w:pPr>
    </w:p>
    <w:p w14:paraId="69ED7135" w14:textId="77777777" w:rsidR="0080135A" w:rsidRPr="00A51C82" w:rsidRDefault="0080135A" w:rsidP="004C4CA3">
      <w:pPr>
        <w:tabs>
          <w:tab w:val="left" w:pos="0"/>
        </w:tabs>
        <w:spacing w:after="60"/>
        <w:jc w:val="both"/>
      </w:pPr>
    </w:p>
    <w:p w14:paraId="257082EF" w14:textId="77777777" w:rsidR="001B258F" w:rsidRDefault="001B258F" w:rsidP="004C4CA3">
      <w:pPr>
        <w:jc w:val="both"/>
        <w:rPr>
          <w:b/>
          <w:bCs/>
          <w:sz w:val="22"/>
          <w:szCs w:val="22"/>
        </w:rPr>
        <w:sectPr w:rsidR="001B258F" w:rsidSect="00E752F8">
          <w:type w:val="continuous"/>
          <w:pgSz w:w="23818" w:h="16838" w:orient="landscape"/>
          <w:pgMar w:top="1418" w:right="1418" w:bottom="1418" w:left="1418" w:header="709" w:footer="709" w:gutter="0"/>
          <w:cols w:num="2" w:space="708"/>
        </w:sectPr>
      </w:pPr>
    </w:p>
    <w:p w14:paraId="1E8EA14A" w14:textId="16C85C2B" w:rsidR="00115985" w:rsidRDefault="00115985" w:rsidP="001B258F">
      <w:pPr>
        <w:jc w:val="center"/>
        <w:rPr>
          <w:b/>
          <w:bCs/>
          <w:sz w:val="22"/>
          <w:szCs w:val="22"/>
        </w:rPr>
      </w:pPr>
    </w:p>
    <w:p w14:paraId="1F849E70" w14:textId="77777777" w:rsidR="00FF4357" w:rsidRDefault="00FF4357" w:rsidP="001B258F">
      <w:pPr>
        <w:jc w:val="center"/>
        <w:rPr>
          <w:b/>
          <w:bCs/>
          <w:sz w:val="22"/>
          <w:szCs w:val="22"/>
        </w:rPr>
      </w:pPr>
    </w:p>
    <w:p w14:paraId="64B6E48A" w14:textId="77777777" w:rsidR="00115985" w:rsidRDefault="00115985" w:rsidP="001B258F">
      <w:pPr>
        <w:jc w:val="center"/>
        <w:rPr>
          <w:b/>
          <w:bCs/>
          <w:sz w:val="22"/>
          <w:szCs w:val="22"/>
        </w:rPr>
      </w:pPr>
    </w:p>
    <w:p w14:paraId="4B01F20D" w14:textId="11F34B3A" w:rsidR="00A51C82" w:rsidRPr="00A51C82" w:rsidRDefault="00A51C82" w:rsidP="001B258F">
      <w:pPr>
        <w:jc w:val="center"/>
        <w:rPr>
          <w:b/>
          <w:bCs/>
          <w:sz w:val="22"/>
          <w:szCs w:val="22"/>
        </w:rPr>
      </w:pPr>
      <w:r w:rsidRPr="00A51C82">
        <w:rPr>
          <w:b/>
          <w:bCs/>
          <w:sz w:val="22"/>
          <w:szCs w:val="22"/>
        </w:rPr>
        <w:t xml:space="preserve">Nombre d’utilisateurs du réseau Grand Paris Express à l’heure de pointe du matin (horizon </w:t>
      </w:r>
      <w:r w:rsidR="00D4418D">
        <w:rPr>
          <w:b/>
          <w:bCs/>
          <w:sz w:val="22"/>
          <w:szCs w:val="22"/>
        </w:rPr>
        <w:t xml:space="preserve">post </w:t>
      </w:r>
      <w:r w:rsidRPr="00A51C82">
        <w:rPr>
          <w:b/>
          <w:bCs/>
          <w:sz w:val="22"/>
          <w:szCs w:val="22"/>
        </w:rPr>
        <w:t>203</w:t>
      </w:r>
      <w:r w:rsidR="00DC7B11">
        <w:rPr>
          <w:b/>
          <w:bCs/>
          <w:sz w:val="22"/>
          <w:szCs w:val="22"/>
        </w:rPr>
        <w:t>0</w:t>
      </w:r>
      <w:r w:rsidRPr="00A51C82">
        <w:rPr>
          <w:b/>
          <w:bCs/>
          <w:sz w:val="22"/>
          <w:szCs w:val="22"/>
        </w:rPr>
        <w:t>)</w:t>
      </w:r>
    </w:p>
    <w:p w14:paraId="24AFCBD8" w14:textId="77777777" w:rsidR="00886214" w:rsidRDefault="00886214" w:rsidP="004C4CA3">
      <w:pPr>
        <w:jc w:val="both"/>
        <w:rPr>
          <w:i/>
          <w:iCs/>
          <w:szCs w:val="20"/>
        </w:rPr>
      </w:pPr>
    </w:p>
    <w:p w14:paraId="0482E3B7" w14:textId="7F8D1276" w:rsidR="00BC33FD" w:rsidRDefault="00A51C82" w:rsidP="004C4CA3">
      <w:pPr>
        <w:jc w:val="both"/>
        <w:rPr>
          <w:i/>
          <w:iCs/>
          <w:szCs w:val="20"/>
        </w:rPr>
      </w:pPr>
      <w:r w:rsidRPr="00A51C82">
        <w:rPr>
          <w:i/>
          <w:iCs/>
          <w:szCs w:val="20"/>
        </w:rPr>
        <w:t xml:space="preserve">La carte ci-après </w:t>
      </w:r>
      <w:r w:rsidR="00055FF6">
        <w:rPr>
          <w:i/>
          <w:iCs/>
          <w:szCs w:val="20"/>
        </w:rPr>
        <w:t>visualise</w:t>
      </w:r>
      <w:r w:rsidRPr="00A51C82">
        <w:rPr>
          <w:i/>
          <w:iCs/>
          <w:szCs w:val="20"/>
        </w:rPr>
        <w:t xml:space="preserve"> </w:t>
      </w:r>
      <w:r w:rsidR="00055FF6">
        <w:rPr>
          <w:i/>
          <w:iCs/>
          <w:szCs w:val="20"/>
        </w:rPr>
        <w:t>d’une manière synthétique le</w:t>
      </w:r>
      <w:r w:rsidRPr="00A51C82">
        <w:rPr>
          <w:i/>
          <w:iCs/>
          <w:szCs w:val="20"/>
        </w:rPr>
        <w:t xml:space="preserve"> niveau de charge prévisionnel à l’heure de pointe du matin </w:t>
      </w:r>
      <w:r w:rsidR="00055FF6">
        <w:rPr>
          <w:i/>
          <w:iCs/>
          <w:szCs w:val="20"/>
        </w:rPr>
        <w:t xml:space="preserve">en nombre de passagers </w:t>
      </w:r>
      <w:r w:rsidRPr="00A51C82">
        <w:rPr>
          <w:i/>
          <w:iCs/>
          <w:szCs w:val="20"/>
        </w:rPr>
        <w:t xml:space="preserve">pour chaque </w:t>
      </w:r>
      <w:r w:rsidR="008C6F0F" w:rsidRPr="00A51C82">
        <w:rPr>
          <w:i/>
          <w:iCs/>
          <w:szCs w:val="20"/>
        </w:rPr>
        <w:t>inter gare</w:t>
      </w:r>
      <w:r w:rsidRPr="00A51C82">
        <w:rPr>
          <w:i/>
          <w:iCs/>
          <w:szCs w:val="20"/>
        </w:rPr>
        <w:t xml:space="preserve"> du réseau Grand Paris Express (dans les deux sens de circulation), </w:t>
      </w:r>
      <w:r w:rsidR="00D4418D">
        <w:rPr>
          <w:i/>
          <w:iCs/>
          <w:szCs w:val="20"/>
        </w:rPr>
        <w:t>ligne Versailles-Nanterre comprise</w:t>
      </w:r>
      <w:r w:rsidRPr="00A51C82">
        <w:rPr>
          <w:i/>
          <w:iCs/>
          <w:szCs w:val="20"/>
        </w:rPr>
        <w:t xml:space="preserve">. Elle a été établie à partir des modélisations réalisées en </w:t>
      </w:r>
      <w:r w:rsidR="005C32C1">
        <w:rPr>
          <w:i/>
          <w:iCs/>
          <w:szCs w:val="20"/>
        </w:rPr>
        <w:t xml:space="preserve">août </w:t>
      </w:r>
      <w:r w:rsidRPr="00A51C82">
        <w:rPr>
          <w:i/>
          <w:iCs/>
          <w:szCs w:val="20"/>
        </w:rPr>
        <w:t>20</w:t>
      </w:r>
      <w:r w:rsidR="00DC7B11">
        <w:rPr>
          <w:i/>
          <w:iCs/>
          <w:szCs w:val="20"/>
        </w:rPr>
        <w:t>20</w:t>
      </w:r>
      <w:r w:rsidRPr="00A51C82">
        <w:rPr>
          <w:i/>
          <w:iCs/>
          <w:szCs w:val="20"/>
        </w:rPr>
        <w:t xml:space="preserve">, sur la base de la configuration de réseau définie dans le cadre du « Nouveau Grand Paris ». Les prévisions de trafic ont été réalisées avec les modèles MODUS </w:t>
      </w:r>
      <w:r w:rsidR="00DC7B11">
        <w:rPr>
          <w:i/>
          <w:iCs/>
          <w:szCs w:val="20"/>
        </w:rPr>
        <w:t xml:space="preserve">3-1 de la </w:t>
      </w:r>
      <w:r w:rsidRPr="00A51C82">
        <w:rPr>
          <w:i/>
          <w:iCs/>
          <w:szCs w:val="20"/>
        </w:rPr>
        <w:t>DRIEA</w:t>
      </w:r>
      <w:r w:rsidR="00D4418D">
        <w:rPr>
          <w:i/>
          <w:iCs/>
          <w:szCs w:val="20"/>
        </w:rPr>
        <w:t>, et complétée pour la ligne Versailles-Nanterre par des estimations de la SETEC</w:t>
      </w:r>
      <w:r w:rsidR="00884766">
        <w:rPr>
          <w:i/>
          <w:iCs/>
          <w:szCs w:val="20"/>
        </w:rPr>
        <w:t xml:space="preserve"> sur la base des estimations antérieures sur le trafic du Grand Paris Express</w:t>
      </w:r>
      <w:r w:rsidR="00D4418D">
        <w:rPr>
          <w:i/>
          <w:iCs/>
          <w:szCs w:val="20"/>
        </w:rPr>
        <w:t>.</w:t>
      </w:r>
      <w:r w:rsidR="00884766">
        <w:rPr>
          <w:i/>
          <w:iCs/>
          <w:szCs w:val="20"/>
        </w:rPr>
        <w:t xml:space="preserve"> </w:t>
      </w:r>
      <w:r w:rsidR="00884766" w:rsidRPr="00884766">
        <w:rPr>
          <w:i/>
          <w:iCs/>
          <w:color w:val="00B050"/>
          <w:szCs w:val="20"/>
        </w:rPr>
        <w:t xml:space="preserve">A la demande de la DRIEA et pour des raisons de confidentialité, les trafics détaillés par tronçon </w:t>
      </w:r>
      <w:r w:rsidR="00884766">
        <w:rPr>
          <w:i/>
          <w:iCs/>
          <w:color w:val="00B050"/>
          <w:szCs w:val="20"/>
        </w:rPr>
        <w:t xml:space="preserve">détaillé </w:t>
      </w:r>
      <w:r w:rsidR="00884766" w:rsidRPr="00884766">
        <w:rPr>
          <w:i/>
          <w:iCs/>
          <w:color w:val="00B050"/>
          <w:szCs w:val="20"/>
        </w:rPr>
        <w:t xml:space="preserve">n’ont pas été mentionnées mais les épaisseurs des traits sont </w:t>
      </w:r>
      <w:r w:rsidR="007E75E4" w:rsidRPr="00884766">
        <w:rPr>
          <w:i/>
          <w:iCs/>
          <w:color w:val="00B050"/>
          <w:szCs w:val="20"/>
        </w:rPr>
        <w:t>proportionnelles</w:t>
      </w:r>
      <w:r w:rsidR="00884766" w:rsidRPr="00884766">
        <w:rPr>
          <w:i/>
          <w:iCs/>
          <w:color w:val="00B050"/>
          <w:szCs w:val="20"/>
        </w:rPr>
        <w:t xml:space="preserve"> aux trafics en heure de pointe du matin.</w:t>
      </w:r>
    </w:p>
    <w:p w14:paraId="72F360CE" w14:textId="463DD0BB" w:rsidR="00974CB7" w:rsidRDefault="00974CB7" w:rsidP="004C4CA3">
      <w:pPr>
        <w:jc w:val="both"/>
        <w:rPr>
          <w:i/>
          <w:iCs/>
          <w:szCs w:val="20"/>
        </w:rPr>
      </w:pPr>
    </w:p>
    <w:p w14:paraId="77146113" w14:textId="26E4AE9C" w:rsidR="00974CB7" w:rsidRDefault="00884766" w:rsidP="001B258F">
      <w:pPr>
        <w:jc w:val="center"/>
        <w:rPr>
          <w:i/>
          <w:iCs/>
          <w:szCs w:val="20"/>
        </w:rPr>
      </w:pPr>
      <w:r>
        <w:rPr>
          <w:noProof/>
        </w:rPr>
        <w:drawing>
          <wp:inline distT="0" distB="0" distL="0" distR="0" wp14:anchorId="1D242729" wp14:editId="1D718414">
            <wp:extent cx="8644255" cy="6837045"/>
            <wp:effectExtent l="0" t="0" r="4445" b="190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644255" cy="6837045"/>
                    </a:xfrm>
                    <a:prstGeom prst="rect">
                      <a:avLst/>
                    </a:prstGeom>
                    <a:noFill/>
                    <a:ln>
                      <a:noFill/>
                    </a:ln>
                  </pic:spPr>
                </pic:pic>
              </a:graphicData>
            </a:graphic>
          </wp:inline>
        </w:drawing>
      </w:r>
    </w:p>
    <w:p w14:paraId="334F9F70" w14:textId="17A65261" w:rsidR="00D4418D" w:rsidRDefault="00D4418D" w:rsidP="004C4CA3">
      <w:pPr>
        <w:jc w:val="both"/>
        <w:rPr>
          <w:i/>
          <w:iCs/>
          <w:szCs w:val="20"/>
        </w:rPr>
      </w:pPr>
    </w:p>
    <w:p w14:paraId="0A59C5F0" w14:textId="77777777" w:rsidR="00D4418D" w:rsidRDefault="00D4418D" w:rsidP="004C4CA3">
      <w:pPr>
        <w:jc w:val="both"/>
        <w:rPr>
          <w:i/>
          <w:iCs/>
          <w:szCs w:val="20"/>
        </w:rPr>
      </w:pPr>
    </w:p>
    <w:p w14:paraId="23569D38" w14:textId="70367C7E" w:rsidR="00D4418D" w:rsidRPr="00A51C82" w:rsidRDefault="00D4418D" w:rsidP="001B258F">
      <w:pPr>
        <w:jc w:val="center"/>
        <w:rPr>
          <w:i/>
          <w:iCs/>
          <w:szCs w:val="20"/>
        </w:rPr>
        <w:sectPr w:rsidR="00D4418D" w:rsidRPr="00A51C82" w:rsidSect="001B258F">
          <w:type w:val="continuous"/>
          <w:pgSz w:w="23818" w:h="16838" w:orient="landscape"/>
          <w:pgMar w:top="1418" w:right="1418" w:bottom="1418" w:left="1418" w:header="709" w:footer="709" w:gutter="0"/>
          <w:cols w:space="708"/>
        </w:sectPr>
      </w:pPr>
      <w:r>
        <w:rPr>
          <w:i/>
          <w:iCs/>
          <w:szCs w:val="20"/>
        </w:rPr>
        <w:t>Source : DRIEA, SETEC</w:t>
      </w:r>
    </w:p>
    <w:p w14:paraId="3D9767F0" w14:textId="77777777" w:rsidR="001B258F" w:rsidRDefault="001B258F" w:rsidP="00102EDC">
      <w:pPr>
        <w:keepNext/>
        <w:keepLines/>
        <w:spacing w:before="200"/>
        <w:outlineLvl w:val="3"/>
        <w:rPr>
          <w:rFonts w:eastAsia="Times New Roman"/>
          <w:bCs/>
          <w:i/>
          <w:iCs/>
          <w:color w:val="931638"/>
          <w:szCs w:val="20"/>
          <w:lang w:val="x-none" w:bidi="he-IL"/>
        </w:rPr>
        <w:sectPr w:rsidR="001B258F" w:rsidSect="00822CCC">
          <w:pgSz w:w="23818" w:h="16838" w:orient="landscape"/>
          <w:pgMar w:top="1418" w:right="1418" w:bottom="1418" w:left="1418" w:header="709" w:footer="709" w:gutter="0"/>
          <w:cols w:num="2" w:space="708"/>
        </w:sectPr>
      </w:pPr>
    </w:p>
    <w:p w14:paraId="3AAB370E" w14:textId="16A11B0C" w:rsidR="00A51C82" w:rsidRPr="00A51C82" w:rsidRDefault="00A51C82" w:rsidP="00102EDC">
      <w:pPr>
        <w:keepNext/>
        <w:keepLines/>
        <w:spacing w:before="200"/>
        <w:outlineLvl w:val="3"/>
        <w:rPr>
          <w:rFonts w:eastAsia="Times New Roman"/>
          <w:bCs/>
          <w:i/>
          <w:iCs/>
          <w:color w:val="931638"/>
          <w:szCs w:val="20"/>
          <w:lang w:val="x-none" w:bidi="he-IL"/>
        </w:rPr>
      </w:pPr>
      <w:r w:rsidRPr="00A51C82">
        <w:rPr>
          <w:rFonts w:eastAsia="Times New Roman"/>
          <w:bCs/>
          <w:i/>
          <w:iCs/>
          <w:color w:val="931638"/>
          <w:szCs w:val="20"/>
          <w:lang w:val="x-none" w:bidi="he-IL"/>
        </w:rPr>
        <w:t xml:space="preserve">Le réseau Grand Paris Express et l’évolution des déplacements en Île-de-France </w:t>
      </w:r>
    </w:p>
    <w:p w14:paraId="556BF1BF" w14:textId="77777777" w:rsidR="005F5767" w:rsidRDefault="005F5767" w:rsidP="004C4CA3">
      <w:pPr>
        <w:jc w:val="both"/>
      </w:pPr>
    </w:p>
    <w:p w14:paraId="2926082D" w14:textId="798EF23B" w:rsidR="00A51C82" w:rsidRPr="00686864" w:rsidRDefault="00A51C82" w:rsidP="004C4CA3">
      <w:pPr>
        <w:jc w:val="both"/>
      </w:pPr>
      <w:r w:rsidRPr="00686864">
        <w:t>La réalisation du réseau Grand Paris Express conduit donc à augmenter l’usage des transports en commun pour les déplacements quotidiens en Île-de-</w:t>
      </w:r>
      <w:r w:rsidR="00F67A46" w:rsidRPr="00686864">
        <w:t xml:space="preserve">France </w:t>
      </w:r>
      <w:r w:rsidR="00F67A46" w:rsidRPr="00686864">
        <w:rPr>
          <w:sz w:val="22"/>
        </w:rPr>
        <w:t>de</w:t>
      </w:r>
      <w:r w:rsidR="00F67A46" w:rsidRPr="00686864">
        <w:t xml:space="preserve"> plus de 400</w:t>
      </w:r>
      <w:r w:rsidR="0084080B">
        <w:t> </w:t>
      </w:r>
      <w:r w:rsidR="00F67A46" w:rsidRPr="00686864">
        <w:t>000 voyageurs en 2030 selon la dernière estimation.</w:t>
      </w:r>
      <w:r w:rsidRPr="00686864">
        <w:t xml:space="preserve"> Parmi les utilisateurs des nouvelles lignes du réseau de métro automatique, à l’horizon 2035, environ 8% à 10% se déplaceraient en voiture particulière si le réseau n’était pas réalisé ; ce résultat des modèles de prévision de trafic utilisés est probablement </w:t>
      </w:r>
      <w:r w:rsidR="00C11E9A" w:rsidRPr="00686864">
        <w:t xml:space="preserve">encore </w:t>
      </w:r>
      <w:r w:rsidR="007B7BC2" w:rsidRPr="00686864">
        <w:t>sous-estimé</w:t>
      </w:r>
      <w:r w:rsidRPr="00686864">
        <w:t xml:space="preserve"> pour les raisons vues </w:t>
      </w:r>
      <w:r w:rsidR="00764426">
        <w:t>page 28</w:t>
      </w:r>
      <w:r w:rsidRPr="00686864">
        <w:t xml:space="preserve">. </w:t>
      </w:r>
    </w:p>
    <w:p w14:paraId="33146D61" w14:textId="77777777" w:rsidR="00A51C82" w:rsidRPr="00686864" w:rsidRDefault="00A51C82" w:rsidP="00225D2D">
      <w:pPr>
        <w:keepNext/>
        <w:keepLines/>
        <w:spacing w:before="200"/>
        <w:rPr>
          <w:rFonts w:eastAsia="Times New Roman"/>
          <w:bCs/>
          <w:i/>
          <w:iCs/>
          <w:szCs w:val="20"/>
          <w:lang w:val="x-none" w:bidi="he-IL"/>
        </w:rPr>
      </w:pPr>
      <w:r w:rsidRPr="00686864">
        <w:rPr>
          <w:rFonts w:eastAsia="Times New Roman"/>
          <w:bCs/>
          <w:i/>
          <w:iCs/>
          <w:szCs w:val="20"/>
          <w:lang w:val="x-none" w:bidi="he-IL"/>
        </w:rPr>
        <w:t xml:space="preserve">Les effets du réseau Grand Paris Express sur l’allègement du trafic des autres lignes de transport en commun </w:t>
      </w:r>
    </w:p>
    <w:p w14:paraId="31B50392" w14:textId="77777777" w:rsidR="005F5767" w:rsidRPr="00686864" w:rsidRDefault="005F5767" w:rsidP="004C4CA3">
      <w:pPr>
        <w:jc w:val="both"/>
      </w:pPr>
    </w:p>
    <w:p w14:paraId="0856D002" w14:textId="5EF5167A" w:rsidR="00A51C82" w:rsidRPr="00686864" w:rsidRDefault="00A51C82" w:rsidP="004C4CA3">
      <w:pPr>
        <w:jc w:val="both"/>
      </w:pPr>
      <w:r w:rsidRPr="00686864">
        <w:t xml:space="preserve">Le réseau Grand Paris Express, en proposant des liaisons performantes sur des itinéraires majoritairement structurés en rocade, contribue </w:t>
      </w:r>
      <w:r w:rsidR="008D0217" w:rsidRPr="00686864">
        <w:t xml:space="preserve">aussi, </w:t>
      </w:r>
      <w:r w:rsidRPr="00686864">
        <w:t>de manière significative</w:t>
      </w:r>
      <w:r w:rsidR="008D0217" w:rsidRPr="00686864">
        <w:t>,</w:t>
      </w:r>
      <w:r w:rsidRPr="00686864">
        <w:t xml:space="preserve"> à décharger les autres lignes de transport en commun aux horizons projetés, en particulier dans la zone centrale de l’agglomération.</w:t>
      </w:r>
    </w:p>
    <w:p w14:paraId="057699A6" w14:textId="77777777" w:rsidR="005F5767" w:rsidRPr="00686864" w:rsidRDefault="005F5767" w:rsidP="004C4CA3">
      <w:pPr>
        <w:jc w:val="both"/>
      </w:pPr>
    </w:p>
    <w:p w14:paraId="31F11C45" w14:textId="6E0D1F1C" w:rsidR="00A51C82" w:rsidRPr="00686864" w:rsidRDefault="00A51C82" w:rsidP="005F5767">
      <w:pPr>
        <w:jc w:val="both"/>
        <w:rPr>
          <w:iCs/>
        </w:rPr>
      </w:pPr>
      <w:r w:rsidRPr="00686864">
        <w:rPr>
          <w:iCs/>
        </w:rPr>
        <w:t xml:space="preserve">La croissance de la population et des emplois au sein de la région </w:t>
      </w:r>
      <w:r w:rsidR="00886214" w:rsidRPr="00686864">
        <w:rPr>
          <w:iCs/>
        </w:rPr>
        <w:t>entraînera</w:t>
      </w:r>
      <w:r w:rsidRPr="00686864">
        <w:rPr>
          <w:iCs/>
        </w:rPr>
        <w:t xml:space="preserve"> naturellement une augmentation de la demande de transport</w:t>
      </w:r>
      <w:r w:rsidR="00764426">
        <w:rPr>
          <w:iCs/>
        </w:rPr>
        <w:t xml:space="preserve"> sur l’ensemble des lignes existantes de la région</w:t>
      </w:r>
      <w:r w:rsidRPr="00686864">
        <w:rPr>
          <w:iCs/>
        </w:rPr>
        <w:t xml:space="preserve">. Les études réalisées permettent de constater que la réalisation du réseau Grand Paris Express conduit à réduire la fréquentation et la charge maximale des tronçons centraux du réseau radial ferré, par rapport aux niveaux qui seraient atteints sans la mise en service du nouveau métro automatique. </w:t>
      </w:r>
    </w:p>
    <w:p w14:paraId="09D647EE" w14:textId="77777777" w:rsidR="005F5767" w:rsidRPr="00686864" w:rsidRDefault="005F5767" w:rsidP="005F5767">
      <w:pPr>
        <w:jc w:val="both"/>
        <w:rPr>
          <w:iCs/>
        </w:rPr>
      </w:pPr>
    </w:p>
    <w:p w14:paraId="7C922629" w14:textId="4A0DF384" w:rsidR="00A51C82" w:rsidRPr="00686864" w:rsidRDefault="00A51C82" w:rsidP="005F5767">
      <w:pPr>
        <w:jc w:val="both"/>
        <w:rPr>
          <w:iCs/>
        </w:rPr>
      </w:pPr>
      <w:r w:rsidRPr="00686864">
        <w:rPr>
          <w:iCs/>
        </w:rPr>
        <w:t xml:space="preserve">Les résultats présentés ci-après correspondent ainsi à la comparaison des trafics prévisionnels entre deux situations futures (projet/référence), avec et sans réseau Grand Paris Express. L’ordre de grandeur des effets du réseau Grand Paris Express sur la fréquentation et la charge des lignes existantes est similaire quelle que soit l’hypothèse considérée en matière de projections </w:t>
      </w:r>
      <w:r w:rsidR="008D0217" w:rsidRPr="00686864">
        <w:rPr>
          <w:iCs/>
        </w:rPr>
        <w:t>socio-démographiques</w:t>
      </w:r>
      <w:r w:rsidRPr="00686864">
        <w:rPr>
          <w:iCs/>
        </w:rPr>
        <w:t>.</w:t>
      </w:r>
    </w:p>
    <w:p w14:paraId="0DCEF5A6" w14:textId="77777777" w:rsidR="005F5767" w:rsidRPr="00686864" w:rsidRDefault="005F5767" w:rsidP="005F5767">
      <w:pPr>
        <w:jc w:val="both"/>
        <w:rPr>
          <w:i/>
          <w:iCs/>
        </w:rPr>
      </w:pPr>
    </w:p>
    <w:p w14:paraId="57B2936E" w14:textId="77777777" w:rsidR="00A51C82" w:rsidRPr="00686864" w:rsidRDefault="00A51C82" w:rsidP="004C4CA3">
      <w:pPr>
        <w:jc w:val="both"/>
      </w:pPr>
      <w:r w:rsidRPr="00686864">
        <w:t>A l’horizon de sa mise en service, le réseau Grand Paris Express conduit ainsi en pratique à une utilisation plus équilibrée de l’ensemble des lignes de transport en commun de la région d’Île-de-France. L’allègement relatif du trafic sur les lignes existantes, au bénéfice du nouveau métro automatique, constitue l’un des avantages majeurs du projet en matière de déplacements, ce qui lui permet de profiter à l’ensemble des voyageurs utilisant les transports publics dans le centre de l’agglomération, que ceux-ci empruntent ou non le réseau Grand Paris Express.</w:t>
      </w:r>
    </w:p>
    <w:p w14:paraId="44D0F224" w14:textId="77777777" w:rsidR="009C5DF5" w:rsidRDefault="009C5DF5" w:rsidP="004C4CA3">
      <w:pPr>
        <w:jc w:val="both"/>
      </w:pPr>
    </w:p>
    <w:p w14:paraId="78CED0A7" w14:textId="77777777" w:rsidR="00A51C82" w:rsidRPr="00A51C82" w:rsidRDefault="00A51C82" w:rsidP="004C4CA3">
      <w:pPr>
        <w:jc w:val="both"/>
      </w:pPr>
    </w:p>
    <w:p w14:paraId="312793E0" w14:textId="77777777" w:rsidR="00A51C82" w:rsidRPr="00A51C82" w:rsidRDefault="00A51C82" w:rsidP="004C4CA3">
      <w:pPr>
        <w:jc w:val="both"/>
      </w:pPr>
    </w:p>
    <w:p w14:paraId="5660BFEE" w14:textId="77777777" w:rsidR="00A51C82" w:rsidRPr="00A51C82" w:rsidRDefault="00A51C82" w:rsidP="004C4CA3">
      <w:pPr>
        <w:jc w:val="both"/>
      </w:pPr>
    </w:p>
    <w:p w14:paraId="58AFF935" w14:textId="77777777" w:rsidR="00A51C82" w:rsidRPr="00A51C82" w:rsidRDefault="00A51C82" w:rsidP="004C4CA3">
      <w:pPr>
        <w:jc w:val="both"/>
      </w:pPr>
    </w:p>
    <w:p w14:paraId="71F847BC" w14:textId="77777777" w:rsidR="00A51C82" w:rsidRDefault="00A51C82" w:rsidP="004C4CA3">
      <w:pPr>
        <w:jc w:val="both"/>
      </w:pPr>
    </w:p>
    <w:p w14:paraId="5CE4DD33" w14:textId="77777777" w:rsidR="005F5767" w:rsidRDefault="005F5767" w:rsidP="004C4CA3">
      <w:pPr>
        <w:jc w:val="both"/>
      </w:pPr>
    </w:p>
    <w:p w14:paraId="5306C890" w14:textId="77777777" w:rsidR="005F5767" w:rsidRDefault="005F5767" w:rsidP="004C4CA3">
      <w:pPr>
        <w:jc w:val="both"/>
      </w:pPr>
    </w:p>
    <w:p w14:paraId="464930C0" w14:textId="77777777" w:rsidR="005F5767" w:rsidRDefault="005F5767" w:rsidP="004C4CA3">
      <w:pPr>
        <w:jc w:val="both"/>
      </w:pPr>
    </w:p>
    <w:p w14:paraId="00E019EF" w14:textId="77777777" w:rsidR="005F5767" w:rsidRDefault="005F5767" w:rsidP="004C4CA3">
      <w:pPr>
        <w:jc w:val="both"/>
      </w:pPr>
    </w:p>
    <w:p w14:paraId="304F93AE" w14:textId="77777777" w:rsidR="005F5767" w:rsidRDefault="005F5767" w:rsidP="004C4CA3">
      <w:pPr>
        <w:jc w:val="both"/>
      </w:pPr>
    </w:p>
    <w:p w14:paraId="77E15A58" w14:textId="77777777" w:rsidR="005F5767" w:rsidRDefault="005F5767" w:rsidP="004C4CA3">
      <w:pPr>
        <w:jc w:val="both"/>
      </w:pPr>
    </w:p>
    <w:p w14:paraId="1B53C909" w14:textId="77777777" w:rsidR="005F5767" w:rsidRDefault="005F5767" w:rsidP="004C4CA3">
      <w:pPr>
        <w:jc w:val="both"/>
      </w:pPr>
    </w:p>
    <w:p w14:paraId="78541F14" w14:textId="77777777" w:rsidR="005F5767" w:rsidRDefault="005F5767" w:rsidP="004C4CA3">
      <w:pPr>
        <w:jc w:val="both"/>
      </w:pPr>
    </w:p>
    <w:p w14:paraId="4E39470A" w14:textId="77777777" w:rsidR="005F5767" w:rsidRDefault="005F5767" w:rsidP="004C4CA3">
      <w:pPr>
        <w:jc w:val="both"/>
      </w:pPr>
    </w:p>
    <w:p w14:paraId="06671F61" w14:textId="77777777" w:rsidR="005F5767" w:rsidRDefault="005F5767" w:rsidP="004C4CA3">
      <w:pPr>
        <w:jc w:val="both"/>
      </w:pPr>
    </w:p>
    <w:p w14:paraId="3D2B906C" w14:textId="77777777" w:rsidR="005F5767" w:rsidRDefault="005F5767" w:rsidP="004C4CA3">
      <w:pPr>
        <w:jc w:val="both"/>
      </w:pPr>
    </w:p>
    <w:p w14:paraId="4B506450" w14:textId="77777777" w:rsidR="005F5767" w:rsidRDefault="005F5767" w:rsidP="004C4CA3">
      <w:pPr>
        <w:jc w:val="both"/>
      </w:pPr>
    </w:p>
    <w:p w14:paraId="66252C2C" w14:textId="1443F0BD" w:rsidR="005F5767" w:rsidRDefault="005F5767" w:rsidP="004C4CA3">
      <w:pPr>
        <w:jc w:val="both"/>
      </w:pPr>
    </w:p>
    <w:p w14:paraId="0D7737B6" w14:textId="31A10BAC" w:rsidR="00511FE7" w:rsidRDefault="00511FE7" w:rsidP="004C4CA3">
      <w:pPr>
        <w:jc w:val="both"/>
      </w:pPr>
    </w:p>
    <w:p w14:paraId="0A499510" w14:textId="43E8368B" w:rsidR="00511FE7" w:rsidRDefault="00511FE7" w:rsidP="004C4CA3">
      <w:pPr>
        <w:jc w:val="both"/>
      </w:pPr>
    </w:p>
    <w:p w14:paraId="3E814105" w14:textId="77777777" w:rsidR="00511FE7" w:rsidRDefault="00511FE7" w:rsidP="004C4CA3">
      <w:pPr>
        <w:jc w:val="both"/>
      </w:pPr>
    </w:p>
    <w:p w14:paraId="0CA0A8C4" w14:textId="77777777" w:rsidR="009C5DF5" w:rsidRPr="00A51C82" w:rsidRDefault="009C5DF5" w:rsidP="004C4CA3">
      <w:pPr>
        <w:jc w:val="both"/>
      </w:pPr>
    </w:p>
    <w:p w14:paraId="62B3AB6E" w14:textId="77777777" w:rsidR="00A51C82" w:rsidRPr="00A51C82" w:rsidRDefault="00A51C82" w:rsidP="004C4CA3">
      <w:pPr>
        <w:jc w:val="both"/>
      </w:pPr>
    </w:p>
    <w:p w14:paraId="21C4770D"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spacing w:after="60"/>
        <w:jc w:val="both"/>
      </w:pPr>
    </w:p>
    <w:p w14:paraId="0917EA45" w14:textId="5D00A745" w:rsidR="00A51C82" w:rsidRPr="00686864" w:rsidRDefault="00A51C82" w:rsidP="004C4CA3">
      <w:pPr>
        <w:pBdr>
          <w:top w:val="single" w:sz="8" w:space="1" w:color="931638"/>
          <w:left w:val="single" w:sz="8" w:space="4" w:color="931638"/>
          <w:bottom w:val="single" w:sz="8" w:space="1" w:color="931638"/>
          <w:right w:val="single" w:sz="8" w:space="4" w:color="931638"/>
        </w:pBdr>
        <w:shd w:val="clear" w:color="auto" w:fill="E6D8C3"/>
        <w:jc w:val="both"/>
        <w:rPr>
          <w:strike/>
        </w:rPr>
      </w:pPr>
      <w:r w:rsidRPr="00686864">
        <w:t>En matière d’</w:t>
      </w:r>
      <w:r w:rsidRPr="00686864">
        <w:rPr>
          <w:b/>
        </w:rPr>
        <w:t>utilisations globales</w:t>
      </w:r>
      <w:r w:rsidRPr="00686864">
        <w:t xml:space="preserve">, la fréquentation des réseaux de RER, Transilien, tramway et métro est réduite sur certaines sections lorsque le réseau Grand Paris Express est réalisé, du fait des reports de voyageurs depuis le réseau classique : certains itinéraires deviennent en effet plus rapides et plus directs pour les déplacements qui ne nécessitent pas de transiter par Paris. Les baisses de fréquentation par rapport à une situation de référence sans Grand Paris Express </w:t>
      </w:r>
      <w:r w:rsidR="00C828AD" w:rsidRPr="00686864">
        <w:t xml:space="preserve">atteignent globalement près de </w:t>
      </w:r>
      <w:r w:rsidRPr="00686864">
        <w:t>10%</w:t>
      </w:r>
      <w:r w:rsidR="00C828AD" w:rsidRPr="00686864">
        <w:t xml:space="preserve"> du trafic du réseau classique</w:t>
      </w:r>
      <w:r w:rsidR="00AF34F3" w:rsidRPr="00686864">
        <w:t xml:space="preserve"> mais parfois beaucoup plus sur certaines lignes</w:t>
      </w:r>
      <w:r w:rsidRPr="00686864">
        <w:t>.</w:t>
      </w:r>
      <w:r w:rsidR="00F47EA1" w:rsidRPr="00686864">
        <w:t xml:space="preserve"> </w:t>
      </w:r>
    </w:p>
    <w:p w14:paraId="7583038C" w14:textId="77777777" w:rsidR="00886214" w:rsidRPr="00686864" w:rsidRDefault="00886214" w:rsidP="004C4CA3">
      <w:pPr>
        <w:pBdr>
          <w:top w:val="single" w:sz="8" w:space="1" w:color="931638"/>
          <w:left w:val="single" w:sz="8" w:space="4" w:color="931638"/>
          <w:bottom w:val="single" w:sz="8" w:space="1" w:color="931638"/>
          <w:right w:val="single" w:sz="8" w:space="4" w:color="931638"/>
        </w:pBdr>
        <w:shd w:val="clear" w:color="auto" w:fill="E6D8C3"/>
        <w:jc w:val="both"/>
      </w:pPr>
    </w:p>
    <w:p w14:paraId="3E2C11B0" w14:textId="4D065145" w:rsidR="00CE5AC4" w:rsidRPr="00686864" w:rsidRDefault="00A51C82" w:rsidP="004C4CA3">
      <w:pPr>
        <w:pBdr>
          <w:top w:val="single" w:sz="8" w:space="1" w:color="931638"/>
          <w:left w:val="single" w:sz="8" w:space="4" w:color="931638"/>
          <w:bottom w:val="single" w:sz="8" w:space="1" w:color="931638"/>
          <w:right w:val="single" w:sz="8" w:space="4" w:color="931638"/>
        </w:pBdr>
        <w:shd w:val="clear" w:color="auto" w:fill="E6D8C3"/>
        <w:jc w:val="both"/>
      </w:pPr>
      <w:r w:rsidRPr="00686864">
        <w:t>Les lignes qui profitent le plus de cet allègement de leur trafic avec la mise en service du réseau Grand Paris Express sont les RER A, B et E,</w:t>
      </w:r>
      <w:r w:rsidR="00AF34F3" w:rsidRPr="00686864">
        <w:t xml:space="preserve"> avec des reports de trafic atteignant 30 % pour les RER B et E, </w:t>
      </w:r>
      <w:r w:rsidRPr="00686864">
        <w:t>de même que les sections centrales des lignes de métro maillées au nouveau réseau</w:t>
      </w:r>
      <w:r w:rsidR="00D03A72" w:rsidRPr="00686864">
        <w:t>, le report de trafic atteignant et même dépassant les 10% pour les lignes</w:t>
      </w:r>
      <w:r w:rsidR="008F66E8" w:rsidRPr="00686864">
        <w:t xml:space="preserve"> 2, 5, 6, 7 et 10</w:t>
      </w:r>
      <w:r w:rsidRPr="00686864">
        <w:t>. On observe un résultat similaire avec les lignes Transilien sur les sections comprises entre les points de maillage avec le réseau du Grand Paris Express en rocade et leur terminus dans Paris</w:t>
      </w:r>
      <w:r w:rsidR="00C70F90" w:rsidRPr="00686864">
        <w:t>, notamment la ligne P avec près de 20 % de baisse de fréquentation</w:t>
      </w:r>
      <w:r w:rsidRPr="00686864">
        <w:t xml:space="preserve">. </w:t>
      </w:r>
      <w:r w:rsidR="001E0A68" w:rsidRPr="00686864">
        <w:t>Le même phénomène est constaté sur plusieurs lignes de tramway avec des reports atteignant parfois 20%</w:t>
      </w:r>
      <w:r w:rsidR="003921AD" w:rsidRPr="00686864">
        <w:t>,</w:t>
      </w:r>
      <w:r w:rsidR="001E0A68" w:rsidRPr="00686864">
        <w:t xml:space="preserve"> voire 40%. </w:t>
      </w:r>
      <w:r w:rsidRPr="00686864">
        <w:t>A l’inverse</w:t>
      </w:r>
      <w:r w:rsidR="000F4BF8">
        <w:t>, c</w:t>
      </w:r>
      <w:r w:rsidRPr="00686864">
        <w:t>ertaines sections de ligne voient au contraire leur fréquentation augmenter en amont et en aval des points de correspondance avec les lignes du réseau Grand Paris Express. Cette recomposition des déplacements, qui traduit l’attractivité du maillage avec le nouveau métro automatique, tend à équilibrer le trafic des lignes et à optimiser l’utilisation de la capacité des réseaux de transport en commun.</w:t>
      </w:r>
    </w:p>
    <w:p w14:paraId="3BAF6248" w14:textId="77777777" w:rsidR="00A51C82" w:rsidRPr="00686864" w:rsidRDefault="00A51C82" w:rsidP="004C4CA3">
      <w:pPr>
        <w:pBdr>
          <w:top w:val="single" w:sz="8" w:space="1" w:color="931638"/>
          <w:left w:val="single" w:sz="8" w:space="4" w:color="931638"/>
          <w:bottom w:val="single" w:sz="8" w:space="1" w:color="931638"/>
          <w:right w:val="single" w:sz="8" w:space="4" w:color="931638"/>
        </w:pBdr>
        <w:shd w:val="clear" w:color="auto" w:fill="E6D8C3"/>
        <w:jc w:val="both"/>
      </w:pPr>
      <w:r w:rsidRPr="00686864">
        <w:t xml:space="preserve"> </w:t>
      </w:r>
    </w:p>
    <w:p w14:paraId="525A39B9" w14:textId="622715FA" w:rsidR="00A51C82" w:rsidRPr="00686864" w:rsidRDefault="00A51C82" w:rsidP="004C4CA3">
      <w:pPr>
        <w:pBdr>
          <w:top w:val="single" w:sz="8" w:space="1" w:color="931638"/>
          <w:left w:val="single" w:sz="8" w:space="4" w:color="931638"/>
          <w:bottom w:val="single" w:sz="8" w:space="1" w:color="931638"/>
          <w:right w:val="single" w:sz="8" w:space="4" w:color="931638"/>
        </w:pBdr>
        <w:shd w:val="clear" w:color="auto" w:fill="E6D8C3"/>
        <w:jc w:val="both"/>
      </w:pPr>
      <w:r w:rsidRPr="00686864">
        <w:t xml:space="preserve">L’analyse des </w:t>
      </w:r>
      <w:r w:rsidRPr="00686864">
        <w:rPr>
          <w:b/>
        </w:rPr>
        <w:t>charges maximales</w:t>
      </w:r>
      <w:r w:rsidRPr="00686864">
        <w:t xml:space="preserve"> permet d’apprécier l’effet attendu localement sur les sections les plus sollicitées de chaque ligne. Par rapport à une situation de référence sans Grand Paris Express, les charges maximales sont généralement </w:t>
      </w:r>
      <w:r w:rsidR="00764426">
        <w:t xml:space="preserve">diminuées </w:t>
      </w:r>
      <w:r w:rsidRPr="00686864">
        <w:t>sur l’ensemble des lignes</w:t>
      </w:r>
      <w:r w:rsidR="00764426">
        <w:t xml:space="preserve"> ferrées existantes</w:t>
      </w:r>
      <w:r w:rsidRPr="00686864">
        <w:t xml:space="preserve">. </w:t>
      </w:r>
    </w:p>
    <w:p w14:paraId="6A6558AE" w14:textId="77777777" w:rsidR="00CE5AC4" w:rsidRPr="00686864" w:rsidRDefault="00CE5AC4" w:rsidP="004C4CA3">
      <w:pPr>
        <w:pBdr>
          <w:top w:val="single" w:sz="8" w:space="1" w:color="931638"/>
          <w:left w:val="single" w:sz="8" w:space="4" w:color="931638"/>
          <w:bottom w:val="single" w:sz="8" w:space="1" w:color="931638"/>
          <w:right w:val="single" w:sz="8" w:space="4" w:color="931638"/>
        </w:pBdr>
        <w:shd w:val="clear" w:color="auto" w:fill="E6D8C3"/>
        <w:jc w:val="both"/>
      </w:pPr>
    </w:p>
    <w:p w14:paraId="4D07E952" w14:textId="34130A3A" w:rsidR="00A51C82" w:rsidRPr="00686864" w:rsidRDefault="00A51C82" w:rsidP="004C4CA3">
      <w:pPr>
        <w:pBdr>
          <w:top w:val="single" w:sz="8" w:space="1" w:color="931638"/>
          <w:left w:val="single" w:sz="8" w:space="4" w:color="931638"/>
          <w:bottom w:val="single" w:sz="8" w:space="1" w:color="931638"/>
          <w:right w:val="single" w:sz="8" w:space="4" w:color="931638"/>
        </w:pBdr>
        <w:shd w:val="clear" w:color="auto" w:fill="E6D8C3"/>
        <w:jc w:val="both"/>
      </w:pPr>
      <w:r w:rsidRPr="00686864">
        <w:t xml:space="preserve">Les diminutions les plus importantes sont observées sur les lignes proposant des itinéraires de banlieue à banlieue, soit en rocade comme les tramways, soit en radiales traversantes comme les RER ou le métro. Ainsi, sur le RER A, la réduction de la charge maximale du tronçon </w:t>
      </w:r>
      <w:r w:rsidR="007B7BC2" w:rsidRPr="00686864">
        <w:t>central s’établit</w:t>
      </w:r>
      <w:r w:rsidRPr="00686864">
        <w:t xml:space="preserve"> entre -15% et -20% par rapport à la situation de référence sans </w:t>
      </w:r>
      <w:r w:rsidR="00764426">
        <w:t xml:space="preserve">le </w:t>
      </w:r>
      <w:r w:rsidRPr="00686864">
        <w:t>Grand Paris Express. La charge maximale est également réduite sur les branches en correspondance avec le réseau Grand Paris Express, notamment celles de Chessy et de Boissy sur le RER A, ainsi que les branches de Saint-Rémy, de Roissy et de Mitry sur le RER B. Sur le métro, les effets de réduction de la charge maximale concernent de nombreuses lignes, principalement celles qui sont en correspondance avec le projet. La diminution de la charge maximale est notamment comprise entre 10% et 20% pour les lignes 4, 6, 7, 9 et 13, à l’intérieur de Paris.</w:t>
      </w:r>
    </w:p>
    <w:p w14:paraId="438ECE06" w14:textId="77777777" w:rsidR="00CE5AC4" w:rsidRPr="00686864" w:rsidRDefault="00CE5AC4" w:rsidP="004C4CA3">
      <w:pPr>
        <w:pBdr>
          <w:top w:val="single" w:sz="8" w:space="1" w:color="931638"/>
          <w:left w:val="single" w:sz="8" w:space="4" w:color="931638"/>
          <w:bottom w:val="single" w:sz="8" w:space="1" w:color="931638"/>
          <w:right w:val="single" w:sz="8" w:space="4" w:color="931638"/>
        </w:pBdr>
        <w:shd w:val="clear" w:color="auto" w:fill="E6D8C3"/>
        <w:jc w:val="both"/>
      </w:pPr>
    </w:p>
    <w:p w14:paraId="147B73B6" w14:textId="32AA84A0"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jc w:val="both"/>
      </w:pPr>
      <w:r w:rsidRPr="00686864">
        <w:t>Ces effets sont observés pour l’</w:t>
      </w:r>
      <w:r w:rsidRPr="00686864">
        <w:rPr>
          <w:b/>
        </w:rPr>
        <w:t>horizon 2030</w:t>
      </w:r>
      <w:r w:rsidRPr="00686864">
        <w:t xml:space="preserve">, auquel le réseau Grand Paris Express est considéré comme réalisé dans son ensemble, à l’exception des sections Versailles–Nanterre et Saint-Denis Pleyel–Colombes–Nanterre. </w:t>
      </w:r>
    </w:p>
    <w:p w14:paraId="5F12BF51" w14:textId="77777777" w:rsidR="00A51C82" w:rsidRPr="00A51C82" w:rsidRDefault="00A51C82" w:rsidP="004C4CA3">
      <w:pPr>
        <w:jc w:val="both"/>
        <w:sectPr w:rsidR="00A51C82" w:rsidRPr="00A51C82" w:rsidSect="001B258F">
          <w:type w:val="continuous"/>
          <w:pgSz w:w="23818" w:h="16838" w:orient="landscape"/>
          <w:pgMar w:top="1418" w:right="1418" w:bottom="1418" w:left="1418" w:header="709" w:footer="709" w:gutter="0"/>
          <w:cols w:num="2" w:space="708"/>
        </w:sectPr>
      </w:pPr>
    </w:p>
    <w:p w14:paraId="62F855E4" w14:textId="13CA5D2F" w:rsidR="00A37221" w:rsidRPr="00304C03" w:rsidRDefault="00A37221" w:rsidP="00FF4357">
      <w:pPr>
        <w:jc w:val="center"/>
        <w:rPr>
          <w:b/>
          <w:bCs/>
          <w:color w:val="00B050"/>
          <w:sz w:val="22"/>
          <w:szCs w:val="22"/>
        </w:rPr>
      </w:pPr>
      <w:r w:rsidRPr="00304C03">
        <w:rPr>
          <w:b/>
          <w:bCs/>
          <w:color w:val="00B050"/>
          <w:sz w:val="22"/>
          <w:szCs w:val="22"/>
        </w:rPr>
        <w:lastRenderedPageBreak/>
        <w:t>Effets du réseau Grand Paris Express sur la charge des lignes de métro, des RER et des tramways à l’horizon 2030</w:t>
      </w:r>
    </w:p>
    <w:tbl>
      <w:tblPr>
        <w:tblStyle w:val="Grilledutableau"/>
        <w:tblW w:w="0" w:type="auto"/>
        <w:tblInd w:w="2405" w:type="dxa"/>
        <w:tblLook w:val="04A0" w:firstRow="1" w:lastRow="0" w:firstColumn="1" w:lastColumn="0" w:noHBand="0" w:noVBand="1"/>
      </w:tblPr>
      <w:tblGrid>
        <w:gridCol w:w="15931"/>
      </w:tblGrid>
      <w:tr w:rsidR="00A37221" w14:paraId="1916539F" w14:textId="77777777" w:rsidTr="00F333C1">
        <w:trPr>
          <w:trHeight w:val="13326"/>
        </w:trPr>
        <w:tc>
          <w:tcPr>
            <w:tcW w:w="15931" w:type="dxa"/>
          </w:tcPr>
          <w:p w14:paraId="3E27FA43" w14:textId="7D542F6E" w:rsidR="00A37221" w:rsidRDefault="00F333C1" w:rsidP="00A37221">
            <w:pPr>
              <w:jc w:val="center"/>
              <w:rPr>
                <w:b/>
                <w:bCs/>
              </w:rPr>
            </w:pPr>
            <w:r w:rsidRPr="00F333C1">
              <w:rPr>
                <w:b/>
                <w:bCs/>
                <w:noProof/>
              </w:rPr>
              <w:drawing>
                <wp:inline distT="0" distB="0" distL="0" distR="0" wp14:anchorId="400142E5" wp14:editId="0BF5CA64">
                  <wp:extent cx="9647555" cy="8294691"/>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649758" cy="8296585"/>
                          </a:xfrm>
                          <a:prstGeom prst="rect">
                            <a:avLst/>
                          </a:prstGeom>
                          <a:noFill/>
                          <a:ln>
                            <a:noFill/>
                          </a:ln>
                        </pic:spPr>
                      </pic:pic>
                    </a:graphicData>
                  </a:graphic>
                </wp:inline>
              </w:drawing>
            </w:r>
          </w:p>
          <w:p w14:paraId="5153DB71" w14:textId="760F25BF" w:rsidR="00A37221" w:rsidRDefault="00A37221" w:rsidP="00A37221">
            <w:pPr>
              <w:jc w:val="center"/>
              <w:rPr>
                <w:b/>
                <w:bCs/>
              </w:rPr>
            </w:pPr>
          </w:p>
        </w:tc>
      </w:tr>
    </w:tbl>
    <w:p w14:paraId="63C497F0" w14:textId="79C5CF8A" w:rsidR="00A37221" w:rsidRPr="000F43A4" w:rsidRDefault="00A37221" w:rsidP="00355496">
      <w:pPr>
        <w:ind w:left="3545"/>
        <w:rPr>
          <w:b/>
          <w:bCs/>
          <w:color w:val="FF0000"/>
        </w:rPr>
      </w:pPr>
      <w:r>
        <w:rPr>
          <w:i/>
          <w:iCs/>
        </w:rPr>
        <w:t xml:space="preserve">     </w:t>
      </w:r>
      <w:r w:rsidRPr="00A37221">
        <w:rPr>
          <w:i/>
          <w:iCs/>
        </w:rPr>
        <w:t>Source : DRIEA</w:t>
      </w:r>
      <w:r w:rsidR="00F333C1">
        <w:rPr>
          <w:i/>
          <w:iCs/>
        </w:rPr>
        <w:t>, rapport MODUS, janvier 2021, page 51</w:t>
      </w:r>
    </w:p>
    <w:p w14:paraId="6D427B16" w14:textId="17D4E516" w:rsidR="00A51C82" w:rsidRPr="00A51C82" w:rsidRDefault="00A51C82" w:rsidP="004C4CA3">
      <w:pPr>
        <w:jc w:val="both"/>
        <w:sectPr w:rsidR="00A51C82" w:rsidRPr="00A51C82" w:rsidSect="00822CCC">
          <w:pgSz w:w="23818" w:h="16838" w:orient="landscape"/>
          <w:pgMar w:top="1418" w:right="1418" w:bottom="1418" w:left="1418" w:header="709" w:footer="709" w:gutter="0"/>
          <w:cols w:space="708"/>
        </w:sectPr>
      </w:pPr>
    </w:p>
    <w:p w14:paraId="2A78F414" w14:textId="7A17425B" w:rsidR="00A51C82" w:rsidRPr="00A13130" w:rsidRDefault="00A51C82" w:rsidP="00A13130">
      <w:pPr>
        <w:pStyle w:val="Titre2"/>
      </w:pPr>
      <w:bookmarkStart w:id="73" w:name="_Toc406757042"/>
      <w:bookmarkStart w:id="74" w:name="_Toc46917067"/>
      <w:bookmarkStart w:id="75" w:name="_Toc63352138"/>
      <w:r w:rsidRPr="00A13130">
        <w:lastRenderedPageBreak/>
        <w:t>Création de valeur par fonctionnalité</w:t>
      </w:r>
      <w:bookmarkEnd w:id="73"/>
      <w:bookmarkEnd w:id="74"/>
      <w:bookmarkEnd w:id="75"/>
    </w:p>
    <w:p w14:paraId="30473A48" w14:textId="77777777" w:rsidR="00764426" w:rsidRPr="00764426" w:rsidRDefault="00764426" w:rsidP="00764426">
      <w:pPr>
        <w:rPr>
          <w:lang w:bidi="he-IL"/>
        </w:rPr>
      </w:pPr>
    </w:p>
    <w:p w14:paraId="7D386B1E" w14:textId="5B54F9EF" w:rsidR="00A51C82" w:rsidRPr="00342808" w:rsidRDefault="00A51C82" w:rsidP="00412C10">
      <w:pPr>
        <w:pStyle w:val="Titre3"/>
        <w:numPr>
          <w:ilvl w:val="3"/>
          <w:numId w:val="33"/>
        </w:numPr>
      </w:pPr>
      <w:bookmarkStart w:id="76" w:name="_Toc48903213"/>
      <w:bookmarkStart w:id="77" w:name="_Toc48904198"/>
      <w:bookmarkStart w:id="78" w:name="_Toc48907175"/>
      <w:bookmarkStart w:id="79" w:name="_Toc48907543"/>
      <w:bookmarkStart w:id="80" w:name="_Toc406757043"/>
      <w:bookmarkStart w:id="81" w:name="_Toc46917068"/>
      <w:bookmarkStart w:id="82" w:name="_Toc63352139"/>
      <w:bookmarkEnd w:id="76"/>
      <w:bookmarkEnd w:id="77"/>
      <w:bookmarkEnd w:id="78"/>
      <w:bookmarkEnd w:id="79"/>
      <w:r w:rsidRPr="00342808">
        <w:t>Les gains de temps pour les usagers</w:t>
      </w:r>
      <w:bookmarkEnd w:id="80"/>
      <w:bookmarkEnd w:id="81"/>
      <w:bookmarkEnd w:id="82"/>
    </w:p>
    <w:p w14:paraId="78726584" w14:textId="77777777" w:rsidR="00CE5AC4" w:rsidRDefault="00CE5AC4" w:rsidP="004C4CA3">
      <w:pPr>
        <w:jc w:val="both"/>
      </w:pPr>
    </w:p>
    <w:p w14:paraId="57AD7076" w14:textId="106338A2" w:rsidR="00A51C82" w:rsidRPr="00686864" w:rsidRDefault="00A51C82" w:rsidP="004C4CA3">
      <w:pPr>
        <w:jc w:val="both"/>
      </w:pPr>
      <w:r w:rsidRPr="00686864">
        <w:t xml:space="preserve">Le réseau Grand Paris Express génèrera des diminutions de temps de trajet importantes sur </w:t>
      </w:r>
      <w:r w:rsidR="007B7BC2" w:rsidRPr="00686864">
        <w:t>de nombreuses</w:t>
      </w:r>
      <w:r w:rsidRPr="00686864">
        <w:t xml:space="preserve"> liaisons en Île-de-France. En effet :</w:t>
      </w:r>
    </w:p>
    <w:p w14:paraId="33C05448" w14:textId="77777777" w:rsidR="00FC7387" w:rsidRPr="00686864" w:rsidRDefault="00FC7387" w:rsidP="004C4CA3">
      <w:pPr>
        <w:jc w:val="both"/>
      </w:pPr>
    </w:p>
    <w:p w14:paraId="746E19D5" w14:textId="77777777" w:rsidR="00A51C82" w:rsidRPr="00686864" w:rsidRDefault="00A51C82" w:rsidP="0083506E">
      <w:pPr>
        <w:numPr>
          <w:ilvl w:val="0"/>
          <w:numId w:val="7"/>
        </w:numPr>
        <w:jc w:val="both"/>
      </w:pPr>
      <w:r w:rsidRPr="00686864">
        <w:t xml:space="preserve">Il propose une offre de transport performante, tant en termes de fréquence que de vitesse commerciale, ainsi que des correspondances nombreuses avec le réseau existant (RER, train, métro, tramway ou bus). </w:t>
      </w:r>
    </w:p>
    <w:p w14:paraId="3EE1EBC0" w14:textId="77777777" w:rsidR="00CE5AC4" w:rsidRPr="00686864" w:rsidRDefault="00CE5AC4" w:rsidP="00CE5AC4">
      <w:pPr>
        <w:ind w:left="720"/>
        <w:jc w:val="both"/>
      </w:pPr>
    </w:p>
    <w:p w14:paraId="7C1E09D3" w14:textId="77777777" w:rsidR="00A51C82" w:rsidRPr="00686864" w:rsidRDefault="00A51C82" w:rsidP="0083506E">
      <w:pPr>
        <w:numPr>
          <w:ilvl w:val="0"/>
          <w:numId w:val="7"/>
        </w:numPr>
        <w:jc w:val="both"/>
      </w:pPr>
      <w:r w:rsidRPr="00686864">
        <w:t>Il permet des trajets directs entre des territoires qui ne sont aujourd’hui pas reliés par une ligne structurante de transport en commun, et raccourcit ainsi les itinéraires en évitant d’avoir à transiter par Paris : c’est tout particulièrement le cas des liaisons de rocade assurées par les lignes 15 et 16.</w:t>
      </w:r>
    </w:p>
    <w:p w14:paraId="276BE521" w14:textId="77777777" w:rsidR="00FC7387" w:rsidRPr="00686864" w:rsidRDefault="00FC7387" w:rsidP="00CE5AC4">
      <w:pPr>
        <w:ind w:left="720"/>
        <w:jc w:val="both"/>
      </w:pPr>
    </w:p>
    <w:p w14:paraId="7141F807" w14:textId="77777777" w:rsidR="00A51C82" w:rsidRPr="00686864" w:rsidRDefault="00A51C82" w:rsidP="004C4CA3">
      <w:pPr>
        <w:jc w:val="both"/>
      </w:pPr>
      <w:r w:rsidRPr="00686864">
        <w:t>Quelques exemples de gains de temps de déplacement apportés par le nouveau réseau sont présentés ci-après :</w:t>
      </w:r>
    </w:p>
    <w:p w14:paraId="0AD52AF8" w14:textId="77777777" w:rsidR="00FC7387" w:rsidRPr="00686864" w:rsidRDefault="00FC7387" w:rsidP="004C4CA3">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9"/>
        <w:gridCol w:w="1816"/>
        <w:gridCol w:w="1816"/>
        <w:gridCol w:w="1817"/>
      </w:tblGrid>
      <w:tr w:rsidR="00A51C82" w:rsidRPr="00686864" w14:paraId="19AA7E82" w14:textId="77777777" w:rsidTr="001B258F">
        <w:trPr>
          <w:trHeight w:val="20"/>
          <w:jc w:val="center"/>
        </w:trPr>
        <w:tc>
          <w:tcPr>
            <w:tcW w:w="10118" w:type="dxa"/>
            <w:gridSpan w:val="4"/>
            <w:shd w:val="clear" w:color="auto" w:fill="auto"/>
            <w:vAlign w:val="center"/>
          </w:tcPr>
          <w:p w14:paraId="2EDE1A7A" w14:textId="77777777" w:rsidR="00A51C82" w:rsidRPr="00686864" w:rsidRDefault="00A51C82" w:rsidP="000F7BCF">
            <w:pPr>
              <w:jc w:val="center"/>
              <w:rPr>
                <w:i/>
                <w:sz w:val="18"/>
                <w:szCs w:val="18"/>
              </w:rPr>
            </w:pPr>
            <w:r w:rsidRPr="00686864">
              <w:rPr>
                <w:i/>
                <w:sz w:val="18"/>
                <w:szCs w:val="18"/>
              </w:rPr>
              <w:t>Temps de déplacement comparés en utilisant le réseau de transport en commun (à l’heure de pointe)</w:t>
            </w:r>
          </w:p>
        </w:tc>
      </w:tr>
      <w:tr w:rsidR="00A51C82" w:rsidRPr="00686864" w14:paraId="4681B326" w14:textId="77777777" w:rsidTr="001B258F">
        <w:trPr>
          <w:trHeight w:val="20"/>
          <w:jc w:val="center"/>
        </w:trPr>
        <w:tc>
          <w:tcPr>
            <w:tcW w:w="4669" w:type="dxa"/>
            <w:shd w:val="clear" w:color="auto" w:fill="auto"/>
            <w:vAlign w:val="center"/>
          </w:tcPr>
          <w:p w14:paraId="3CC3FFF1" w14:textId="77777777" w:rsidR="00A51C82" w:rsidRPr="00686864" w:rsidRDefault="00A51C82" w:rsidP="004C4CA3">
            <w:pPr>
              <w:jc w:val="both"/>
              <w:rPr>
                <w:i/>
                <w:sz w:val="18"/>
                <w:szCs w:val="18"/>
              </w:rPr>
            </w:pPr>
            <w:r w:rsidRPr="00686864">
              <w:rPr>
                <w:i/>
                <w:sz w:val="18"/>
                <w:szCs w:val="18"/>
              </w:rPr>
              <w:t>Trajet</w:t>
            </w:r>
          </w:p>
        </w:tc>
        <w:tc>
          <w:tcPr>
            <w:tcW w:w="1816" w:type="dxa"/>
            <w:shd w:val="clear" w:color="auto" w:fill="FFFFFF"/>
            <w:vAlign w:val="center"/>
          </w:tcPr>
          <w:p w14:paraId="463E9BAA" w14:textId="77777777" w:rsidR="00A51C82" w:rsidRPr="00686864" w:rsidRDefault="00A51C82" w:rsidP="000F7BCF">
            <w:pPr>
              <w:jc w:val="center"/>
              <w:rPr>
                <w:i/>
                <w:sz w:val="18"/>
                <w:szCs w:val="18"/>
              </w:rPr>
            </w:pPr>
            <w:r w:rsidRPr="00686864">
              <w:rPr>
                <w:i/>
                <w:sz w:val="18"/>
                <w:szCs w:val="18"/>
              </w:rPr>
              <w:t>Aujourd’hui (*)</w:t>
            </w:r>
          </w:p>
        </w:tc>
        <w:tc>
          <w:tcPr>
            <w:tcW w:w="1816" w:type="dxa"/>
            <w:shd w:val="clear" w:color="auto" w:fill="FFFFFF"/>
            <w:vAlign w:val="center"/>
          </w:tcPr>
          <w:p w14:paraId="6AE69DCD" w14:textId="77777777" w:rsidR="00A51C82" w:rsidRPr="00686864" w:rsidRDefault="00A51C82" w:rsidP="000F7BCF">
            <w:pPr>
              <w:jc w:val="center"/>
              <w:rPr>
                <w:bCs/>
                <w:i/>
                <w:sz w:val="18"/>
                <w:szCs w:val="18"/>
              </w:rPr>
            </w:pPr>
            <w:r w:rsidRPr="00686864">
              <w:rPr>
                <w:bCs/>
                <w:i/>
                <w:sz w:val="18"/>
                <w:szCs w:val="18"/>
              </w:rPr>
              <w:t>Avec Grand Paris Express</w:t>
            </w:r>
          </w:p>
        </w:tc>
        <w:tc>
          <w:tcPr>
            <w:tcW w:w="1817" w:type="dxa"/>
            <w:shd w:val="clear" w:color="auto" w:fill="FFFFFF"/>
            <w:vAlign w:val="center"/>
          </w:tcPr>
          <w:p w14:paraId="2C40A188" w14:textId="77777777" w:rsidR="00A51C82" w:rsidRPr="00686864" w:rsidRDefault="00A51C82" w:rsidP="000F7BCF">
            <w:pPr>
              <w:jc w:val="center"/>
              <w:rPr>
                <w:i/>
                <w:sz w:val="18"/>
                <w:szCs w:val="18"/>
              </w:rPr>
            </w:pPr>
            <w:r w:rsidRPr="00686864">
              <w:rPr>
                <w:i/>
                <w:sz w:val="18"/>
                <w:szCs w:val="18"/>
              </w:rPr>
              <w:t>Gain de temps</w:t>
            </w:r>
          </w:p>
        </w:tc>
      </w:tr>
      <w:tr w:rsidR="00A51C82" w:rsidRPr="00686864" w14:paraId="53B06F95" w14:textId="77777777" w:rsidTr="001B258F">
        <w:trPr>
          <w:trHeight w:val="20"/>
          <w:jc w:val="center"/>
        </w:trPr>
        <w:tc>
          <w:tcPr>
            <w:tcW w:w="4669" w:type="dxa"/>
            <w:shd w:val="clear" w:color="auto" w:fill="auto"/>
            <w:vAlign w:val="center"/>
          </w:tcPr>
          <w:p w14:paraId="78C2A359" w14:textId="77777777" w:rsidR="00A51C82" w:rsidRPr="00686864" w:rsidRDefault="00A51C82" w:rsidP="004C4CA3">
            <w:pPr>
              <w:jc w:val="both"/>
              <w:rPr>
                <w:sz w:val="18"/>
                <w:szCs w:val="18"/>
              </w:rPr>
            </w:pPr>
            <w:r w:rsidRPr="00686864">
              <w:rPr>
                <w:sz w:val="18"/>
                <w:szCs w:val="18"/>
              </w:rPr>
              <w:t>La Plaine Saint-Denis – Créteil</w:t>
            </w:r>
          </w:p>
        </w:tc>
        <w:tc>
          <w:tcPr>
            <w:tcW w:w="1816" w:type="dxa"/>
            <w:shd w:val="clear" w:color="auto" w:fill="FFFFFF"/>
            <w:vAlign w:val="center"/>
          </w:tcPr>
          <w:p w14:paraId="5E0198C6" w14:textId="77777777" w:rsidR="00A51C82" w:rsidRPr="00686864" w:rsidRDefault="00A51C82" w:rsidP="00CE5AC4">
            <w:pPr>
              <w:jc w:val="right"/>
              <w:rPr>
                <w:sz w:val="18"/>
                <w:szCs w:val="18"/>
              </w:rPr>
            </w:pPr>
            <w:r w:rsidRPr="00686864">
              <w:rPr>
                <w:sz w:val="18"/>
                <w:szCs w:val="18"/>
              </w:rPr>
              <w:t>50 min</w:t>
            </w:r>
          </w:p>
        </w:tc>
        <w:tc>
          <w:tcPr>
            <w:tcW w:w="1816" w:type="dxa"/>
            <w:shd w:val="clear" w:color="auto" w:fill="FFFFFF"/>
            <w:vAlign w:val="center"/>
          </w:tcPr>
          <w:p w14:paraId="7E4EBF1D" w14:textId="77777777" w:rsidR="00A51C82" w:rsidRPr="00686864" w:rsidRDefault="00A51C82" w:rsidP="00CE5AC4">
            <w:pPr>
              <w:jc w:val="right"/>
              <w:rPr>
                <w:bCs/>
                <w:sz w:val="18"/>
                <w:szCs w:val="18"/>
              </w:rPr>
            </w:pPr>
            <w:r w:rsidRPr="00686864">
              <w:rPr>
                <w:bCs/>
                <w:sz w:val="18"/>
                <w:szCs w:val="18"/>
              </w:rPr>
              <w:t>35 min</w:t>
            </w:r>
          </w:p>
        </w:tc>
        <w:tc>
          <w:tcPr>
            <w:tcW w:w="1817" w:type="dxa"/>
            <w:shd w:val="clear" w:color="auto" w:fill="FFFFFF"/>
            <w:vAlign w:val="center"/>
          </w:tcPr>
          <w:p w14:paraId="2E06BDE9" w14:textId="77777777" w:rsidR="00A51C82" w:rsidRPr="00686864" w:rsidRDefault="00A51C82" w:rsidP="00CE5AC4">
            <w:pPr>
              <w:jc w:val="right"/>
              <w:rPr>
                <w:i/>
                <w:iCs/>
                <w:sz w:val="18"/>
                <w:szCs w:val="18"/>
              </w:rPr>
            </w:pPr>
            <w:r w:rsidRPr="00686864">
              <w:rPr>
                <w:i/>
                <w:iCs/>
                <w:sz w:val="18"/>
                <w:szCs w:val="18"/>
              </w:rPr>
              <w:t>15 min</w:t>
            </w:r>
          </w:p>
        </w:tc>
      </w:tr>
      <w:tr w:rsidR="00A51C82" w:rsidRPr="00686864" w14:paraId="398FB22F" w14:textId="77777777" w:rsidTr="001B258F">
        <w:trPr>
          <w:trHeight w:val="20"/>
          <w:jc w:val="center"/>
        </w:trPr>
        <w:tc>
          <w:tcPr>
            <w:tcW w:w="4669" w:type="dxa"/>
            <w:shd w:val="clear" w:color="auto" w:fill="auto"/>
            <w:vAlign w:val="center"/>
          </w:tcPr>
          <w:p w14:paraId="32B57C19" w14:textId="77777777" w:rsidR="00A51C82" w:rsidRPr="00686864" w:rsidRDefault="00A51C82" w:rsidP="004C4CA3">
            <w:pPr>
              <w:jc w:val="both"/>
              <w:rPr>
                <w:sz w:val="18"/>
                <w:szCs w:val="18"/>
              </w:rPr>
            </w:pPr>
            <w:r w:rsidRPr="00686864">
              <w:rPr>
                <w:sz w:val="18"/>
                <w:szCs w:val="18"/>
              </w:rPr>
              <w:t>Bobigny – Cité Descartes (Champs-sur-Marne)</w:t>
            </w:r>
          </w:p>
        </w:tc>
        <w:tc>
          <w:tcPr>
            <w:tcW w:w="1816" w:type="dxa"/>
            <w:shd w:val="clear" w:color="auto" w:fill="FFFFFF"/>
            <w:vAlign w:val="center"/>
          </w:tcPr>
          <w:p w14:paraId="7766A42B" w14:textId="77777777" w:rsidR="00A51C82" w:rsidRPr="00686864" w:rsidRDefault="00A51C82" w:rsidP="00CE5AC4">
            <w:pPr>
              <w:jc w:val="right"/>
              <w:rPr>
                <w:sz w:val="18"/>
                <w:szCs w:val="18"/>
              </w:rPr>
            </w:pPr>
            <w:r w:rsidRPr="00686864">
              <w:rPr>
                <w:sz w:val="18"/>
                <w:szCs w:val="18"/>
              </w:rPr>
              <w:t>46 min</w:t>
            </w:r>
          </w:p>
        </w:tc>
        <w:tc>
          <w:tcPr>
            <w:tcW w:w="1816" w:type="dxa"/>
            <w:shd w:val="clear" w:color="auto" w:fill="FFFFFF"/>
            <w:vAlign w:val="center"/>
          </w:tcPr>
          <w:p w14:paraId="37B504B3" w14:textId="77777777" w:rsidR="00A51C82" w:rsidRPr="00686864" w:rsidRDefault="00A51C82" w:rsidP="00CE5AC4">
            <w:pPr>
              <w:jc w:val="right"/>
              <w:rPr>
                <w:bCs/>
                <w:sz w:val="18"/>
                <w:szCs w:val="18"/>
              </w:rPr>
            </w:pPr>
            <w:r w:rsidRPr="00686864">
              <w:rPr>
                <w:bCs/>
                <w:sz w:val="18"/>
                <w:szCs w:val="18"/>
              </w:rPr>
              <w:t>25 min</w:t>
            </w:r>
          </w:p>
        </w:tc>
        <w:tc>
          <w:tcPr>
            <w:tcW w:w="1817" w:type="dxa"/>
            <w:shd w:val="clear" w:color="auto" w:fill="FFFFFF"/>
            <w:vAlign w:val="center"/>
          </w:tcPr>
          <w:p w14:paraId="36822344" w14:textId="77777777" w:rsidR="00A51C82" w:rsidRPr="00686864" w:rsidRDefault="00A51C82" w:rsidP="00CE5AC4">
            <w:pPr>
              <w:jc w:val="right"/>
              <w:rPr>
                <w:i/>
                <w:iCs/>
                <w:sz w:val="18"/>
                <w:szCs w:val="18"/>
              </w:rPr>
            </w:pPr>
            <w:r w:rsidRPr="00686864">
              <w:rPr>
                <w:i/>
                <w:iCs/>
                <w:sz w:val="18"/>
                <w:szCs w:val="18"/>
              </w:rPr>
              <w:t>21 min</w:t>
            </w:r>
          </w:p>
        </w:tc>
      </w:tr>
      <w:tr w:rsidR="00A51C82" w:rsidRPr="00686864" w14:paraId="172D82BE" w14:textId="77777777" w:rsidTr="001B258F">
        <w:trPr>
          <w:trHeight w:val="20"/>
          <w:jc w:val="center"/>
        </w:trPr>
        <w:tc>
          <w:tcPr>
            <w:tcW w:w="4669" w:type="dxa"/>
            <w:shd w:val="clear" w:color="auto" w:fill="auto"/>
            <w:vAlign w:val="center"/>
          </w:tcPr>
          <w:p w14:paraId="58B37DAE" w14:textId="6E86419E" w:rsidR="00A51C82" w:rsidRPr="00686864" w:rsidRDefault="00511FE7" w:rsidP="004C4CA3">
            <w:pPr>
              <w:jc w:val="both"/>
              <w:rPr>
                <w:sz w:val="18"/>
                <w:szCs w:val="18"/>
              </w:rPr>
            </w:pPr>
            <w:r>
              <w:rPr>
                <w:sz w:val="18"/>
                <w:szCs w:val="18"/>
              </w:rPr>
              <w:t xml:space="preserve">Gare L15 de </w:t>
            </w:r>
            <w:r w:rsidR="00A51C82" w:rsidRPr="00686864">
              <w:rPr>
                <w:sz w:val="18"/>
                <w:szCs w:val="18"/>
              </w:rPr>
              <w:t>La Défense – Aéroport Roissy CDG</w:t>
            </w:r>
          </w:p>
        </w:tc>
        <w:tc>
          <w:tcPr>
            <w:tcW w:w="1816" w:type="dxa"/>
            <w:shd w:val="clear" w:color="auto" w:fill="FFFFFF"/>
            <w:vAlign w:val="center"/>
          </w:tcPr>
          <w:p w14:paraId="78E9566C" w14:textId="77777777" w:rsidR="00A51C82" w:rsidRPr="00686864" w:rsidRDefault="00A51C82" w:rsidP="00CE5AC4">
            <w:pPr>
              <w:jc w:val="right"/>
              <w:rPr>
                <w:sz w:val="18"/>
                <w:szCs w:val="18"/>
              </w:rPr>
            </w:pPr>
            <w:r w:rsidRPr="00686864">
              <w:rPr>
                <w:sz w:val="18"/>
                <w:szCs w:val="18"/>
              </w:rPr>
              <w:t>60 min</w:t>
            </w:r>
          </w:p>
        </w:tc>
        <w:tc>
          <w:tcPr>
            <w:tcW w:w="1816" w:type="dxa"/>
            <w:shd w:val="clear" w:color="auto" w:fill="FFFFFF"/>
            <w:vAlign w:val="center"/>
          </w:tcPr>
          <w:p w14:paraId="2AA561C0" w14:textId="77777777" w:rsidR="00A51C82" w:rsidRPr="00686864" w:rsidRDefault="00A51C82" w:rsidP="00CE5AC4">
            <w:pPr>
              <w:jc w:val="right"/>
              <w:rPr>
                <w:bCs/>
                <w:sz w:val="18"/>
                <w:szCs w:val="18"/>
              </w:rPr>
            </w:pPr>
            <w:r w:rsidRPr="00686864">
              <w:rPr>
                <w:bCs/>
                <w:sz w:val="18"/>
                <w:szCs w:val="18"/>
              </w:rPr>
              <w:t>35 min</w:t>
            </w:r>
          </w:p>
        </w:tc>
        <w:tc>
          <w:tcPr>
            <w:tcW w:w="1817" w:type="dxa"/>
            <w:shd w:val="clear" w:color="auto" w:fill="FFFFFF"/>
            <w:vAlign w:val="center"/>
          </w:tcPr>
          <w:p w14:paraId="25A3C79C" w14:textId="77777777" w:rsidR="00A51C82" w:rsidRPr="00686864" w:rsidRDefault="00A51C82" w:rsidP="00CE5AC4">
            <w:pPr>
              <w:jc w:val="right"/>
              <w:rPr>
                <w:i/>
                <w:iCs/>
                <w:sz w:val="18"/>
                <w:szCs w:val="18"/>
              </w:rPr>
            </w:pPr>
            <w:r w:rsidRPr="00686864">
              <w:rPr>
                <w:i/>
                <w:iCs/>
                <w:sz w:val="18"/>
                <w:szCs w:val="18"/>
              </w:rPr>
              <w:t>25 min</w:t>
            </w:r>
          </w:p>
        </w:tc>
      </w:tr>
      <w:tr w:rsidR="00A51C82" w:rsidRPr="00686864" w14:paraId="4BCF17BE" w14:textId="77777777" w:rsidTr="001B258F">
        <w:trPr>
          <w:trHeight w:val="20"/>
          <w:jc w:val="center"/>
        </w:trPr>
        <w:tc>
          <w:tcPr>
            <w:tcW w:w="4669" w:type="dxa"/>
            <w:shd w:val="clear" w:color="auto" w:fill="auto"/>
            <w:vAlign w:val="center"/>
          </w:tcPr>
          <w:p w14:paraId="47FD690C" w14:textId="77777777" w:rsidR="00A51C82" w:rsidRPr="00686864" w:rsidRDefault="00A51C82" w:rsidP="004C4CA3">
            <w:pPr>
              <w:jc w:val="both"/>
              <w:rPr>
                <w:sz w:val="18"/>
                <w:szCs w:val="18"/>
              </w:rPr>
            </w:pPr>
            <w:r w:rsidRPr="00686864">
              <w:rPr>
                <w:sz w:val="18"/>
                <w:szCs w:val="18"/>
              </w:rPr>
              <w:t>Gennevilliers – Pont de Sèvres</w:t>
            </w:r>
          </w:p>
        </w:tc>
        <w:tc>
          <w:tcPr>
            <w:tcW w:w="1816" w:type="dxa"/>
            <w:shd w:val="clear" w:color="auto" w:fill="FFFFFF"/>
            <w:vAlign w:val="center"/>
          </w:tcPr>
          <w:p w14:paraId="5FB3C9C6" w14:textId="77777777" w:rsidR="00A51C82" w:rsidRPr="00686864" w:rsidRDefault="00A51C82" w:rsidP="00CE5AC4">
            <w:pPr>
              <w:jc w:val="right"/>
              <w:rPr>
                <w:sz w:val="18"/>
                <w:szCs w:val="18"/>
              </w:rPr>
            </w:pPr>
            <w:r w:rsidRPr="00686864">
              <w:rPr>
                <w:sz w:val="18"/>
                <w:szCs w:val="18"/>
              </w:rPr>
              <w:t>40 min</w:t>
            </w:r>
          </w:p>
        </w:tc>
        <w:tc>
          <w:tcPr>
            <w:tcW w:w="1816" w:type="dxa"/>
            <w:shd w:val="clear" w:color="auto" w:fill="FFFFFF"/>
            <w:vAlign w:val="center"/>
          </w:tcPr>
          <w:p w14:paraId="0F5097A9" w14:textId="77777777" w:rsidR="00A51C82" w:rsidRPr="00686864" w:rsidRDefault="00A51C82" w:rsidP="00CE5AC4">
            <w:pPr>
              <w:jc w:val="right"/>
              <w:rPr>
                <w:bCs/>
                <w:sz w:val="18"/>
                <w:szCs w:val="18"/>
              </w:rPr>
            </w:pPr>
            <w:r w:rsidRPr="00686864">
              <w:rPr>
                <w:bCs/>
                <w:sz w:val="18"/>
                <w:szCs w:val="18"/>
              </w:rPr>
              <w:t>18 min</w:t>
            </w:r>
          </w:p>
        </w:tc>
        <w:tc>
          <w:tcPr>
            <w:tcW w:w="1817" w:type="dxa"/>
            <w:shd w:val="clear" w:color="auto" w:fill="FFFFFF"/>
            <w:vAlign w:val="center"/>
          </w:tcPr>
          <w:p w14:paraId="21D6E2FF" w14:textId="77777777" w:rsidR="00A51C82" w:rsidRPr="00686864" w:rsidRDefault="00A51C82" w:rsidP="00CE5AC4">
            <w:pPr>
              <w:jc w:val="right"/>
              <w:rPr>
                <w:i/>
                <w:iCs/>
                <w:sz w:val="18"/>
                <w:szCs w:val="18"/>
              </w:rPr>
            </w:pPr>
            <w:r w:rsidRPr="00686864">
              <w:rPr>
                <w:i/>
                <w:iCs/>
                <w:sz w:val="18"/>
                <w:szCs w:val="18"/>
              </w:rPr>
              <w:t>22 min</w:t>
            </w:r>
          </w:p>
        </w:tc>
      </w:tr>
      <w:tr w:rsidR="00A51C82" w:rsidRPr="00686864" w14:paraId="54668957" w14:textId="77777777" w:rsidTr="001B258F">
        <w:trPr>
          <w:trHeight w:val="20"/>
          <w:jc w:val="center"/>
        </w:trPr>
        <w:tc>
          <w:tcPr>
            <w:tcW w:w="4669" w:type="dxa"/>
            <w:shd w:val="clear" w:color="auto" w:fill="auto"/>
            <w:vAlign w:val="center"/>
          </w:tcPr>
          <w:p w14:paraId="62CEBC52" w14:textId="77777777" w:rsidR="00A51C82" w:rsidRPr="00686864" w:rsidRDefault="00A51C82" w:rsidP="004C4CA3">
            <w:pPr>
              <w:jc w:val="both"/>
              <w:rPr>
                <w:sz w:val="18"/>
                <w:szCs w:val="18"/>
              </w:rPr>
            </w:pPr>
            <w:r w:rsidRPr="00686864">
              <w:rPr>
                <w:sz w:val="18"/>
                <w:szCs w:val="18"/>
              </w:rPr>
              <w:t>Aéroport d’Orly – Gare de Lyon</w:t>
            </w:r>
          </w:p>
        </w:tc>
        <w:tc>
          <w:tcPr>
            <w:tcW w:w="1816" w:type="dxa"/>
            <w:shd w:val="clear" w:color="auto" w:fill="FFFFFF"/>
            <w:vAlign w:val="center"/>
          </w:tcPr>
          <w:p w14:paraId="301B9000" w14:textId="77777777" w:rsidR="00A51C82" w:rsidRPr="00686864" w:rsidRDefault="00A51C82" w:rsidP="00CE5AC4">
            <w:pPr>
              <w:jc w:val="right"/>
              <w:rPr>
                <w:sz w:val="18"/>
                <w:szCs w:val="18"/>
              </w:rPr>
            </w:pPr>
            <w:r w:rsidRPr="00686864">
              <w:rPr>
                <w:sz w:val="18"/>
                <w:szCs w:val="18"/>
              </w:rPr>
              <w:t>45 min</w:t>
            </w:r>
          </w:p>
        </w:tc>
        <w:tc>
          <w:tcPr>
            <w:tcW w:w="1816" w:type="dxa"/>
            <w:shd w:val="clear" w:color="auto" w:fill="FFFFFF"/>
            <w:vAlign w:val="center"/>
          </w:tcPr>
          <w:p w14:paraId="2C700D4B" w14:textId="77777777" w:rsidR="00A51C82" w:rsidRPr="00686864" w:rsidRDefault="00A51C82" w:rsidP="00CE5AC4">
            <w:pPr>
              <w:jc w:val="right"/>
              <w:rPr>
                <w:sz w:val="18"/>
                <w:szCs w:val="18"/>
              </w:rPr>
            </w:pPr>
            <w:r w:rsidRPr="00686864">
              <w:rPr>
                <w:sz w:val="18"/>
                <w:szCs w:val="18"/>
              </w:rPr>
              <w:t>22 min</w:t>
            </w:r>
          </w:p>
        </w:tc>
        <w:tc>
          <w:tcPr>
            <w:tcW w:w="1817" w:type="dxa"/>
            <w:shd w:val="clear" w:color="auto" w:fill="FFFFFF"/>
            <w:vAlign w:val="center"/>
          </w:tcPr>
          <w:p w14:paraId="61BAC00C" w14:textId="77777777" w:rsidR="00A51C82" w:rsidRPr="00686864" w:rsidRDefault="00A51C82" w:rsidP="00CE5AC4">
            <w:pPr>
              <w:jc w:val="right"/>
              <w:rPr>
                <w:i/>
                <w:sz w:val="18"/>
                <w:szCs w:val="18"/>
              </w:rPr>
            </w:pPr>
            <w:r w:rsidRPr="00686864">
              <w:rPr>
                <w:i/>
                <w:sz w:val="18"/>
                <w:szCs w:val="18"/>
              </w:rPr>
              <w:t>23 min</w:t>
            </w:r>
          </w:p>
        </w:tc>
      </w:tr>
    </w:tbl>
    <w:p w14:paraId="7CAFA78B" w14:textId="77777777" w:rsidR="00A51C82" w:rsidRPr="00686864" w:rsidRDefault="00A51C82" w:rsidP="004C4CA3">
      <w:pPr>
        <w:jc w:val="both"/>
        <w:rPr>
          <w:sz w:val="16"/>
          <w:szCs w:val="16"/>
        </w:rPr>
      </w:pPr>
      <w:r w:rsidRPr="00686864">
        <w:rPr>
          <w:sz w:val="16"/>
          <w:szCs w:val="16"/>
        </w:rPr>
        <w:t>(*) Source : Vianavigo.com</w:t>
      </w:r>
    </w:p>
    <w:p w14:paraId="79BB70A2" w14:textId="390F3FF8" w:rsidR="00A51C82" w:rsidRPr="00140449" w:rsidRDefault="00A13130" w:rsidP="00412C10">
      <w:pPr>
        <w:pStyle w:val="Titre3"/>
        <w:numPr>
          <w:ilvl w:val="3"/>
          <w:numId w:val="33"/>
        </w:numPr>
      </w:pPr>
      <w:bookmarkStart w:id="83" w:name="_Toc406757044"/>
      <w:bookmarkStart w:id="84" w:name="_Toc46917069"/>
      <w:r>
        <w:br w:type="column"/>
      </w:r>
      <w:bookmarkStart w:id="85" w:name="_Toc63352140"/>
      <w:r w:rsidR="00A51C82" w:rsidRPr="00140449">
        <w:t>L’amélioration de l’accessibilité régionale</w:t>
      </w:r>
      <w:bookmarkEnd w:id="83"/>
      <w:bookmarkEnd w:id="84"/>
      <w:bookmarkEnd w:id="85"/>
    </w:p>
    <w:p w14:paraId="26DD01D8" w14:textId="77777777" w:rsidR="00FC7387" w:rsidRPr="00686864" w:rsidRDefault="00FC7387" w:rsidP="004C4CA3">
      <w:pPr>
        <w:jc w:val="both"/>
      </w:pPr>
    </w:p>
    <w:p w14:paraId="079C9337" w14:textId="77777777" w:rsidR="00A51C82" w:rsidRPr="00686864" w:rsidRDefault="00A51C82" w:rsidP="004C4CA3">
      <w:pPr>
        <w:jc w:val="both"/>
      </w:pPr>
      <w:r w:rsidRPr="00686864">
        <w:t>L’une des conséquences directes des gains de temps procurés par le projet est d’améliorer considérablement l’accessibilité aux bassins de vie et aux bassins d’emploi dans la région Île-de-France, avec des effets de désenclavement très marqués dans certains secteurs aujourd’hui mal desservis.</w:t>
      </w:r>
    </w:p>
    <w:p w14:paraId="1CC84CFF" w14:textId="77777777" w:rsidR="00CE5AC4" w:rsidRPr="00686864" w:rsidRDefault="00CE5AC4" w:rsidP="004C4CA3">
      <w:pPr>
        <w:jc w:val="both"/>
      </w:pPr>
    </w:p>
    <w:p w14:paraId="4B3E85F6" w14:textId="29687A49" w:rsidR="00A51C82" w:rsidRPr="00686864" w:rsidRDefault="00A51C82" w:rsidP="004C4CA3">
      <w:pPr>
        <w:jc w:val="both"/>
      </w:pPr>
      <w:r w:rsidRPr="00686864">
        <w:t>Les cartes présentées ci-</w:t>
      </w:r>
      <w:r w:rsidR="00FC7387" w:rsidRPr="00686864">
        <w:t>dessous</w:t>
      </w:r>
      <w:r w:rsidRPr="00686864">
        <w:t xml:space="preserve"> montrent l’impact de la réalisation du réseau Grand Paris Express à l’horizon 2030 sur l’accessibilité en transports en commun aux emplois et à la population pour une durée de trajet fixée ici à 60 minutes. Chaque carte est construite à cadrage socio-démographique constant, en comparant les temps d’accès en transport en commun avec et sans prise en compte du réseau Grand Paris Express</w:t>
      </w:r>
      <w:r w:rsidR="00A801CB" w:rsidRPr="00686864">
        <w:t xml:space="preserve"> au départ de chaque zone représentée par une couleur (verte ou bleue) d’autant plus foncée que la hausse du nombre d’habitants ou d’emplois atteignables en une heure avec le G</w:t>
      </w:r>
      <w:r w:rsidR="008351B3" w:rsidRPr="00686864">
        <w:t xml:space="preserve">rand </w:t>
      </w:r>
      <w:r w:rsidR="00A801CB" w:rsidRPr="00686864">
        <w:t>P</w:t>
      </w:r>
      <w:r w:rsidR="008351B3" w:rsidRPr="00686864">
        <w:t xml:space="preserve">aris </w:t>
      </w:r>
      <w:r w:rsidR="00A801CB" w:rsidRPr="00686864">
        <w:t>E</w:t>
      </w:r>
      <w:r w:rsidR="008351B3" w:rsidRPr="00686864">
        <w:t>xpress</w:t>
      </w:r>
      <w:r w:rsidR="00A801CB" w:rsidRPr="00686864">
        <w:t xml:space="preserve"> est élevée. Il n’y a pas de gain pour les zones qui restent en blanc</w:t>
      </w:r>
      <w:r w:rsidRPr="00686864">
        <w:t xml:space="preserve">. </w:t>
      </w:r>
      <w:r w:rsidRPr="00686864">
        <w:rPr>
          <w:b/>
        </w:rPr>
        <w:t>Pour un nombre d’habitants et un nombre d’emplois donnés, les cartes présentées permettent ainsi de visualiser combien d’emplois supplémentaires ou quelle population supplémentaire le projet permet d’atteindre en une heure à partir de n’importe quel point de l’Île-de-</w:t>
      </w:r>
      <w:r w:rsidR="008A3031" w:rsidRPr="00686864">
        <w:rPr>
          <w:b/>
        </w:rPr>
        <w:t>France et où ils sont situés</w:t>
      </w:r>
      <w:r w:rsidRPr="00686864">
        <w:rPr>
          <w:b/>
        </w:rPr>
        <w:t>.</w:t>
      </w:r>
    </w:p>
    <w:p w14:paraId="38A61877" w14:textId="77777777" w:rsidR="00FC7387" w:rsidRPr="00686864" w:rsidRDefault="00FC7387" w:rsidP="004C4CA3">
      <w:pPr>
        <w:jc w:val="both"/>
      </w:pPr>
    </w:p>
    <w:p w14:paraId="57056EDC" w14:textId="43DE2B5E" w:rsidR="00A51C82" w:rsidRPr="00686864" w:rsidRDefault="00A51C82" w:rsidP="004C4CA3">
      <w:pPr>
        <w:jc w:val="both"/>
      </w:pPr>
      <w:r w:rsidRPr="00686864">
        <w:t>Deux séries sont présentées :</w:t>
      </w:r>
    </w:p>
    <w:p w14:paraId="067AE1C4" w14:textId="77777777" w:rsidR="00FC7387" w:rsidRPr="00686864" w:rsidRDefault="00FC7387" w:rsidP="004C4CA3">
      <w:pPr>
        <w:jc w:val="both"/>
      </w:pPr>
    </w:p>
    <w:p w14:paraId="3333C8A3" w14:textId="075FCA07" w:rsidR="00A51C82" w:rsidRPr="00686864" w:rsidRDefault="008178A7" w:rsidP="0083506E">
      <w:pPr>
        <w:numPr>
          <w:ilvl w:val="0"/>
          <w:numId w:val="4"/>
        </w:numPr>
        <w:jc w:val="both"/>
      </w:pPr>
      <w:r w:rsidRPr="00686864">
        <w:rPr>
          <w:i/>
        </w:rPr>
        <w:t xml:space="preserve">L’une </w:t>
      </w:r>
      <w:r w:rsidR="00A51C82" w:rsidRPr="00686864">
        <w:rPr>
          <w:i/>
        </w:rPr>
        <w:t>avec des écarts exprimés en valeur absolue</w:t>
      </w:r>
      <w:r w:rsidR="00A51C82" w:rsidRPr="00686864">
        <w:t> </w:t>
      </w:r>
      <w:r w:rsidR="00A51C82" w:rsidRPr="00686864">
        <w:rPr>
          <w:i/>
        </w:rPr>
        <w:t>:</w:t>
      </w:r>
      <w:r w:rsidR="00A51C82" w:rsidRPr="00686864">
        <w:t xml:space="preserve"> chaque teinte de couleur traduit alors le nombre d’habitants ou d’emplois supplémentaires qu’il est possible d’atteindre en une heure de trajet en transport en commun, grâce à la réalisation du Grand Paris Express ; </w:t>
      </w:r>
    </w:p>
    <w:p w14:paraId="64A4E40A" w14:textId="6838EF46" w:rsidR="00A51C82" w:rsidRPr="00686864" w:rsidRDefault="00C460F8" w:rsidP="0083506E">
      <w:pPr>
        <w:numPr>
          <w:ilvl w:val="0"/>
          <w:numId w:val="4"/>
        </w:numPr>
        <w:jc w:val="both"/>
      </w:pPr>
      <w:r w:rsidRPr="00686864">
        <w:rPr>
          <w:i/>
        </w:rPr>
        <w:t xml:space="preserve">L’autre </w:t>
      </w:r>
      <w:r w:rsidR="00A51C82" w:rsidRPr="00686864">
        <w:rPr>
          <w:i/>
        </w:rPr>
        <w:t>avec des écarts exprimés en valeur relative :</w:t>
      </w:r>
      <w:r w:rsidR="00A51C82" w:rsidRPr="00686864">
        <w:t xml:space="preserve"> chaque teinte de couleur présente alors le pourcentage d’habitants ou d’emplois supplémentaires que le projet permet d’atteindre, par rapport à une situation dans laquelle le Grand Paris Express ne serait pas réalisé. </w:t>
      </w:r>
    </w:p>
    <w:p w14:paraId="4BBEDC62" w14:textId="77777777" w:rsidR="00511FE7" w:rsidRDefault="00511FE7" w:rsidP="004C4CA3">
      <w:pPr>
        <w:jc w:val="both"/>
      </w:pPr>
    </w:p>
    <w:p w14:paraId="24CD30C5" w14:textId="2F903E9D" w:rsidR="00A51C82" w:rsidRPr="00686864" w:rsidRDefault="00A51C82" w:rsidP="004C4CA3">
      <w:pPr>
        <w:jc w:val="both"/>
      </w:pPr>
      <w:r w:rsidRPr="00686864">
        <w:t xml:space="preserve">Ces cartes montrent que, si les effets les plus importants se retrouvent autour du tracé du projet, l’amélioration de l’accessibilité s’étend </w:t>
      </w:r>
      <w:r w:rsidR="00C460F8" w:rsidRPr="00686864">
        <w:t xml:space="preserve">aussi </w:t>
      </w:r>
      <w:r w:rsidRPr="00686864">
        <w:t xml:space="preserve">très largement au-delà du périmètre direct des gares du nouveau métro automatique. </w:t>
      </w:r>
    </w:p>
    <w:p w14:paraId="6ED4C6F0" w14:textId="77777777" w:rsidR="00FC7387" w:rsidRPr="00686864" w:rsidRDefault="00FC7387" w:rsidP="004C4CA3">
      <w:pPr>
        <w:jc w:val="both"/>
      </w:pPr>
    </w:p>
    <w:p w14:paraId="73E0C910" w14:textId="77777777" w:rsidR="00A51C82" w:rsidRPr="00686864" w:rsidRDefault="00A51C82" w:rsidP="004C4CA3">
      <w:pPr>
        <w:jc w:val="both"/>
      </w:pPr>
      <w:r w:rsidRPr="00686864">
        <w:t xml:space="preserve">Les cartes présentant les écarts en valeur relative permettent par ailleurs d’illustrer de manière plus nette les bénéfices du réseau sur les territoires aujourd’hui enclavés, pour lesquels l’amélioration de l’accessibilité est proportionnellement la plus importante. </w:t>
      </w:r>
    </w:p>
    <w:p w14:paraId="118E6FF7" w14:textId="77777777" w:rsidR="00FC7387" w:rsidRPr="00686864" w:rsidRDefault="00FC7387" w:rsidP="004C4CA3">
      <w:pPr>
        <w:jc w:val="both"/>
      </w:pPr>
    </w:p>
    <w:p w14:paraId="206A01AB" w14:textId="1849233D" w:rsidR="00A51C82" w:rsidRPr="00686864" w:rsidRDefault="00A51C82" w:rsidP="004C4CA3">
      <w:pPr>
        <w:jc w:val="both"/>
      </w:pPr>
      <w:r w:rsidRPr="00686864">
        <w:t xml:space="preserve">Ainsi, les bénéfices du projet en matière d’amélioration de l’accessibilité couvrent un périmètre large, pouvant s’étendre jusqu’à 10 km au-delà du périphérique. Le projet est </w:t>
      </w:r>
      <w:r w:rsidRPr="00686864">
        <w:rPr>
          <w:strike/>
        </w:rPr>
        <w:t>ainsi</w:t>
      </w:r>
      <w:r w:rsidRPr="00686864">
        <w:t xml:space="preserve"> </w:t>
      </w:r>
      <w:r w:rsidR="00C460F8" w:rsidRPr="00686864">
        <w:t xml:space="preserve">donc </w:t>
      </w:r>
      <w:r w:rsidRPr="00686864">
        <w:t>source de gains pour des territoires de grande couronne tels que le nord de l’Essonne, les Sud Est des Yvelines, ou le sud du Val-d’Oise.</w:t>
      </w:r>
    </w:p>
    <w:p w14:paraId="1DCEB3AC" w14:textId="77777777" w:rsidR="00A51C82" w:rsidRPr="00A51C82" w:rsidRDefault="00A51C82" w:rsidP="004C4CA3">
      <w:pPr>
        <w:jc w:val="both"/>
      </w:pPr>
    </w:p>
    <w:p w14:paraId="1DCF89F4" w14:textId="77777777" w:rsidR="00A51C82" w:rsidRPr="00A51C82" w:rsidRDefault="00A51C82" w:rsidP="004C4CA3">
      <w:pPr>
        <w:jc w:val="both"/>
        <w:sectPr w:rsidR="00A51C82" w:rsidRPr="00A51C82" w:rsidSect="00822CCC">
          <w:pgSz w:w="23818" w:h="16838" w:orient="landscape"/>
          <w:pgMar w:top="1418" w:right="1418" w:bottom="1418" w:left="1418" w:header="709" w:footer="709" w:gutter="0"/>
          <w:cols w:num="2" w:space="708"/>
        </w:sectPr>
      </w:pPr>
    </w:p>
    <w:p w14:paraId="3DEC1F85" w14:textId="23056E75" w:rsidR="00A51C82" w:rsidRPr="00A51C82" w:rsidRDefault="00657628" w:rsidP="004C4CA3">
      <w:pPr>
        <w:jc w:val="both"/>
      </w:pPr>
      <w:r w:rsidRPr="00A51C82">
        <w:rPr>
          <w:noProof/>
          <w:lang w:eastAsia="fr-FR"/>
        </w:rPr>
        <w:lastRenderedPageBreak/>
        <w:drawing>
          <wp:anchor distT="0" distB="0" distL="114300" distR="114300" simplePos="0" relativeHeight="251643392" behindDoc="0" locked="0" layoutInCell="1" allowOverlap="1" wp14:anchorId="294C5FD0" wp14:editId="165A34BD">
            <wp:simplePos x="0" y="0"/>
            <wp:positionH relativeFrom="column">
              <wp:posOffset>233045</wp:posOffset>
            </wp:positionH>
            <wp:positionV relativeFrom="paragraph">
              <wp:posOffset>-186055</wp:posOffset>
            </wp:positionV>
            <wp:extent cx="6214745" cy="4391976"/>
            <wp:effectExtent l="0" t="0" r="0" b="8890"/>
            <wp:wrapNone/>
            <wp:docPr id="34" name="Image 34" desc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E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37170" cy="4407824"/>
                    </a:xfrm>
                    <a:prstGeom prst="rect">
                      <a:avLst/>
                    </a:prstGeom>
                    <a:noFill/>
                    <a:ln>
                      <a:noFill/>
                    </a:ln>
                  </pic:spPr>
                </pic:pic>
              </a:graphicData>
            </a:graphic>
            <wp14:sizeRelH relativeFrom="page">
              <wp14:pctWidth>0</wp14:pctWidth>
            </wp14:sizeRelH>
            <wp14:sizeRelV relativeFrom="page">
              <wp14:pctHeight>0</wp14:pctHeight>
            </wp14:sizeRelV>
          </wp:anchor>
        </w:drawing>
      </w:r>
      <w:r w:rsidR="003E2BBC" w:rsidRPr="00A51C82">
        <w:rPr>
          <w:noProof/>
          <w:lang w:eastAsia="fr-FR"/>
        </w:rPr>
        <w:drawing>
          <wp:anchor distT="0" distB="0" distL="114300" distR="114300" simplePos="0" relativeHeight="251645440" behindDoc="0" locked="0" layoutInCell="1" allowOverlap="1" wp14:anchorId="1BCDDAC3" wp14:editId="226B4B02">
            <wp:simplePos x="0" y="0"/>
            <wp:positionH relativeFrom="column">
              <wp:posOffset>6632963</wp:posOffset>
            </wp:positionH>
            <wp:positionV relativeFrom="paragraph">
              <wp:posOffset>-360301</wp:posOffset>
            </wp:positionV>
            <wp:extent cx="6360795" cy="4493260"/>
            <wp:effectExtent l="0" t="0" r="1905" b="2540"/>
            <wp:wrapNone/>
            <wp:docPr id="41" name="Image 41" descr="HA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HAB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60795" cy="44932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820EE7" w14:textId="77777777" w:rsidR="00A51C82" w:rsidRPr="00A51C82" w:rsidRDefault="00A51C82" w:rsidP="004C4CA3">
      <w:pPr>
        <w:jc w:val="both"/>
        <w:sectPr w:rsidR="00A51C82" w:rsidRPr="00A51C82" w:rsidSect="00822CCC">
          <w:pgSz w:w="23818" w:h="16838" w:orient="landscape"/>
          <w:pgMar w:top="1418" w:right="1418" w:bottom="1418" w:left="1418" w:header="709" w:footer="709" w:gutter="0"/>
          <w:cols w:num="2" w:space="708"/>
        </w:sectPr>
      </w:pPr>
    </w:p>
    <w:p w14:paraId="668288BC" w14:textId="77777777" w:rsidR="00A51C82" w:rsidRPr="00A51C82" w:rsidRDefault="00A51C82" w:rsidP="004C4CA3">
      <w:pPr>
        <w:jc w:val="both"/>
        <w:sectPr w:rsidR="00A51C82" w:rsidRPr="00A51C82" w:rsidSect="00822CCC">
          <w:type w:val="continuous"/>
          <w:pgSz w:w="23818" w:h="16838" w:orient="landscape"/>
          <w:pgMar w:top="1418" w:right="1418" w:bottom="1418" w:left="1418" w:header="709" w:footer="709" w:gutter="0"/>
          <w:cols w:space="708"/>
        </w:sectPr>
      </w:pPr>
    </w:p>
    <w:p w14:paraId="38C485D0" w14:textId="77777777" w:rsidR="00A51C82" w:rsidRPr="00A51C82" w:rsidRDefault="00A51C82" w:rsidP="004C4CA3">
      <w:pPr>
        <w:jc w:val="both"/>
      </w:pPr>
    </w:p>
    <w:p w14:paraId="664E5D85" w14:textId="77777777" w:rsidR="00A51C82" w:rsidRPr="00A51C82" w:rsidRDefault="00A51C82" w:rsidP="004C4CA3">
      <w:pPr>
        <w:jc w:val="both"/>
      </w:pPr>
    </w:p>
    <w:p w14:paraId="676692CD" w14:textId="77777777" w:rsidR="00A51C82" w:rsidRPr="00A51C82" w:rsidRDefault="00A51C82" w:rsidP="004C4CA3">
      <w:pPr>
        <w:jc w:val="both"/>
      </w:pPr>
    </w:p>
    <w:p w14:paraId="651ABA5B" w14:textId="77777777" w:rsidR="00A51C82" w:rsidRPr="00A51C82" w:rsidRDefault="003E2BBC" w:rsidP="004C4CA3">
      <w:pPr>
        <w:jc w:val="both"/>
        <w:sectPr w:rsidR="00A51C82" w:rsidRPr="00A51C82" w:rsidSect="00822CCC">
          <w:type w:val="continuous"/>
          <w:pgSz w:w="23818" w:h="16838" w:orient="landscape"/>
          <w:pgMar w:top="1418" w:right="1418" w:bottom="1418" w:left="1418" w:header="709" w:footer="709" w:gutter="0"/>
          <w:cols w:space="708"/>
        </w:sectPr>
      </w:pPr>
      <w:r w:rsidRPr="00A51C82">
        <w:rPr>
          <w:noProof/>
          <w:lang w:eastAsia="fr-FR"/>
        </w:rPr>
        <w:drawing>
          <wp:anchor distT="0" distB="0" distL="114300" distR="114300" simplePos="0" relativeHeight="251644416" behindDoc="0" locked="0" layoutInCell="1" allowOverlap="1" wp14:anchorId="2F0C35F8" wp14:editId="027F28C4">
            <wp:simplePos x="0" y="0"/>
            <wp:positionH relativeFrom="column">
              <wp:posOffset>268605</wp:posOffset>
            </wp:positionH>
            <wp:positionV relativeFrom="paragraph">
              <wp:posOffset>2693686</wp:posOffset>
            </wp:positionV>
            <wp:extent cx="6351270" cy="4492625"/>
            <wp:effectExtent l="0" t="0" r="0" b="3175"/>
            <wp:wrapNone/>
            <wp:docPr id="43" name="Image 43" desc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E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51270" cy="4492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1C82">
        <w:rPr>
          <w:noProof/>
          <w:lang w:eastAsia="fr-FR"/>
        </w:rPr>
        <w:drawing>
          <wp:anchor distT="0" distB="0" distL="114300" distR="114300" simplePos="0" relativeHeight="251646464" behindDoc="0" locked="0" layoutInCell="1" allowOverlap="1" wp14:anchorId="634B871F" wp14:editId="638B98A3">
            <wp:simplePos x="0" y="0"/>
            <wp:positionH relativeFrom="column">
              <wp:posOffset>6662098</wp:posOffset>
            </wp:positionH>
            <wp:positionV relativeFrom="paragraph">
              <wp:posOffset>2719730</wp:posOffset>
            </wp:positionV>
            <wp:extent cx="6327775" cy="4469765"/>
            <wp:effectExtent l="0" t="0" r="0" b="6985"/>
            <wp:wrapNone/>
            <wp:docPr id="42" name="Image 42" descr="HA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HAB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27775" cy="4469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1C82">
        <w:rPr>
          <w:noProof/>
          <w:lang w:eastAsia="fr-FR"/>
        </w:rPr>
        <mc:AlternateContent>
          <mc:Choice Requires="wps">
            <w:drawing>
              <wp:anchor distT="0" distB="0" distL="114300" distR="114300" simplePos="0" relativeHeight="251640320" behindDoc="0" locked="0" layoutInCell="1" allowOverlap="1" wp14:anchorId="7D6B9707" wp14:editId="238DE460">
                <wp:simplePos x="0" y="0"/>
                <wp:positionH relativeFrom="column">
                  <wp:posOffset>-7620</wp:posOffset>
                </wp:positionH>
                <wp:positionV relativeFrom="paragraph">
                  <wp:posOffset>7315604</wp:posOffset>
                </wp:positionV>
                <wp:extent cx="12542520" cy="580390"/>
                <wp:effectExtent l="1905" t="1270" r="0" b="0"/>
                <wp:wrapNone/>
                <wp:docPr id="9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2520" cy="580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91E46C" w14:textId="26B9849A" w:rsidR="00B71BAF" w:rsidRDefault="00B71BAF" w:rsidP="00A51C82">
                            <w:pPr>
                              <w:spacing w:after="120"/>
                              <w:jc w:val="center"/>
                              <w:rPr>
                                <w:b/>
                                <w:bCs/>
                              </w:rPr>
                            </w:pPr>
                            <w:r w:rsidRPr="00D40061">
                              <w:rPr>
                                <w:b/>
                                <w:bCs/>
                              </w:rPr>
                              <w:t>Gains d’accessibilité aux emplois (en vert)</w:t>
                            </w:r>
                            <w:r>
                              <w:rPr>
                                <w:b/>
                                <w:bCs/>
                              </w:rPr>
                              <w:t xml:space="preserve"> et à la population (en bleu)</w:t>
                            </w:r>
                            <w:r w:rsidRPr="00D40061">
                              <w:rPr>
                                <w:b/>
                                <w:bCs/>
                              </w:rPr>
                              <w:t xml:space="preserve"> </w:t>
                            </w:r>
                            <w:r>
                              <w:rPr>
                                <w:b/>
                                <w:bCs/>
                              </w:rPr>
                              <w:t>à l’horizon 2030 de réalisation du Grand Paris Express</w:t>
                            </w:r>
                          </w:p>
                          <w:p w14:paraId="25F4B25E" w14:textId="09F56893" w:rsidR="00B71BAF" w:rsidRPr="00D40061" w:rsidRDefault="00B71BAF" w:rsidP="00A51C82">
                            <w:pPr>
                              <w:spacing w:after="120"/>
                              <w:ind w:left="720"/>
                              <w:jc w:val="center"/>
                              <w:rPr>
                                <w:i/>
                                <w:iCs/>
                                <w:sz w:val="16"/>
                                <w:szCs w:val="16"/>
                              </w:rPr>
                            </w:pPr>
                            <w:r w:rsidRPr="00B85AAF">
                              <w:rPr>
                                <w:b/>
                                <w:bCs/>
                                <w:i/>
                              </w:rPr>
                              <w:t>Ecarts en valeur absolue (en haut) et en valeur relative (en bas)</w:t>
                            </w:r>
                            <w:r>
                              <w:rPr>
                                <w:b/>
                                <w:bCs/>
                                <w:i/>
                              </w:rPr>
                              <w:t xml:space="preserve"> </w:t>
                            </w:r>
                            <w:r w:rsidRPr="00551574">
                              <w:rPr>
                                <w:bCs/>
                                <w:i/>
                              </w:rPr>
                              <w:t>/</w:t>
                            </w:r>
                            <w:r>
                              <w:rPr>
                                <w:b/>
                                <w:bCs/>
                                <w:i/>
                              </w:rPr>
                              <w:t xml:space="preserve"> </w:t>
                            </w:r>
                            <w:r>
                              <w:rPr>
                                <w:i/>
                                <w:iCs/>
                                <w:sz w:val="16"/>
                                <w:szCs w:val="16"/>
                              </w:rPr>
                              <w:t xml:space="preserve">Cadrage socio-démographique </w:t>
                            </w:r>
                            <w:r w:rsidRPr="00D40061">
                              <w:rPr>
                                <w:i/>
                                <w:iCs/>
                                <w:sz w:val="16"/>
                                <w:szCs w:val="16"/>
                              </w:rPr>
                              <w:t xml:space="preserve">utilisé : </w:t>
                            </w:r>
                            <w:r>
                              <w:rPr>
                                <w:i/>
                                <w:iCs/>
                                <w:sz w:val="16"/>
                                <w:szCs w:val="16"/>
                              </w:rPr>
                              <w:t xml:space="preserve">scénario bas </w:t>
                            </w:r>
                          </w:p>
                          <w:p w14:paraId="376B7D4A" w14:textId="77777777" w:rsidR="00B71BAF" w:rsidRDefault="00B71BAF" w:rsidP="00A51C8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D6B9707" id="_x0000_t202" coordsize="21600,21600" o:spt="202" path="m,l,21600r21600,l21600,xe">
                <v:stroke joinstyle="miter"/>
                <v:path gradientshapeok="t" o:connecttype="rect"/>
              </v:shapetype>
              <v:shape id="Zone de texte 2" o:spid="_x0000_s1026" type="#_x0000_t202" style="position:absolute;left:0;text-align:left;margin-left:-.6pt;margin-top:576.05pt;width:987.6pt;height:45.7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S61DwIAAP4DAAAOAAAAZHJzL2Uyb0RvYy54bWysU01v2zAMvQ/YfxB0X5y4ydYYcYouRYYB&#10;3QfQ7bKbLMu2MFnUKCV29+tHyWkadLdhPgiiST7yPVKbm7E37KjQa7AlX8zmnCkroda2Lfn3b/s3&#10;15z5IGwtDFhV8kfl+c329avN4AqVQwemVsgIxPpicCXvQnBFlnnZqV74GThlydkA9iKQiW1WoxgI&#10;vTdZPp+/zQbA2iFI5T39vZucfJvwm0bJ8KVpvArMlJx6C+nEdFbxzLYbUbQoXKflqQ3xD130Qlsq&#10;eoa6E0GwA+q/oHotETw0YSahz6BptFSJA7FZzF+weeiEU4kLiePdWSb//2Dl5+NXZLou+Tq/4syK&#10;nob0g0bFasWCGoNieRRpcL6g2AdH0WF8DyMNOxH27h7kT88s7DphW3WLCEOnRE1NLmJmdpE64fgI&#10;Ug2foKZa4hAgAY0N9lFB0oQROg3r8Twg6oPJWDJfLfNVTj5JztX1/GqdRpiJ4indoQ8fFPQsXkqO&#10;tAEJXhzvfYjtiOIpJFbzYHS918YkA9tqZ5AdBW3LPn2JwYswY2OwhZg2IcY/iWekNpEMYzUmXZMI&#10;UYMK6kcijjAtIT0aunSAvzkbaAFL7n8dBCrOzEdL4q0Xy2Xc2GQsV+8ia7z0VJceYSVBlTxwNl13&#10;Ydryg0PddlRpGpeFWxK80UmK565O7dOSJYVODyJu8aWdop6f7fYPAAAA//8DAFBLAwQUAAYACAAA&#10;ACEARbSK3uEAAAANAQAADwAAAGRycy9kb3ducmV2LnhtbEyPwW6DQAxE75X6DytH6qVKFiiEhrJE&#10;baVWvSbNBxjYAArrRewmkL+vc2putmc0fpNvZ9OLix5dZ0lBuApAaKps3VGj4PD7tXwF4TxSjb0l&#10;reCqHWyLx4ccs9pOtNOXvW8Eh5DLUEHr/ZBJ6apWG3QrO2hi7WhHg57XsZH1iBOHm15GQbCWBjvi&#10;Dy0O+rPV1Wl/NgqOP9NzspnKb39Id/H6A7u0tFelnhbz+xsIr2f/b4YbPqNDwUylPVPtRK9gGUbs&#10;5HuYRCGIm2OTxlyv5CmKXxKQRS7vWxR/AAAA//8DAFBLAQItABQABgAIAAAAIQC2gziS/gAAAOEB&#10;AAATAAAAAAAAAAAAAAAAAAAAAABbQ29udGVudF9UeXBlc10ueG1sUEsBAi0AFAAGAAgAAAAhADj9&#10;If/WAAAAlAEAAAsAAAAAAAAAAAAAAAAALwEAAF9yZWxzLy5yZWxzUEsBAi0AFAAGAAgAAAAhACqB&#10;LrUPAgAA/gMAAA4AAAAAAAAAAAAAAAAALgIAAGRycy9lMm9Eb2MueG1sUEsBAi0AFAAGAAgAAAAh&#10;AEW0it7hAAAADQEAAA8AAAAAAAAAAAAAAAAAaQQAAGRycy9kb3ducmV2LnhtbFBLBQYAAAAABAAE&#10;APMAAAB3BQAAAAA=&#10;" stroked="f">
                <v:textbox>
                  <w:txbxContent>
                    <w:p w14:paraId="0691E46C" w14:textId="26B9849A" w:rsidR="00B71BAF" w:rsidRDefault="00B71BAF" w:rsidP="00A51C82">
                      <w:pPr>
                        <w:spacing w:after="120"/>
                        <w:jc w:val="center"/>
                        <w:rPr>
                          <w:b/>
                          <w:bCs/>
                        </w:rPr>
                      </w:pPr>
                      <w:r w:rsidRPr="00D40061">
                        <w:rPr>
                          <w:b/>
                          <w:bCs/>
                        </w:rPr>
                        <w:t>Gains d’accessibilité aux emplois (en vert)</w:t>
                      </w:r>
                      <w:r>
                        <w:rPr>
                          <w:b/>
                          <w:bCs/>
                        </w:rPr>
                        <w:t xml:space="preserve"> et à la population (en bleu)</w:t>
                      </w:r>
                      <w:r w:rsidRPr="00D40061">
                        <w:rPr>
                          <w:b/>
                          <w:bCs/>
                        </w:rPr>
                        <w:t xml:space="preserve"> </w:t>
                      </w:r>
                      <w:r>
                        <w:rPr>
                          <w:b/>
                          <w:bCs/>
                        </w:rPr>
                        <w:t>à l’horizon 2030 de réalisation du Grand Paris Express</w:t>
                      </w:r>
                    </w:p>
                    <w:p w14:paraId="25F4B25E" w14:textId="09F56893" w:rsidR="00B71BAF" w:rsidRPr="00D40061" w:rsidRDefault="00B71BAF" w:rsidP="00A51C82">
                      <w:pPr>
                        <w:spacing w:after="120"/>
                        <w:ind w:left="720"/>
                        <w:jc w:val="center"/>
                        <w:rPr>
                          <w:i/>
                          <w:iCs/>
                          <w:sz w:val="16"/>
                          <w:szCs w:val="16"/>
                        </w:rPr>
                      </w:pPr>
                      <w:r w:rsidRPr="00B85AAF">
                        <w:rPr>
                          <w:b/>
                          <w:bCs/>
                          <w:i/>
                        </w:rPr>
                        <w:t>Ecarts en valeur absolue (en haut) et en valeur relative (en bas)</w:t>
                      </w:r>
                      <w:r>
                        <w:rPr>
                          <w:b/>
                          <w:bCs/>
                          <w:i/>
                        </w:rPr>
                        <w:t xml:space="preserve"> </w:t>
                      </w:r>
                      <w:r w:rsidRPr="00551574">
                        <w:rPr>
                          <w:bCs/>
                          <w:i/>
                        </w:rPr>
                        <w:t>/</w:t>
                      </w:r>
                      <w:r>
                        <w:rPr>
                          <w:b/>
                          <w:bCs/>
                          <w:i/>
                        </w:rPr>
                        <w:t xml:space="preserve"> </w:t>
                      </w:r>
                      <w:r>
                        <w:rPr>
                          <w:i/>
                          <w:iCs/>
                          <w:sz w:val="16"/>
                          <w:szCs w:val="16"/>
                        </w:rPr>
                        <w:t xml:space="preserve">Cadrage socio-démographique </w:t>
                      </w:r>
                      <w:r w:rsidRPr="00D40061">
                        <w:rPr>
                          <w:i/>
                          <w:iCs/>
                          <w:sz w:val="16"/>
                          <w:szCs w:val="16"/>
                        </w:rPr>
                        <w:t xml:space="preserve">utilisé : </w:t>
                      </w:r>
                      <w:r>
                        <w:rPr>
                          <w:i/>
                          <w:iCs/>
                          <w:sz w:val="16"/>
                          <w:szCs w:val="16"/>
                        </w:rPr>
                        <w:t xml:space="preserve">scénario bas </w:t>
                      </w:r>
                    </w:p>
                    <w:p w14:paraId="376B7D4A" w14:textId="77777777" w:rsidR="00B71BAF" w:rsidRDefault="00B71BAF" w:rsidP="00A51C82"/>
                  </w:txbxContent>
                </v:textbox>
              </v:shape>
            </w:pict>
          </mc:Fallback>
        </mc:AlternateContent>
      </w:r>
      <w:r w:rsidR="00A51C82" w:rsidRPr="00A51C82">
        <w:rPr>
          <w:noProof/>
          <w:lang w:eastAsia="fr-FR"/>
        </w:rPr>
        <mc:AlternateContent>
          <mc:Choice Requires="wps">
            <w:drawing>
              <wp:anchor distT="0" distB="0" distL="114300" distR="114300" simplePos="0" relativeHeight="251653632" behindDoc="0" locked="0" layoutInCell="1" allowOverlap="1" wp14:anchorId="157F0208" wp14:editId="447DA780">
                <wp:simplePos x="0" y="0"/>
                <wp:positionH relativeFrom="column">
                  <wp:posOffset>5149215</wp:posOffset>
                </wp:positionH>
                <wp:positionV relativeFrom="paragraph">
                  <wp:posOffset>5163185</wp:posOffset>
                </wp:positionV>
                <wp:extent cx="1290320" cy="501650"/>
                <wp:effectExtent l="24765" t="19685" r="37465" b="50165"/>
                <wp:wrapNone/>
                <wp:docPr id="922" name="Text Box 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0320" cy="501650"/>
                        </a:xfrm>
                        <a:prstGeom prst="rect">
                          <a:avLst/>
                        </a:prstGeom>
                        <a:solidFill>
                          <a:srgbClr val="000000"/>
                        </a:solidFill>
                        <a:ln w="38100" algn="ctr">
                          <a:solidFill>
                            <a:srgbClr val="F2F2F2"/>
                          </a:solidFill>
                          <a:miter lim="800000"/>
                          <a:headEnd/>
                          <a:tailEnd/>
                        </a:ln>
                        <a:effectLst>
                          <a:outerShdw dist="28398" dir="3806097" algn="ctr" rotWithShape="0">
                            <a:srgbClr val="7F7F7F">
                              <a:alpha val="50000"/>
                            </a:srgbClr>
                          </a:outerShdw>
                        </a:effectLst>
                      </wps:spPr>
                      <wps:txbx>
                        <w:txbxContent>
                          <w:p w14:paraId="236AD165" w14:textId="77777777" w:rsidR="00B71BAF" w:rsidRPr="00733656" w:rsidRDefault="00B71BAF" w:rsidP="00A51C82">
                            <w:pPr>
                              <w:spacing w:before="60" w:after="60"/>
                              <w:jc w:val="center"/>
                              <w:rPr>
                                <w:b/>
                                <w:szCs w:val="20"/>
                              </w:rPr>
                            </w:pPr>
                            <w:r w:rsidRPr="00733656">
                              <w:rPr>
                                <w:b/>
                                <w:szCs w:val="20"/>
                              </w:rPr>
                              <w:t>E</w:t>
                            </w:r>
                            <w:r>
                              <w:rPr>
                                <w:b/>
                                <w:szCs w:val="20"/>
                              </w:rPr>
                              <w:t>n valeur relative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7F0208" id="Text Box 797" o:spid="_x0000_s1027" type="#_x0000_t202" style="position:absolute;left:0;text-align:left;margin-left:405.45pt;margin-top:406.55pt;width:101.6pt;height:39.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mq2gAIAAA4FAAAOAAAAZHJzL2Uyb0RvYy54bWysVF1v2yAUfZ+0/4B4X+04TZNYdaquXaZJ&#10;3YfUTnu+AWyjYWBAYre/fhecpFG7vUyLJQS5cO655x64vBo6RXbCeWl0RSdnOSVCM8Olbir6/WH9&#10;bkGJD6A5KKNFRR+Fp1ert28ue1uKwrRGceEIgmhf9raibQi2zDLPWtGBPzNWaAzWxnUQcOmajDvo&#10;Eb1TWZHnF1lvHLfOMOE9/ns7Bukq4de1YOFrXXsRiKoocgtpdGncxDFbXULZOLCtZHsa8A8sOpAa&#10;kx6hbiEA2Tr5CqqTzBlv6nDGTJeZupZMpBqwmkn+opr7FqxItaA43h5l8v8Pln3ZfXNE8ooui4IS&#10;DR026UEMgbw3A5kv51Gh3voSN95b3BoGDGCnU7Xe3hn20xNtblrQjbh2zvStAI4MJ/FkdnJ0xPER&#10;ZNN/NhwTwTaYBDTUrovyoSAE0bFTj8fuRDIspiyW+bTAEMPYLJ9czFL7MigPp63z4aMwHYmTijrs&#10;fkKH3Z0PkQ2Uhy0xmTdK8rVUKi1cs7lRjuwgOiX9UgEvtilN+opOF5MciYBq0PQsuFGMv8Kti/j9&#10;Ca6TAe2vZFfRxTEnlFHCD5oncwaQapwjfaUjV5GMjTUlybYIcd/ynnAZqy4W0yVeOi7R5dNFfpFj&#10;D0+YEmfCDxna5K2o8avi5+v4jcIp28IoySzSO5QwapUENYf0aXXCLLU+dnvsexg2Q/JZ0iHaYmP4&#10;I3oB+UQa8RHBSWvcEyU9XsiK+l9bcIIS9Umjn5aT83PcFtLifDaPTnCnkc1pBDRDqIoGrD1Nb8J4&#10;67fWyabFTKODtblGD9Yy2eOZ1d65eOlSWfsHIt7q03Xa9fyMrX4DAAD//wMAUEsDBBQABgAIAAAA&#10;IQCTa8sk4AAAAAwBAAAPAAAAZHJzL2Rvd25yZXYueG1sTI/BTsMwEETvSPyDtUjcqO2AqjbEqRBS&#10;kUDi0MKBoxu7cSBeB9tt079nc6K32Z3R7NtqNfqeHW1MXUAFciaAWWyC6bBV8PmxvlsAS1mj0X1A&#10;q+BsE6zq66tKlyaccGOP29wyKsFUagUu56HkPDXOep1mYbBI3j5ErzONseUm6hOV+54XQsy51x3S&#10;BacH++xs87M9eAXf4fXr/Jbze4puE15E8cv367lStzfj0yOwbMf8H4YJn9ChJqZdOKBJrFewkGJJ&#10;0UncS2BTQsgHUjtaLQsJvK745RP1HwAAAP//AwBQSwECLQAUAAYACAAAACEAtoM4kv4AAADhAQAA&#10;EwAAAAAAAAAAAAAAAAAAAAAAW0NvbnRlbnRfVHlwZXNdLnhtbFBLAQItABQABgAIAAAAIQA4/SH/&#10;1gAAAJQBAAALAAAAAAAAAAAAAAAAAC8BAABfcmVscy8ucmVsc1BLAQItABQABgAIAAAAIQByemq2&#10;gAIAAA4FAAAOAAAAAAAAAAAAAAAAAC4CAABkcnMvZTJvRG9jLnhtbFBLAQItABQABgAIAAAAIQCT&#10;a8sk4AAAAAwBAAAPAAAAAAAAAAAAAAAAANoEAABkcnMvZG93bnJldi54bWxQSwUGAAAAAAQABADz&#10;AAAA5wUAAAAA&#10;" fillcolor="black" strokecolor="#f2f2f2" strokeweight="3pt">
                <v:shadow on="t" color="#7f7f7f" opacity=".5" offset="1pt"/>
                <v:textbox>
                  <w:txbxContent>
                    <w:p w14:paraId="236AD165" w14:textId="77777777" w:rsidR="00B71BAF" w:rsidRPr="00733656" w:rsidRDefault="00B71BAF" w:rsidP="00A51C82">
                      <w:pPr>
                        <w:spacing w:before="60" w:after="60"/>
                        <w:jc w:val="center"/>
                        <w:rPr>
                          <w:b/>
                          <w:szCs w:val="20"/>
                        </w:rPr>
                      </w:pPr>
                      <w:r w:rsidRPr="00733656">
                        <w:rPr>
                          <w:b/>
                          <w:szCs w:val="20"/>
                        </w:rPr>
                        <w:t>E</w:t>
                      </w:r>
                      <w:r>
                        <w:rPr>
                          <w:b/>
                          <w:szCs w:val="20"/>
                        </w:rPr>
                        <w:t>n valeur relative</w:t>
                      </w:r>
                    </w:p>
                  </w:txbxContent>
                </v:textbox>
              </v:shape>
            </w:pict>
          </mc:Fallback>
        </mc:AlternateContent>
      </w:r>
      <w:r w:rsidR="00A51C82" w:rsidRPr="00A51C82">
        <w:rPr>
          <w:noProof/>
          <w:lang w:eastAsia="fr-FR"/>
        </w:rPr>
        <mc:AlternateContent>
          <mc:Choice Requires="wps">
            <w:drawing>
              <wp:anchor distT="0" distB="0" distL="114300" distR="114300" simplePos="0" relativeHeight="251652608" behindDoc="0" locked="0" layoutInCell="1" allowOverlap="1" wp14:anchorId="238FB4FD" wp14:editId="5B1F1F6E">
                <wp:simplePos x="0" y="0"/>
                <wp:positionH relativeFrom="column">
                  <wp:posOffset>11523345</wp:posOffset>
                </wp:positionH>
                <wp:positionV relativeFrom="paragraph">
                  <wp:posOffset>5163185</wp:posOffset>
                </wp:positionV>
                <wp:extent cx="1290320" cy="501650"/>
                <wp:effectExtent l="26670" t="19685" r="35560" b="50165"/>
                <wp:wrapNone/>
                <wp:docPr id="921" name="Text Box 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0320" cy="501650"/>
                        </a:xfrm>
                        <a:prstGeom prst="rect">
                          <a:avLst/>
                        </a:prstGeom>
                        <a:solidFill>
                          <a:srgbClr val="000000"/>
                        </a:solidFill>
                        <a:ln w="38100" algn="ctr">
                          <a:solidFill>
                            <a:srgbClr val="F2F2F2"/>
                          </a:solidFill>
                          <a:miter lim="800000"/>
                          <a:headEnd/>
                          <a:tailEnd/>
                        </a:ln>
                        <a:effectLst>
                          <a:outerShdw dist="28398" dir="3806097" algn="ctr" rotWithShape="0">
                            <a:srgbClr val="7F7F7F">
                              <a:alpha val="50000"/>
                            </a:srgbClr>
                          </a:outerShdw>
                        </a:effectLst>
                      </wps:spPr>
                      <wps:txbx>
                        <w:txbxContent>
                          <w:p w14:paraId="359F9AED" w14:textId="77777777" w:rsidR="00B71BAF" w:rsidRPr="00733656" w:rsidRDefault="00B71BAF" w:rsidP="00A51C82">
                            <w:pPr>
                              <w:spacing w:before="60" w:after="60"/>
                              <w:jc w:val="center"/>
                              <w:rPr>
                                <w:b/>
                                <w:szCs w:val="20"/>
                              </w:rPr>
                            </w:pPr>
                            <w:r w:rsidRPr="00733656">
                              <w:rPr>
                                <w:b/>
                                <w:szCs w:val="20"/>
                              </w:rPr>
                              <w:t>E</w:t>
                            </w:r>
                            <w:r>
                              <w:rPr>
                                <w:b/>
                                <w:szCs w:val="20"/>
                              </w:rPr>
                              <w:t>n valeur relative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8FB4FD" id="Text Box 796" o:spid="_x0000_s1028" type="#_x0000_t202" style="position:absolute;left:0;text-align:left;margin-left:907.35pt;margin-top:406.55pt;width:101.6pt;height:39.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zPIgAIAAA4FAAAOAAAAZHJzL2Uyb0RvYy54bWysVNtuGyEQfa/Uf0C8N3txfFtlHaVJXVVK&#10;L1JS9XkM7C4qCxSw18nXd2Bjx0ral6peCYEHzpw5c+Dict8rshPOS6NrWpzllAjNDJe6ren3+/W7&#10;BSU+gOagjBY1fRCeXq7evrkYbCVK0xnFhSMIon012Jp2IdgqyzzrRA/+zFihMdgY10PApWsz7mBA&#10;9F5lZZ7PssE4bp1hwnv892YM0lXCbxrBwtem8SIQVVPkFtLo0riJY7a6gKp1YDvJnmjAP7DoQWpM&#10;eoS6gQBk6+QrqF4yZ7xpwhkzfWaaRjKRasBqivxFNXcdWJFqQXG8Pcrk/x8s+7L75ojkNV2WBSUa&#10;emzSvdgH8t7syXw5iwoN1le48c7i1rDHAHY6VevtrWE/PdHmugPdiivnzNAJ4MiwiCezk6Mjjo8g&#10;m+Gz4ZgItsEkoH3j+igfCkIQHTv1cOxOJMNiynKZT0oMMYxN82I2Te3LoDqcts6Hj8L0JE5q6rD7&#10;CR12tz5ENlAdtsRk3ijJ11KptHDt5lo5soPolPRLBbzYpjQZajpZFDkSAdWi6Vlwoxh/hVuX8fsT&#10;XC8D2l/JvqaLY06oooQfNE/mDCDVOEf6SkeuIhkba0qSbRHiruMD4TJWXS4mS7x0XKLLJ4t8li/n&#10;p0yJM+GHDF3yVtT4VfHzdfxG4ZTtYJRkGukdShi1SoKaQ/q0OmGWWh+7PfY97Df75LNJBIm22Bj+&#10;gF5APpFGfERw0hn3SMmAF7Km/tcWnKBEfdLop2Vxfo7bQlqcT+fRCe40sjmNgGYIVdOAtafpdRhv&#10;/dY62XaYaXSwNlfowUYmezyzenIuXrpU1tMDEW/16Trten7GVr8BAAD//wMAUEsDBBQABgAIAAAA&#10;IQDy/YiY4QAAAA0BAAAPAAAAZHJzL2Rvd25yZXYueG1sTI/BTsMwDIbvSLxDZCRuLElBW1eaTghp&#10;SCBx2ODAMWu8ptAkJcm27u0xJzj+9qffn+vV5AZ2xJj64BXImQCGvg2m952C97f1TQksZe2NHoJH&#10;BWdMsGouL2pdmXDyGzxuc8eoxKdKK7A5jxXnqbXodJqFET3t9iE6nSnGjpuoT1TuBl4IMedO954u&#10;WD3io8X2a3twCj7D88f5JefXFO0mPInim+/Xc6Wur6aHe2AZp/wHw68+qUNDTrtw8CaxgXIp7xbE&#10;KijlrQRGSCHkYglsR6NlIYE3Nf//RfMDAAD//wMAUEsBAi0AFAAGAAgAAAAhALaDOJL+AAAA4QEA&#10;ABMAAAAAAAAAAAAAAAAAAAAAAFtDb250ZW50X1R5cGVzXS54bWxQSwECLQAUAAYACAAAACEAOP0h&#10;/9YAAACUAQAACwAAAAAAAAAAAAAAAAAvAQAAX3JlbHMvLnJlbHNQSwECLQAUAAYACAAAACEA4Asz&#10;yIACAAAOBQAADgAAAAAAAAAAAAAAAAAuAgAAZHJzL2Uyb0RvYy54bWxQSwECLQAUAAYACAAAACEA&#10;8v2ImOEAAAANAQAADwAAAAAAAAAAAAAAAADaBAAAZHJzL2Rvd25yZXYueG1sUEsFBgAAAAAEAAQA&#10;8wAAAOgFAAAAAA==&#10;" fillcolor="black" strokecolor="#f2f2f2" strokeweight="3pt">
                <v:shadow on="t" color="#7f7f7f" opacity=".5" offset="1pt"/>
                <v:textbox>
                  <w:txbxContent>
                    <w:p w14:paraId="359F9AED" w14:textId="77777777" w:rsidR="00B71BAF" w:rsidRPr="00733656" w:rsidRDefault="00B71BAF" w:rsidP="00A51C82">
                      <w:pPr>
                        <w:spacing w:before="60" w:after="60"/>
                        <w:jc w:val="center"/>
                        <w:rPr>
                          <w:b/>
                          <w:szCs w:val="20"/>
                        </w:rPr>
                      </w:pPr>
                      <w:r w:rsidRPr="00733656">
                        <w:rPr>
                          <w:b/>
                          <w:szCs w:val="20"/>
                        </w:rPr>
                        <w:t>E</w:t>
                      </w:r>
                      <w:r>
                        <w:rPr>
                          <w:b/>
                          <w:szCs w:val="20"/>
                        </w:rPr>
                        <w:t>n valeur relative</w:t>
                      </w:r>
                    </w:p>
                  </w:txbxContent>
                </v:textbox>
              </v:shape>
            </w:pict>
          </mc:Fallback>
        </mc:AlternateContent>
      </w:r>
      <w:r w:rsidR="00A51C82" w:rsidRPr="00A51C82">
        <w:rPr>
          <w:noProof/>
          <w:lang w:eastAsia="fr-FR"/>
        </w:rPr>
        <mc:AlternateContent>
          <mc:Choice Requires="wps">
            <w:drawing>
              <wp:anchor distT="0" distB="0" distL="114300" distR="114300" simplePos="0" relativeHeight="251651584" behindDoc="0" locked="0" layoutInCell="1" allowOverlap="1" wp14:anchorId="5405B0C7" wp14:editId="795B98C2">
                <wp:simplePos x="0" y="0"/>
                <wp:positionH relativeFrom="column">
                  <wp:posOffset>5162550</wp:posOffset>
                </wp:positionH>
                <wp:positionV relativeFrom="paragraph">
                  <wp:posOffset>810895</wp:posOffset>
                </wp:positionV>
                <wp:extent cx="1290320" cy="501650"/>
                <wp:effectExtent l="19050" t="20320" r="33655" b="49530"/>
                <wp:wrapNone/>
                <wp:docPr id="920" name="Text Box 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0320" cy="501650"/>
                        </a:xfrm>
                        <a:prstGeom prst="rect">
                          <a:avLst/>
                        </a:prstGeom>
                        <a:solidFill>
                          <a:srgbClr val="000000"/>
                        </a:solidFill>
                        <a:ln w="38100" algn="ctr">
                          <a:solidFill>
                            <a:srgbClr val="F2F2F2"/>
                          </a:solidFill>
                          <a:miter lim="800000"/>
                          <a:headEnd/>
                          <a:tailEnd/>
                        </a:ln>
                        <a:effectLst>
                          <a:outerShdw dist="28398" dir="3806097" algn="ctr" rotWithShape="0">
                            <a:srgbClr val="7F7F7F">
                              <a:alpha val="50000"/>
                            </a:srgbClr>
                          </a:outerShdw>
                        </a:effectLst>
                      </wps:spPr>
                      <wps:txbx>
                        <w:txbxContent>
                          <w:p w14:paraId="7AD826CB" w14:textId="77777777" w:rsidR="00B71BAF" w:rsidRPr="00733656" w:rsidRDefault="00B71BAF" w:rsidP="00A51C82">
                            <w:pPr>
                              <w:spacing w:before="60" w:after="60"/>
                              <w:jc w:val="center"/>
                              <w:rPr>
                                <w:b/>
                                <w:szCs w:val="20"/>
                              </w:rPr>
                            </w:pPr>
                            <w:r w:rsidRPr="00733656">
                              <w:rPr>
                                <w:b/>
                                <w:szCs w:val="20"/>
                              </w:rPr>
                              <w:t>E</w:t>
                            </w:r>
                            <w:r>
                              <w:rPr>
                                <w:b/>
                                <w:szCs w:val="20"/>
                              </w:rPr>
                              <w:t>n valeur absolue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05B0C7" id="Text Box 795" o:spid="_x0000_s1029" type="#_x0000_t202" style="position:absolute;left:0;text-align:left;margin-left:406.5pt;margin-top:63.85pt;width:101.6pt;height:39.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aqBfwIAAA4FAAAOAAAAZHJzL2Uyb0RvYy54bWysVF1v2yAUfZ+0/4B4X+18NYlVp+rSZZrU&#10;fUjptGcC2EbDwIDEbn/97sVNGrXby7RYQhAu55577oGr677V5CB9UNaUdHSRUyINt0KZuqTf7zfv&#10;FpSEyIxg2hpZ0gcZ6PXq7ZurzhVybBurhfQEQEwoOlfSJkZXZFngjWxZuLBOGtisrG9ZhKWvM+FZ&#10;B+itzsZ5fpl11gvnLZchwL+3wyZdJfyqkjx+raogI9ElBW4xjT6NOxyz1RUras9co/gTDfYPLFqm&#10;DCQ9Qd2yyMjeq1dQreLeBlvFC27bzFaV4jLVANWM8hfVbBvmZKoFxAnuJFP4f7D8y+GbJ0qUdDkG&#10;fQxroUn3so/kve3JfDlDhToXCgjcOgiNPWxAp1O1wd1Z/jMQY9cNM7W88d52jWQCGI7wZHZ2dMAJ&#10;CLLrPlsBidg+2gTUV75F+UAQAujA5OHUHSTDMeV4mU+QJIe9WT66nKX2Zaw4nnY+xI/StgQnJfXQ&#10;/YTODnchIhtWHEMwWbBaiY3SOi18vVtrTw4MnZJ+qYAXYdqQrqSTxSgHIkzXYHoe/SDGX+E2Y/z+&#10;BNeqCPbXqi3p4pSTFSjhByOSOSNTepgDfW2Qq0zGhpqSZHuA2DaiI0Jh1ePFZAmXTihw+WSRX+bL&#10;+TlT4m38oWKTvIUavyp+vsFvEE67hg2SzJDesYRBqySoPaZPqzNmqfXY7aHvsd/1yWdTBEFb7Kx4&#10;AC8AH6SBjwhMGusfKengQpY0/NozLynRnwz4aTmaTiEspsV0Nkcn+POd3fkOMxygShqh9jRdx+HW&#10;751XdQOZBgcbewMerFSyxzOrJ+fCpUtlPT0QeKvP1ynq+Rlb/QYAAP//AwBQSwMEFAAGAAgAAAAh&#10;AHumx1ngAAAADAEAAA8AAABkcnMvZG93bnJldi54bWxMjzFPwzAUhHck/oP1kNioHSMlVYhTIaQi&#10;gcTQwsDoxq9xIH4Ottum/x53gvF0p7vvmtXsRnbEEAdPCoqFAIbUeTNQr+DjfX23BBaTJqNHT6jg&#10;jBFW7fVVo2vjT7TB4zb1LJdQrLUCm9JUcx47i07HhZ+Qsrf3wemUZei5CfqUy93IpRAld3qgvGD1&#10;hE8Wu+/twSn48i+f59eU3mKwG/8s5A/fr0ulbm/mxwdgCef0F4YLfkaHNjPt/IFMZKOCZXGfv6Rs&#10;yKoCdkmIopTAdgqkKCvgbcP/n2h/AQAA//8DAFBLAQItABQABgAIAAAAIQC2gziS/gAAAOEBAAAT&#10;AAAAAAAAAAAAAAAAAAAAAABbQ29udGVudF9UeXBlc10ueG1sUEsBAi0AFAAGAAgAAAAhADj9If/W&#10;AAAAlAEAAAsAAAAAAAAAAAAAAAAALwEAAF9yZWxzLy5yZWxzUEsBAi0AFAAGAAgAAAAhAFN1qoF/&#10;AgAADgUAAA4AAAAAAAAAAAAAAAAALgIAAGRycy9lMm9Eb2MueG1sUEsBAi0AFAAGAAgAAAAhAHum&#10;x1ngAAAADAEAAA8AAAAAAAAAAAAAAAAA2QQAAGRycy9kb3ducmV2LnhtbFBLBQYAAAAABAAEAPMA&#10;AADmBQAAAAA=&#10;" fillcolor="black" strokecolor="#f2f2f2" strokeweight="3pt">
                <v:shadow on="t" color="#7f7f7f" opacity=".5" offset="1pt"/>
                <v:textbox>
                  <w:txbxContent>
                    <w:p w14:paraId="7AD826CB" w14:textId="77777777" w:rsidR="00B71BAF" w:rsidRPr="00733656" w:rsidRDefault="00B71BAF" w:rsidP="00A51C82">
                      <w:pPr>
                        <w:spacing w:before="60" w:after="60"/>
                        <w:jc w:val="center"/>
                        <w:rPr>
                          <w:b/>
                          <w:szCs w:val="20"/>
                        </w:rPr>
                      </w:pPr>
                      <w:r w:rsidRPr="00733656">
                        <w:rPr>
                          <w:b/>
                          <w:szCs w:val="20"/>
                        </w:rPr>
                        <w:t>E</w:t>
                      </w:r>
                      <w:r>
                        <w:rPr>
                          <w:b/>
                          <w:szCs w:val="20"/>
                        </w:rPr>
                        <w:t>n valeur absolue</w:t>
                      </w:r>
                    </w:p>
                  </w:txbxContent>
                </v:textbox>
              </v:shape>
            </w:pict>
          </mc:Fallback>
        </mc:AlternateContent>
      </w:r>
      <w:r w:rsidR="00A51C82" w:rsidRPr="00A51C82">
        <w:rPr>
          <w:noProof/>
          <w:lang w:eastAsia="fr-FR"/>
        </w:rPr>
        <mc:AlternateContent>
          <mc:Choice Requires="wps">
            <w:drawing>
              <wp:anchor distT="0" distB="0" distL="114300" distR="114300" simplePos="0" relativeHeight="251649536" behindDoc="0" locked="0" layoutInCell="1" allowOverlap="1" wp14:anchorId="4A003BD8" wp14:editId="0604A091">
                <wp:simplePos x="0" y="0"/>
                <wp:positionH relativeFrom="column">
                  <wp:posOffset>11523345</wp:posOffset>
                </wp:positionH>
                <wp:positionV relativeFrom="paragraph">
                  <wp:posOffset>810895</wp:posOffset>
                </wp:positionV>
                <wp:extent cx="1290320" cy="501650"/>
                <wp:effectExtent l="26670" t="20320" r="35560" b="49530"/>
                <wp:wrapNone/>
                <wp:docPr id="919" name="Text Box 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0320" cy="501650"/>
                        </a:xfrm>
                        <a:prstGeom prst="rect">
                          <a:avLst/>
                        </a:prstGeom>
                        <a:solidFill>
                          <a:srgbClr val="000000"/>
                        </a:solidFill>
                        <a:ln w="38100" algn="ctr">
                          <a:solidFill>
                            <a:srgbClr val="F2F2F2"/>
                          </a:solidFill>
                          <a:miter lim="800000"/>
                          <a:headEnd/>
                          <a:tailEnd/>
                        </a:ln>
                        <a:effectLst>
                          <a:outerShdw dist="28398" dir="3806097" algn="ctr" rotWithShape="0">
                            <a:srgbClr val="7F7F7F">
                              <a:alpha val="50000"/>
                            </a:srgbClr>
                          </a:outerShdw>
                        </a:effectLst>
                      </wps:spPr>
                      <wps:txbx>
                        <w:txbxContent>
                          <w:p w14:paraId="4B9D480B" w14:textId="77777777" w:rsidR="00B71BAF" w:rsidRPr="00733656" w:rsidRDefault="00B71BAF" w:rsidP="00A51C82">
                            <w:pPr>
                              <w:spacing w:before="60" w:after="60"/>
                              <w:jc w:val="center"/>
                              <w:rPr>
                                <w:b/>
                                <w:szCs w:val="20"/>
                              </w:rPr>
                            </w:pPr>
                            <w:r w:rsidRPr="00733656">
                              <w:rPr>
                                <w:b/>
                                <w:szCs w:val="20"/>
                              </w:rPr>
                              <w:t>E</w:t>
                            </w:r>
                            <w:r>
                              <w:rPr>
                                <w:b/>
                                <w:szCs w:val="20"/>
                              </w:rPr>
                              <w:t>n valeur absolue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003BD8" id="Text Box 784" o:spid="_x0000_s1030" type="#_x0000_t202" style="position:absolute;left:0;text-align:left;margin-left:907.35pt;margin-top:63.85pt;width:101.6pt;height:39.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db6gQIAAA4FAAAOAAAAZHJzL2Uyb0RvYy54bWysVF1v2yAUfZ+0/4B4X23no0msOlXXLtOk&#10;7kNqpz0TwDYa5jIgsdtfvwtu0qjdXqbFEoJcOPfccw9cXA6dJnvpvAJT0eIsp0QaDkKZpqLf7zfv&#10;lpT4wIxgGoys6IP09HL99s1Fb0s5gRa0kI4giPFlbyvahmDLLPO8lR3zZ2ClwWANrmMBl67JhGM9&#10;onc6m+T5edaDE9YBl97jvzdjkK4Tfl1LHr7WtZeB6Ioit5BGl8ZtHLP1BSsbx2yr+BMN9g8sOqYM&#10;Jj1C3bDAyM6pV1Cd4g481OGMQ5dBXSsuUw1YTZG/qOauZVamWlAcb48y+f8Hy7/svzmiREVXxYoS&#10;wzps0r0cAnkPA1ksZ1Gh3voSN95Z3BoGDGCnU7Xe3gL/6YmB65aZRl45B30rmUCGRTyZnRwdcXwE&#10;2fafQWAitguQgIbadVE+FIQgOnbq4didSIbHlJNVPp1giGNsnhfn89S+jJWH09b58FFCR+Kkog67&#10;n9DZ/taHyIaVhy0xmQetxEZpnRau2V5rR/YsOiX9UgEvtmlD+opOl0WORJhu0PQ8uFGMv8JtJvH7&#10;E1ynAtpfq66iy2NOVkYJPxiRzBmY0uMc6WsTucpkbKwpSbZDiLtW9ESoWPVkOV3hpRMKXT5d5uf5&#10;anHKlDgIP1Rok7eixq+KX2ziNwqnbctGSeaR3qGEUaskKBzSp9UJs9T62O2x72HYDsln8wgSbbEF&#10;8YBeQD6RRnxEcNKCe6SkxwtZUf9rx5ykRH8y6KdVMZvhtpAWs/kiOsGdRranEWY4QlU0YO1peh3G&#10;W7+zTjUtZhodbOAKPVirZI9nVk/OxUuXynp6IOKtPl2nXc/P2Po3AAAA//8DAFBLAwQUAAYACAAA&#10;ACEA3uzU8+AAAAANAQAADwAAAGRycy9kb3ducmV2LnhtbEyPwU7DMBBE70j8g7VI3KidCCUljVMh&#10;pCKBxKGFA0c3duOUeB1st03/nu2J3ma0o9k39XJyAzuaEHuPErKZAGaw9brHTsLX5+phDiwmhVoN&#10;Ho2Es4mwbG5valVpf8K1OW5Sx6gEY6Uk2JTGivPYWuNUnPnRIN12PjiVyIaO66BOVO4GngtRcKd6&#10;pA9WjebFmvZnc3AS9v7t+/ye0kcMdu1fRf7Ld6tCyvu76XkBLJkp/Yfhgk/o0BDT1h9QRzaQn2eP&#10;JWVJ5SUJiuQiK5+AbS+qKIE3Nb9e0fwBAAD//wMAUEsBAi0AFAAGAAgAAAAhALaDOJL+AAAA4QEA&#10;ABMAAAAAAAAAAAAAAAAAAAAAAFtDb250ZW50X1R5cGVzXS54bWxQSwECLQAUAAYACAAAACEAOP0h&#10;/9YAAACUAQAACwAAAAAAAAAAAAAAAAAvAQAAX3JlbHMvLnJlbHNQSwECLQAUAAYACAAAACEAEiXW&#10;+oECAAAOBQAADgAAAAAAAAAAAAAAAAAuAgAAZHJzL2Uyb0RvYy54bWxQSwECLQAUAAYACAAAACEA&#10;3uzU8+AAAAANAQAADwAAAAAAAAAAAAAAAADbBAAAZHJzL2Rvd25yZXYueG1sUEsFBgAAAAAEAAQA&#10;8wAAAOgFAAAAAA==&#10;" fillcolor="black" strokecolor="#f2f2f2" strokeweight="3pt">
                <v:shadow on="t" color="#7f7f7f" opacity=".5" offset="1pt"/>
                <v:textbox>
                  <w:txbxContent>
                    <w:p w14:paraId="4B9D480B" w14:textId="77777777" w:rsidR="00B71BAF" w:rsidRPr="00733656" w:rsidRDefault="00B71BAF" w:rsidP="00A51C82">
                      <w:pPr>
                        <w:spacing w:before="60" w:after="60"/>
                        <w:jc w:val="center"/>
                        <w:rPr>
                          <w:b/>
                          <w:szCs w:val="20"/>
                        </w:rPr>
                      </w:pPr>
                      <w:r w:rsidRPr="00733656">
                        <w:rPr>
                          <w:b/>
                          <w:szCs w:val="20"/>
                        </w:rPr>
                        <w:t>E</w:t>
                      </w:r>
                      <w:r>
                        <w:rPr>
                          <w:b/>
                          <w:szCs w:val="20"/>
                        </w:rPr>
                        <w:t>n valeur absolue</w:t>
                      </w:r>
                    </w:p>
                  </w:txbxContent>
                </v:textbox>
              </v:shape>
            </w:pict>
          </mc:Fallback>
        </mc:AlternateContent>
      </w:r>
      <w:r w:rsidR="00A51C82" w:rsidRPr="00A51C82">
        <w:rPr>
          <w:noProof/>
          <w:lang w:eastAsia="fr-FR"/>
        </w:rPr>
        <mc:AlternateContent>
          <mc:Choice Requires="wps">
            <w:drawing>
              <wp:anchor distT="0" distB="0" distL="114300" distR="114300" simplePos="0" relativeHeight="251647488" behindDoc="0" locked="0" layoutInCell="1" allowOverlap="1" wp14:anchorId="7A909F02" wp14:editId="193102BF">
                <wp:simplePos x="0" y="0"/>
                <wp:positionH relativeFrom="column">
                  <wp:posOffset>6772275</wp:posOffset>
                </wp:positionH>
                <wp:positionV relativeFrom="paragraph">
                  <wp:posOffset>2278380</wp:posOffset>
                </wp:positionV>
                <wp:extent cx="1263650" cy="474980"/>
                <wp:effectExtent l="19050" t="20955" r="31750" b="46990"/>
                <wp:wrapNone/>
                <wp:docPr id="918" name="Text Box 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474980"/>
                        </a:xfrm>
                        <a:prstGeom prst="rect">
                          <a:avLst/>
                        </a:prstGeom>
                        <a:solidFill>
                          <a:srgbClr val="000000"/>
                        </a:solidFill>
                        <a:ln w="38100" algn="ctr">
                          <a:solidFill>
                            <a:srgbClr val="F2F2F2"/>
                          </a:solidFill>
                          <a:miter lim="800000"/>
                          <a:headEnd/>
                          <a:tailEnd/>
                        </a:ln>
                        <a:effectLst>
                          <a:outerShdw dist="28398" dir="3806097" algn="ctr" rotWithShape="0">
                            <a:srgbClr val="7F7F7F">
                              <a:alpha val="50000"/>
                            </a:srgbClr>
                          </a:outerShdw>
                        </a:effectLst>
                      </wps:spPr>
                      <wps:txbx>
                        <w:txbxContent>
                          <w:p w14:paraId="4C9CDB25" w14:textId="77777777" w:rsidR="00B71BAF" w:rsidRPr="008A0BEA" w:rsidRDefault="00B71BAF" w:rsidP="00A51C82">
                            <w:pPr>
                              <w:spacing w:before="120" w:after="120"/>
                              <w:jc w:val="center"/>
                              <w:rPr>
                                <w:b/>
                                <w:sz w:val="24"/>
                              </w:rPr>
                            </w:pPr>
                            <w:r>
                              <w:rPr>
                                <w:b/>
                                <w:sz w:val="24"/>
                              </w:rPr>
                              <w:t>Habitants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909F02" id="Text Box 782" o:spid="_x0000_s1031" type="#_x0000_t202" style="position:absolute;left:0;text-align:left;margin-left:533.25pt;margin-top:179.4pt;width:99.5pt;height:37.4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TefgQIAAA4FAAAOAAAAZHJzL2Uyb0RvYy54bWysVF1v2yAUfZ+0/4B4X+04aeJYdaquXaZJ&#10;3YfUTnsmgG00zGVA4rS/fhfcpFG7vUyLJQS5cO655x64uNz3muyk8wpMTSdnOSXScBDKtDX9fr9+&#10;V1LiAzOCaTCypg/S08vV2zcXg61kAR1oIR1BEOOrwda0C8FWWeZ5J3vmz8BKg8EGXM8CLl2bCccG&#10;RO91VuT5PBvACeuAS+/x35sxSFcJv2kkD1+bxstAdE2RW0ijS+MmjtnqglWtY7ZT/IkG+wcWPVMG&#10;kx6hblhgZOvUK6hecQcemnDGoc+gaRSXqQasZpK/qOauY1amWlAcb48y+f8Hy7/svjmiRE2XE2yV&#10;YT026V7uA3kPe7Ioi6jQYH2FG+8sbg17DGCnU7Xe3gL/6YmB646ZVl45B0MnmUCGk3gyOzk64vgI&#10;shk+g8BEbBsgAe0b10f5UBCC6Niph2N3IhkeUxbz6fwcQxxjs8VsWab2Zaw6nLbOh48SehInNXXY&#10;/YTOdrc+RDasOmyJyTxoJdZK67Rw7eZaO7Jj0Snplwp4sU0bMtR0Wk5yJMJ0i6bnwY1i/BVuXcTv&#10;T3C9Cmh/rfqalsecrIoSfjAimTMwpcc50tcmcpXJ2FhTkmyLEHedGIhQseqinC6xk0Khy6dlPs+X&#10;i1OmxEH4oUKXvBU1flX8Yh2/UThtOzZKch7pHUoYtUqCwiF9Wp0wS62P3R77HvabffLZPIJEW2xA&#10;PKAXkE+kER8RnHTgHikZ8ELW1P/aMicp0Z8M+mk5mc1wW0iL2fmiwIU7jWxOI8xwhKppwNrT9DqM&#10;t35rnWo7zDQ62MAVerBRyR7PrJ6ci5culfX0QMRbfbpOu56fsdVvAAAA//8DAFBLAwQUAAYACAAA&#10;ACEA997MmOEAAAANAQAADwAAAGRycy9kb3ducmV2LnhtbEyPwU7DMBBE70j8g7VI3KhNQqwqxKkQ&#10;UpFA4tDCgaMbb+O0sR1it03/nu2JHmf2aXamWkyuZ0ccYxe8gseZAIa+CabzrYLvr+XDHFhM2hvd&#10;B48KzhhhUd/eVLo04eRXeFynllGIj6VWYFMaSs5jY9HpOAsDerptw+h0Ijm23Iz6ROGu55kQkjvd&#10;efpg9YCvFpv9+uAU7ML7z/kjpc842lV4E9kv3y6lUvd308szsIRT+ofhUp+qQ02dNuHgTWQ9aSFl&#10;QayCvJjTiAuSyYKsjYKnPJfA64pfr6j/AAAA//8DAFBLAQItABQABgAIAAAAIQC2gziS/gAAAOEB&#10;AAATAAAAAAAAAAAAAAAAAAAAAABbQ29udGVudF9UeXBlc10ueG1sUEsBAi0AFAAGAAgAAAAhADj9&#10;If/WAAAAlAEAAAsAAAAAAAAAAAAAAAAALwEAAF9yZWxzLy5yZWxzUEsBAi0AFAAGAAgAAAAhALeB&#10;N5+BAgAADgUAAA4AAAAAAAAAAAAAAAAALgIAAGRycy9lMm9Eb2MueG1sUEsBAi0AFAAGAAgAAAAh&#10;APfezJjhAAAADQEAAA8AAAAAAAAAAAAAAAAA2wQAAGRycy9kb3ducmV2LnhtbFBLBQYAAAAABAAE&#10;APMAAADpBQAAAAA=&#10;" fillcolor="black" strokecolor="#f2f2f2" strokeweight="3pt">
                <v:shadow on="t" color="#7f7f7f" opacity=".5" offset="1pt"/>
                <v:textbox>
                  <w:txbxContent>
                    <w:p w14:paraId="4C9CDB25" w14:textId="77777777" w:rsidR="00B71BAF" w:rsidRPr="008A0BEA" w:rsidRDefault="00B71BAF" w:rsidP="00A51C82">
                      <w:pPr>
                        <w:spacing w:before="120" w:after="120"/>
                        <w:jc w:val="center"/>
                        <w:rPr>
                          <w:b/>
                          <w:sz w:val="24"/>
                        </w:rPr>
                      </w:pPr>
                      <w:r>
                        <w:rPr>
                          <w:b/>
                          <w:sz w:val="24"/>
                        </w:rPr>
                        <w:t>Habitants</w:t>
                      </w:r>
                    </w:p>
                  </w:txbxContent>
                </v:textbox>
              </v:shape>
            </w:pict>
          </mc:Fallback>
        </mc:AlternateContent>
      </w:r>
      <w:r w:rsidR="00A51C82" w:rsidRPr="00A51C82">
        <w:rPr>
          <w:noProof/>
          <w:lang w:eastAsia="fr-FR"/>
        </w:rPr>
        <mc:AlternateContent>
          <mc:Choice Requires="wps">
            <w:drawing>
              <wp:anchor distT="0" distB="0" distL="114300" distR="114300" simplePos="0" relativeHeight="251648512" behindDoc="0" locked="0" layoutInCell="1" allowOverlap="1" wp14:anchorId="084305F9" wp14:editId="0E48D7DC">
                <wp:simplePos x="0" y="0"/>
                <wp:positionH relativeFrom="column">
                  <wp:posOffset>398780</wp:posOffset>
                </wp:positionH>
                <wp:positionV relativeFrom="paragraph">
                  <wp:posOffset>2265045</wp:posOffset>
                </wp:positionV>
                <wp:extent cx="1263650" cy="474980"/>
                <wp:effectExtent l="27305" t="26670" r="33020" b="50800"/>
                <wp:wrapNone/>
                <wp:docPr id="917" name="Text Box 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474980"/>
                        </a:xfrm>
                        <a:prstGeom prst="rect">
                          <a:avLst/>
                        </a:prstGeom>
                        <a:solidFill>
                          <a:srgbClr val="000000"/>
                        </a:solidFill>
                        <a:ln w="38100" algn="ctr">
                          <a:solidFill>
                            <a:srgbClr val="F2F2F2"/>
                          </a:solidFill>
                          <a:miter lim="800000"/>
                          <a:headEnd/>
                          <a:tailEnd/>
                        </a:ln>
                        <a:effectLst>
                          <a:outerShdw dist="28398" dir="3806097" algn="ctr" rotWithShape="0">
                            <a:srgbClr val="7F7F7F">
                              <a:alpha val="50000"/>
                            </a:srgbClr>
                          </a:outerShdw>
                        </a:effectLst>
                      </wps:spPr>
                      <wps:txbx>
                        <w:txbxContent>
                          <w:p w14:paraId="058440DE" w14:textId="77777777" w:rsidR="00B71BAF" w:rsidRPr="008A0BEA" w:rsidRDefault="00B71BAF" w:rsidP="00A51C82">
                            <w:pPr>
                              <w:spacing w:before="120" w:after="120"/>
                              <w:jc w:val="center"/>
                              <w:rPr>
                                <w:b/>
                                <w:sz w:val="24"/>
                              </w:rPr>
                            </w:pPr>
                            <w:r>
                              <w:rPr>
                                <w:b/>
                                <w:sz w:val="24"/>
                              </w:rPr>
                              <w:t>Emplois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305F9" id="Text Box 783" o:spid="_x0000_s1032" type="#_x0000_t202" style="position:absolute;left:0;text-align:left;margin-left:31.4pt;margin-top:178.35pt;width:99.5pt;height:37.4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NFoggIAAA4FAAAOAAAAZHJzL2Uyb0RvYy54bWysVF1v2yAUfZ+0/4B4X+18NHGsOlXXLtOk&#10;7kNqpz0TwDYa5jIgsdtfvwtu0qjdXqbFEoJcOPfccw9cXA6dJnvpvAJT0clZTok0HIQyTUW/32/e&#10;FZT4wIxgGoys6IP09HL99s1Fb0s5hRa0kI4giPFlbyvahmDLLPO8lR3zZ2ClwWANrmMBl67JhGM9&#10;onc6m+b5IuvBCeuAS+/x35sxSNcJv64lD1/r2stAdEWRW0ijS+M2jtn6gpWNY7ZV/IkG+wcWHVMG&#10;kx6hblhgZOfUK6hOcQce6nDGocugrhWXqQasZpK/qOauZVamWlAcb48y+f8Hy7/svzmiREVXkyUl&#10;hnXYpHs5BPIeBrIsZlGh3voSN95Z3BoGDGCnU7Xe3gL/6YmB65aZRl45B30rmUCGk3gyOzk64vgI&#10;su0/g8BEbBcgAQ2166J8KAhBdOzUw7E7kQyPKaeL2eIcQxxj8+V8VaT2Zaw8nLbOh48SOhInFXXY&#10;/YTO9rc+RDasPGyJyTxoJTZK67RwzfZaO7Jn0Snplwp4sU0b0ld0VkxyJMJ0g6bnwY1i/BVuM43f&#10;n+A6FdD+WnUVLY45WRkl/GBEMmdgSo9zpK9N5CqTsbGmJNkOIe5a0ROhYtXTYrbCSycUunxW5It8&#10;hX19ZkochB8qtMlbUeNXxS838RuF07ZloyTnkd6hhFGrJCgc0qfVCbPU+tjtse9h2A7JZ8sIEm2x&#10;BfGAXkA+kUZ8RHDSgnukpMcLWVH/a8ecpER/Muin1WQ+x20hLebnyyku3GlkexphhiNURQPWnqbX&#10;Ybz1O+tU02Km0cEGrtCDtUr2eGb15Fy8dKmspwci3urTddr1/IytfwMAAP//AwBQSwMEFAAGAAgA&#10;AAAhAIGiYNrgAAAACgEAAA8AAABkcnMvZG93bnJldi54bWxMj8FOwzAQRO9I/IO1SNyok5QGFLKp&#10;EFKRQOLQwoGjG2/jQLwOttumf485lePOjmbe1MvJDuJAPvSOEfJZBoK4dbrnDuHjfXVzDyJExVoN&#10;jgnhRAGWzeVFrSrtjrymwyZ2IoVwqBSCiXGspAytIavCzI3E6bdz3qqYTt9J7dUxhdtBFllWSqt6&#10;Tg1GjfRkqP3e7C3Cl3v5PL3G+Ba8WbvnrPiRu1WJeH01PT6AiDTFsxn+8BM6NIlp6/asgxgQyiKR&#10;R4T5orwDkQxFmSdli3A7zxcgm1r+n9D8AgAA//8DAFBLAQItABQABgAIAAAAIQC2gziS/gAAAOEB&#10;AAATAAAAAAAAAAAAAAAAAAAAAABbQ29udGVudF9UeXBlc10ueG1sUEsBAi0AFAAGAAgAAAAhADj9&#10;If/WAAAAlAEAAAsAAAAAAAAAAAAAAAAALwEAAF9yZWxzLy5yZWxzUEsBAi0AFAAGAAgAAAAhAG2Y&#10;0WiCAgAADgUAAA4AAAAAAAAAAAAAAAAALgIAAGRycy9lMm9Eb2MueG1sUEsBAi0AFAAGAAgAAAAh&#10;AIGiYNrgAAAACgEAAA8AAAAAAAAAAAAAAAAA3AQAAGRycy9kb3ducmV2LnhtbFBLBQYAAAAABAAE&#10;APMAAADpBQAAAAA=&#10;" fillcolor="black" strokecolor="#f2f2f2" strokeweight="3pt">
                <v:shadow on="t" color="#7f7f7f" opacity=".5" offset="1pt"/>
                <v:textbox>
                  <w:txbxContent>
                    <w:p w14:paraId="058440DE" w14:textId="77777777" w:rsidR="00B71BAF" w:rsidRPr="008A0BEA" w:rsidRDefault="00B71BAF" w:rsidP="00A51C82">
                      <w:pPr>
                        <w:spacing w:before="120" w:after="120"/>
                        <w:jc w:val="center"/>
                        <w:rPr>
                          <w:b/>
                          <w:sz w:val="24"/>
                        </w:rPr>
                      </w:pPr>
                      <w:r>
                        <w:rPr>
                          <w:b/>
                          <w:sz w:val="24"/>
                        </w:rPr>
                        <w:t>Emplois</w:t>
                      </w:r>
                    </w:p>
                  </w:txbxContent>
                </v:textbox>
              </v:shape>
            </w:pict>
          </mc:Fallback>
        </mc:AlternateContent>
      </w:r>
    </w:p>
    <w:p w14:paraId="4D6C26E0" w14:textId="7B16B0C4" w:rsidR="00A51C82" w:rsidRPr="00A13130" w:rsidRDefault="00A51C82" w:rsidP="00A13130">
      <w:pPr>
        <w:pStyle w:val="Titre2"/>
      </w:pPr>
      <w:bookmarkStart w:id="86" w:name="_Toc406757045"/>
      <w:bookmarkStart w:id="87" w:name="_Toc46917070"/>
      <w:bookmarkStart w:id="88" w:name="_Toc63352141"/>
      <w:r w:rsidRPr="00A13130">
        <w:lastRenderedPageBreak/>
        <w:t>Coûts du programme</w:t>
      </w:r>
      <w:bookmarkEnd w:id="86"/>
      <w:bookmarkEnd w:id="87"/>
      <w:bookmarkEnd w:id="88"/>
    </w:p>
    <w:p w14:paraId="491C35D8" w14:textId="77777777" w:rsidR="00FC7387" w:rsidRDefault="00FC7387" w:rsidP="004C4CA3">
      <w:pPr>
        <w:spacing w:after="200"/>
        <w:jc w:val="both"/>
        <w:rPr>
          <w:szCs w:val="20"/>
        </w:rPr>
      </w:pPr>
    </w:p>
    <w:p w14:paraId="7F0E7854" w14:textId="77777777" w:rsidR="00A00B1F" w:rsidRDefault="00A51C82" w:rsidP="004C4CA3">
      <w:pPr>
        <w:spacing w:after="200"/>
        <w:jc w:val="both"/>
        <w:rPr>
          <w:szCs w:val="20"/>
        </w:rPr>
      </w:pPr>
      <w:r w:rsidRPr="00A51C82">
        <w:rPr>
          <w:szCs w:val="20"/>
        </w:rPr>
        <w:t>Pour les besoins du calcul économique, l’étude socio-économique a été centrée sur les dépenses d’investissement et de fonctionnement liées à la réalisation et à l’exploitation du réseau.</w:t>
      </w:r>
    </w:p>
    <w:p w14:paraId="73E376FA" w14:textId="362FE901" w:rsidR="00A51C82" w:rsidRPr="00A51C82" w:rsidRDefault="00A51C82" w:rsidP="00412C10">
      <w:pPr>
        <w:pStyle w:val="Titre3"/>
        <w:numPr>
          <w:ilvl w:val="3"/>
          <w:numId w:val="33"/>
        </w:numPr>
      </w:pPr>
      <w:bookmarkStart w:id="89" w:name="_Toc48903217"/>
      <w:bookmarkStart w:id="90" w:name="_Toc48904202"/>
      <w:bookmarkStart w:id="91" w:name="_Toc48907179"/>
      <w:bookmarkStart w:id="92" w:name="_Toc48907547"/>
      <w:bookmarkStart w:id="93" w:name="_Toc46917071"/>
      <w:bookmarkStart w:id="94" w:name="_Toc63352142"/>
      <w:bookmarkStart w:id="95" w:name="_Toc406757046"/>
      <w:bookmarkEnd w:id="89"/>
      <w:bookmarkEnd w:id="90"/>
      <w:bookmarkEnd w:id="91"/>
      <w:bookmarkEnd w:id="92"/>
      <w:r w:rsidRPr="00A51C82">
        <w:t>Coûts d’investissement</w:t>
      </w:r>
      <w:bookmarkEnd w:id="93"/>
      <w:bookmarkEnd w:id="94"/>
    </w:p>
    <w:bookmarkEnd w:id="95"/>
    <w:p w14:paraId="7858388C" w14:textId="77777777" w:rsidR="00786D0B" w:rsidRDefault="00786D0B" w:rsidP="004C4CA3">
      <w:pPr>
        <w:spacing w:after="200"/>
        <w:jc w:val="both"/>
        <w:rPr>
          <w:szCs w:val="20"/>
        </w:rPr>
      </w:pPr>
    </w:p>
    <w:p w14:paraId="1747D181" w14:textId="68F0BA66" w:rsidR="00A51C82" w:rsidRDefault="003A3F00" w:rsidP="004C4CA3">
      <w:pPr>
        <w:jc w:val="both"/>
        <w:rPr>
          <w:b/>
          <w:szCs w:val="20"/>
        </w:rPr>
      </w:pPr>
      <w:r>
        <w:rPr>
          <w:b/>
          <w:szCs w:val="20"/>
        </w:rPr>
        <w:t>L</w:t>
      </w:r>
      <w:r w:rsidR="00A51C82" w:rsidRPr="00A51C82">
        <w:rPr>
          <w:b/>
          <w:szCs w:val="20"/>
        </w:rPr>
        <w:t xml:space="preserve">e coût </w:t>
      </w:r>
      <w:r w:rsidR="00CE5AC4">
        <w:rPr>
          <w:b/>
          <w:szCs w:val="20"/>
        </w:rPr>
        <w:t xml:space="preserve">d’investissement </w:t>
      </w:r>
      <w:r w:rsidR="00A51C82" w:rsidRPr="00A51C82">
        <w:rPr>
          <w:b/>
          <w:szCs w:val="20"/>
        </w:rPr>
        <w:t>des opérations relevant du périmètre des lignes mises en service avant 2030, sous la maîtrise d’ouvrage de la Société du Grand Paris est évalué</w:t>
      </w:r>
      <w:r w:rsidR="00A51C82" w:rsidRPr="00686864">
        <w:rPr>
          <w:b/>
          <w:szCs w:val="20"/>
        </w:rPr>
        <w:t xml:space="preserve"> à </w:t>
      </w:r>
      <w:r w:rsidR="004C4638" w:rsidRPr="00686864">
        <w:rPr>
          <w:b/>
          <w:szCs w:val="20"/>
        </w:rPr>
        <w:t>38,</w:t>
      </w:r>
      <w:r w:rsidR="001B7290">
        <w:rPr>
          <w:b/>
          <w:szCs w:val="20"/>
        </w:rPr>
        <w:t>604</w:t>
      </w:r>
      <w:r w:rsidRPr="00686864">
        <w:rPr>
          <w:b/>
          <w:szCs w:val="20"/>
        </w:rPr>
        <w:t xml:space="preserve"> milliards d’euros en valeur 2015</w:t>
      </w:r>
      <w:r w:rsidR="00A51C82" w:rsidRPr="00A51C82">
        <w:rPr>
          <w:b/>
          <w:szCs w:val="20"/>
        </w:rPr>
        <w:t>.</w:t>
      </w:r>
    </w:p>
    <w:p w14:paraId="393D0C58" w14:textId="77777777" w:rsidR="00786D0B" w:rsidRPr="00A51C82" w:rsidRDefault="00786D0B" w:rsidP="004C4CA3">
      <w:pPr>
        <w:jc w:val="both"/>
        <w:rPr>
          <w:b/>
          <w:szCs w:val="20"/>
        </w:rPr>
      </w:pPr>
    </w:p>
    <w:p w14:paraId="760F5492" w14:textId="086B087A" w:rsidR="00A51C82" w:rsidRDefault="00830DC0" w:rsidP="004C4CA3">
      <w:pPr>
        <w:jc w:val="both"/>
        <w:rPr>
          <w:szCs w:val="20"/>
        </w:rPr>
      </w:pPr>
      <w:r w:rsidRPr="00A51C82">
        <w:rPr>
          <w:szCs w:val="20"/>
        </w:rPr>
        <w:t>Ce montant</w:t>
      </w:r>
      <w:r w:rsidR="00A51C82" w:rsidRPr="00A51C82">
        <w:rPr>
          <w:szCs w:val="20"/>
        </w:rPr>
        <w:t xml:space="preserve"> se décompose comme suit :</w:t>
      </w:r>
    </w:p>
    <w:p w14:paraId="452C659E" w14:textId="77777777" w:rsidR="00786D0B" w:rsidRPr="00A51C82" w:rsidRDefault="00786D0B" w:rsidP="004C4CA3">
      <w:pPr>
        <w:jc w:val="both"/>
        <w:rPr>
          <w:szCs w:val="20"/>
        </w:rPr>
      </w:pP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6280"/>
        <w:gridCol w:w="1390"/>
        <w:gridCol w:w="1390"/>
      </w:tblGrid>
      <w:tr w:rsidR="000F43A4" w:rsidRPr="00A51C82" w14:paraId="49BB36D3" w14:textId="77777777" w:rsidTr="000F43A4">
        <w:trPr>
          <w:trHeight w:val="255"/>
          <w:jc w:val="center"/>
        </w:trPr>
        <w:tc>
          <w:tcPr>
            <w:tcW w:w="6280" w:type="dxa"/>
            <w:shd w:val="clear" w:color="auto" w:fill="931638"/>
            <w:noWrap/>
            <w:vAlign w:val="bottom"/>
          </w:tcPr>
          <w:p w14:paraId="53432C8C" w14:textId="41098CD4" w:rsidR="000F43A4" w:rsidRPr="00A51C82" w:rsidRDefault="000F43A4" w:rsidP="004C4CA3">
            <w:pPr>
              <w:jc w:val="both"/>
              <w:rPr>
                <w:rFonts w:cs="Calibri"/>
                <w:b/>
                <w:color w:val="F2DBDB"/>
                <w:szCs w:val="20"/>
                <w:lang w:eastAsia="fr-FR"/>
              </w:rPr>
            </w:pPr>
            <w:r w:rsidRPr="00A51C82">
              <w:rPr>
                <w:rFonts w:cs="Calibri"/>
                <w:b/>
                <w:color w:val="F2DBDB"/>
                <w:szCs w:val="20"/>
                <w:lang w:eastAsia="fr-FR"/>
              </w:rPr>
              <w:t xml:space="preserve">Coûts bruts en millions </w:t>
            </w:r>
          </w:p>
        </w:tc>
        <w:tc>
          <w:tcPr>
            <w:tcW w:w="1390" w:type="dxa"/>
          </w:tcPr>
          <w:p w14:paraId="140023FC" w14:textId="3D9CE27D" w:rsidR="000F43A4" w:rsidRDefault="000F43A4" w:rsidP="004C4CA3">
            <w:pPr>
              <w:jc w:val="both"/>
              <w:rPr>
                <w:rFonts w:cs="Calibri"/>
                <w:szCs w:val="20"/>
                <w:lang w:eastAsia="fr-FR"/>
              </w:rPr>
            </w:pPr>
            <w:r>
              <w:rPr>
                <w:rFonts w:cs="Calibri"/>
                <w:szCs w:val="20"/>
                <w:lang w:eastAsia="fr-FR"/>
              </w:rPr>
              <w:t>Valeur 2015</w:t>
            </w:r>
          </w:p>
        </w:tc>
        <w:tc>
          <w:tcPr>
            <w:tcW w:w="1390" w:type="dxa"/>
            <w:noWrap/>
            <w:vAlign w:val="bottom"/>
          </w:tcPr>
          <w:p w14:paraId="5310E202" w14:textId="614F7A09" w:rsidR="000F43A4" w:rsidRPr="00A51C82" w:rsidRDefault="000F43A4" w:rsidP="004C4CA3">
            <w:pPr>
              <w:jc w:val="both"/>
              <w:rPr>
                <w:rFonts w:cs="Calibri"/>
                <w:szCs w:val="20"/>
                <w:lang w:eastAsia="fr-FR"/>
              </w:rPr>
            </w:pPr>
            <w:r>
              <w:rPr>
                <w:rFonts w:cs="Calibri"/>
                <w:szCs w:val="20"/>
                <w:lang w:eastAsia="fr-FR"/>
              </w:rPr>
              <w:t>Valeur 2010</w:t>
            </w:r>
          </w:p>
        </w:tc>
      </w:tr>
      <w:tr w:rsidR="000F43A4" w:rsidRPr="00A51C82" w14:paraId="68090C12" w14:textId="77777777" w:rsidTr="000F43A4">
        <w:trPr>
          <w:trHeight w:val="20"/>
          <w:jc w:val="center"/>
        </w:trPr>
        <w:tc>
          <w:tcPr>
            <w:tcW w:w="6280" w:type="dxa"/>
            <w:noWrap/>
            <w:vAlign w:val="center"/>
          </w:tcPr>
          <w:p w14:paraId="2E331D29" w14:textId="77777777" w:rsidR="000F43A4" w:rsidRPr="00A51C82" w:rsidRDefault="000F43A4" w:rsidP="004C4CA3">
            <w:pPr>
              <w:jc w:val="both"/>
              <w:rPr>
                <w:sz w:val="22"/>
                <w:szCs w:val="22"/>
              </w:rPr>
            </w:pPr>
            <w:r w:rsidRPr="00A51C82">
              <w:rPr>
                <w:sz w:val="22"/>
                <w:szCs w:val="22"/>
              </w:rPr>
              <w:t>Infrastructures et Systèmes</w:t>
            </w:r>
          </w:p>
        </w:tc>
        <w:tc>
          <w:tcPr>
            <w:tcW w:w="1390" w:type="dxa"/>
          </w:tcPr>
          <w:p w14:paraId="66108190" w14:textId="3E72522C" w:rsidR="000F43A4" w:rsidRPr="00686864" w:rsidRDefault="003F4CD7" w:rsidP="00CE5AC4">
            <w:pPr>
              <w:jc w:val="right"/>
              <w:rPr>
                <w:b/>
                <w:bCs/>
                <w:sz w:val="22"/>
                <w:szCs w:val="22"/>
              </w:rPr>
            </w:pPr>
            <w:r w:rsidRPr="00686864">
              <w:rPr>
                <w:b/>
                <w:bCs/>
                <w:sz w:val="22"/>
                <w:szCs w:val="22"/>
              </w:rPr>
              <w:t>30 0</w:t>
            </w:r>
            <w:r w:rsidR="001B7290">
              <w:rPr>
                <w:b/>
                <w:bCs/>
                <w:sz w:val="22"/>
                <w:szCs w:val="22"/>
              </w:rPr>
              <w:t>71</w:t>
            </w:r>
          </w:p>
        </w:tc>
        <w:tc>
          <w:tcPr>
            <w:tcW w:w="1390" w:type="dxa"/>
            <w:noWrap/>
            <w:vAlign w:val="center"/>
          </w:tcPr>
          <w:p w14:paraId="79F285EF" w14:textId="2528F15E" w:rsidR="000F43A4" w:rsidRPr="00A51C82" w:rsidRDefault="000F43A4" w:rsidP="00CE5AC4">
            <w:pPr>
              <w:jc w:val="right"/>
              <w:rPr>
                <w:b/>
                <w:bCs/>
                <w:sz w:val="22"/>
                <w:szCs w:val="22"/>
              </w:rPr>
            </w:pPr>
            <w:r w:rsidRPr="00A51C82">
              <w:rPr>
                <w:b/>
                <w:bCs/>
                <w:sz w:val="22"/>
                <w:szCs w:val="22"/>
              </w:rPr>
              <w:t>2</w:t>
            </w:r>
            <w:r w:rsidR="0080135A">
              <w:rPr>
                <w:b/>
                <w:bCs/>
                <w:sz w:val="22"/>
                <w:szCs w:val="22"/>
              </w:rPr>
              <w:t>7</w:t>
            </w:r>
            <w:r w:rsidRPr="00A51C82">
              <w:rPr>
                <w:b/>
                <w:bCs/>
                <w:sz w:val="22"/>
                <w:szCs w:val="22"/>
              </w:rPr>
              <w:t xml:space="preserve"> </w:t>
            </w:r>
            <w:r w:rsidR="0080135A">
              <w:rPr>
                <w:b/>
                <w:bCs/>
                <w:sz w:val="22"/>
                <w:szCs w:val="22"/>
              </w:rPr>
              <w:t>85</w:t>
            </w:r>
            <w:r w:rsidRPr="00A51C82">
              <w:rPr>
                <w:b/>
                <w:bCs/>
                <w:sz w:val="22"/>
                <w:szCs w:val="22"/>
              </w:rPr>
              <w:t>6</w:t>
            </w:r>
          </w:p>
        </w:tc>
      </w:tr>
      <w:tr w:rsidR="000F43A4" w:rsidRPr="00A51C82" w14:paraId="76EA661B" w14:textId="77777777" w:rsidTr="000F43A4">
        <w:trPr>
          <w:trHeight w:val="20"/>
          <w:jc w:val="center"/>
        </w:trPr>
        <w:tc>
          <w:tcPr>
            <w:tcW w:w="6280" w:type="dxa"/>
            <w:noWrap/>
            <w:vAlign w:val="center"/>
          </w:tcPr>
          <w:p w14:paraId="3E20FE42" w14:textId="77777777" w:rsidR="000F43A4" w:rsidRPr="00A51C82" w:rsidRDefault="000F43A4" w:rsidP="004C4CA3">
            <w:pPr>
              <w:jc w:val="both"/>
              <w:rPr>
                <w:sz w:val="22"/>
                <w:szCs w:val="22"/>
              </w:rPr>
            </w:pPr>
            <w:r w:rsidRPr="00A51C82">
              <w:rPr>
                <w:sz w:val="22"/>
                <w:szCs w:val="22"/>
              </w:rPr>
              <w:t>Matériel roulant</w:t>
            </w:r>
          </w:p>
        </w:tc>
        <w:tc>
          <w:tcPr>
            <w:tcW w:w="1390" w:type="dxa"/>
          </w:tcPr>
          <w:p w14:paraId="289B94FB" w14:textId="1E613AD1" w:rsidR="000F43A4" w:rsidRPr="00686864" w:rsidRDefault="003F4CD7" w:rsidP="00CE5AC4">
            <w:pPr>
              <w:jc w:val="right"/>
              <w:rPr>
                <w:b/>
                <w:bCs/>
                <w:sz w:val="22"/>
                <w:szCs w:val="22"/>
              </w:rPr>
            </w:pPr>
            <w:r w:rsidRPr="00686864">
              <w:rPr>
                <w:b/>
                <w:bCs/>
                <w:sz w:val="22"/>
                <w:szCs w:val="22"/>
              </w:rPr>
              <w:t xml:space="preserve">2 </w:t>
            </w:r>
            <w:r w:rsidR="001B7290">
              <w:rPr>
                <w:b/>
                <w:bCs/>
                <w:sz w:val="22"/>
                <w:szCs w:val="22"/>
              </w:rPr>
              <w:t>125</w:t>
            </w:r>
          </w:p>
        </w:tc>
        <w:tc>
          <w:tcPr>
            <w:tcW w:w="1390" w:type="dxa"/>
            <w:noWrap/>
            <w:vAlign w:val="center"/>
          </w:tcPr>
          <w:p w14:paraId="12C6FD26" w14:textId="2446841C" w:rsidR="000F43A4" w:rsidRPr="00A51C82" w:rsidRDefault="000F43A4" w:rsidP="00CE5AC4">
            <w:pPr>
              <w:jc w:val="right"/>
              <w:rPr>
                <w:b/>
                <w:bCs/>
                <w:sz w:val="22"/>
                <w:szCs w:val="22"/>
              </w:rPr>
            </w:pPr>
            <w:r w:rsidRPr="00A51C82">
              <w:rPr>
                <w:b/>
                <w:bCs/>
                <w:sz w:val="22"/>
                <w:szCs w:val="22"/>
              </w:rPr>
              <w:t>1 9</w:t>
            </w:r>
            <w:r w:rsidR="0080135A">
              <w:rPr>
                <w:b/>
                <w:bCs/>
                <w:sz w:val="22"/>
                <w:szCs w:val="22"/>
              </w:rPr>
              <w:t>3</w:t>
            </w:r>
            <w:r w:rsidRPr="00A51C82">
              <w:rPr>
                <w:b/>
                <w:bCs/>
                <w:sz w:val="22"/>
                <w:szCs w:val="22"/>
              </w:rPr>
              <w:t>6</w:t>
            </w:r>
          </w:p>
        </w:tc>
      </w:tr>
      <w:tr w:rsidR="000F43A4" w:rsidRPr="00A51C82" w14:paraId="340CA37D" w14:textId="77777777" w:rsidTr="000F43A4">
        <w:trPr>
          <w:trHeight w:val="20"/>
          <w:jc w:val="center"/>
        </w:trPr>
        <w:tc>
          <w:tcPr>
            <w:tcW w:w="6280" w:type="dxa"/>
            <w:noWrap/>
            <w:vAlign w:val="center"/>
          </w:tcPr>
          <w:p w14:paraId="195C08B5" w14:textId="77777777" w:rsidR="000F43A4" w:rsidRPr="00A51C82" w:rsidRDefault="000F43A4" w:rsidP="004C4CA3">
            <w:pPr>
              <w:jc w:val="both"/>
              <w:rPr>
                <w:sz w:val="22"/>
                <w:szCs w:val="22"/>
              </w:rPr>
            </w:pPr>
            <w:r w:rsidRPr="00A51C82">
              <w:rPr>
                <w:sz w:val="22"/>
                <w:szCs w:val="22"/>
              </w:rPr>
              <w:t xml:space="preserve">Acquisitions Foncières </w:t>
            </w:r>
          </w:p>
        </w:tc>
        <w:tc>
          <w:tcPr>
            <w:tcW w:w="1390" w:type="dxa"/>
          </w:tcPr>
          <w:p w14:paraId="23F6CCAC" w14:textId="417EC1FB" w:rsidR="000F43A4" w:rsidRPr="00686864" w:rsidRDefault="001B7290" w:rsidP="00CE5AC4">
            <w:pPr>
              <w:jc w:val="right"/>
              <w:rPr>
                <w:b/>
                <w:bCs/>
                <w:sz w:val="22"/>
                <w:szCs w:val="22"/>
              </w:rPr>
            </w:pPr>
            <w:r>
              <w:rPr>
                <w:b/>
                <w:bCs/>
                <w:sz w:val="22"/>
                <w:szCs w:val="22"/>
              </w:rPr>
              <w:t>2 104</w:t>
            </w:r>
          </w:p>
        </w:tc>
        <w:tc>
          <w:tcPr>
            <w:tcW w:w="1390" w:type="dxa"/>
            <w:noWrap/>
            <w:vAlign w:val="center"/>
          </w:tcPr>
          <w:p w14:paraId="7AC6B4A2" w14:textId="575D2716" w:rsidR="000F43A4" w:rsidRPr="00A51C82" w:rsidRDefault="000F43A4" w:rsidP="00CE5AC4">
            <w:pPr>
              <w:jc w:val="right"/>
              <w:rPr>
                <w:b/>
                <w:bCs/>
                <w:sz w:val="22"/>
                <w:szCs w:val="22"/>
              </w:rPr>
            </w:pPr>
            <w:r w:rsidRPr="00A51C82">
              <w:rPr>
                <w:b/>
                <w:bCs/>
                <w:sz w:val="22"/>
                <w:szCs w:val="22"/>
              </w:rPr>
              <w:t xml:space="preserve">1 </w:t>
            </w:r>
            <w:r w:rsidR="0080135A">
              <w:rPr>
                <w:b/>
                <w:bCs/>
                <w:sz w:val="22"/>
                <w:szCs w:val="22"/>
              </w:rPr>
              <w:t>99</w:t>
            </w:r>
            <w:r w:rsidRPr="00A51C82">
              <w:rPr>
                <w:b/>
                <w:bCs/>
                <w:sz w:val="22"/>
                <w:szCs w:val="22"/>
              </w:rPr>
              <w:t>2</w:t>
            </w:r>
          </w:p>
        </w:tc>
      </w:tr>
      <w:tr w:rsidR="000F43A4" w:rsidRPr="00A51C82" w14:paraId="740AB22C" w14:textId="77777777" w:rsidTr="000F43A4">
        <w:trPr>
          <w:trHeight w:val="20"/>
          <w:jc w:val="center"/>
        </w:trPr>
        <w:tc>
          <w:tcPr>
            <w:tcW w:w="6280" w:type="dxa"/>
            <w:noWrap/>
            <w:vAlign w:val="center"/>
          </w:tcPr>
          <w:p w14:paraId="63E8B6F8" w14:textId="77777777" w:rsidR="000F43A4" w:rsidRPr="00A51C82" w:rsidRDefault="000F43A4" w:rsidP="004C4CA3">
            <w:pPr>
              <w:jc w:val="both"/>
              <w:rPr>
                <w:sz w:val="22"/>
                <w:szCs w:val="22"/>
              </w:rPr>
            </w:pPr>
            <w:r w:rsidRPr="00A51C82">
              <w:rPr>
                <w:sz w:val="22"/>
                <w:szCs w:val="22"/>
              </w:rPr>
              <w:t xml:space="preserve">PAI </w:t>
            </w:r>
          </w:p>
        </w:tc>
        <w:tc>
          <w:tcPr>
            <w:tcW w:w="1390" w:type="dxa"/>
          </w:tcPr>
          <w:p w14:paraId="5840D976" w14:textId="797CE272" w:rsidR="000F43A4" w:rsidRPr="00686864" w:rsidRDefault="003F4CD7" w:rsidP="00CE5AC4">
            <w:pPr>
              <w:jc w:val="right"/>
              <w:rPr>
                <w:b/>
                <w:bCs/>
                <w:sz w:val="22"/>
                <w:szCs w:val="22"/>
              </w:rPr>
            </w:pPr>
            <w:r w:rsidRPr="00686864">
              <w:rPr>
                <w:b/>
                <w:bCs/>
                <w:sz w:val="22"/>
                <w:szCs w:val="22"/>
              </w:rPr>
              <w:t>2 26</w:t>
            </w:r>
            <w:r w:rsidR="001B7290">
              <w:rPr>
                <w:b/>
                <w:bCs/>
                <w:sz w:val="22"/>
                <w:szCs w:val="22"/>
              </w:rPr>
              <w:t>6</w:t>
            </w:r>
          </w:p>
        </w:tc>
        <w:tc>
          <w:tcPr>
            <w:tcW w:w="1390" w:type="dxa"/>
            <w:noWrap/>
            <w:vAlign w:val="center"/>
          </w:tcPr>
          <w:p w14:paraId="71C029A6" w14:textId="3A0BED4B" w:rsidR="000F43A4" w:rsidRPr="00A51C82" w:rsidRDefault="000F43A4" w:rsidP="00CE5AC4">
            <w:pPr>
              <w:jc w:val="right"/>
              <w:rPr>
                <w:b/>
                <w:bCs/>
                <w:sz w:val="22"/>
                <w:szCs w:val="22"/>
              </w:rPr>
            </w:pPr>
            <w:r w:rsidRPr="00A51C82">
              <w:rPr>
                <w:b/>
                <w:bCs/>
                <w:sz w:val="22"/>
                <w:szCs w:val="22"/>
              </w:rPr>
              <w:t>2 0</w:t>
            </w:r>
            <w:r w:rsidR="0080135A">
              <w:rPr>
                <w:b/>
                <w:bCs/>
                <w:sz w:val="22"/>
                <w:szCs w:val="22"/>
              </w:rPr>
              <w:t>98</w:t>
            </w:r>
          </w:p>
        </w:tc>
      </w:tr>
      <w:tr w:rsidR="000F43A4" w:rsidRPr="00A51C82" w14:paraId="02371C97" w14:textId="77777777" w:rsidTr="000F43A4">
        <w:trPr>
          <w:trHeight w:val="20"/>
          <w:jc w:val="center"/>
        </w:trPr>
        <w:tc>
          <w:tcPr>
            <w:tcW w:w="6280" w:type="dxa"/>
            <w:noWrap/>
            <w:vAlign w:val="center"/>
          </w:tcPr>
          <w:p w14:paraId="59623F57" w14:textId="77777777" w:rsidR="000F43A4" w:rsidRPr="00A51C82" w:rsidRDefault="000F43A4" w:rsidP="004C4CA3">
            <w:pPr>
              <w:jc w:val="both"/>
              <w:rPr>
                <w:sz w:val="22"/>
                <w:szCs w:val="22"/>
              </w:rPr>
            </w:pPr>
            <w:r w:rsidRPr="00A51C82">
              <w:rPr>
                <w:sz w:val="22"/>
                <w:szCs w:val="22"/>
              </w:rPr>
              <w:t>VMI</w:t>
            </w:r>
          </w:p>
        </w:tc>
        <w:tc>
          <w:tcPr>
            <w:tcW w:w="1390" w:type="dxa"/>
          </w:tcPr>
          <w:p w14:paraId="13548EFA" w14:textId="1DEEE61D" w:rsidR="000F43A4" w:rsidRPr="00686864" w:rsidRDefault="003F4CD7" w:rsidP="00CE5AC4">
            <w:pPr>
              <w:jc w:val="right"/>
              <w:rPr>
                <w:b/>
                <w:bCs/>
                <w:sz w:val="22"/>
                <w:szCs w:val="22"/>
              </w:rPr>
            </w:pPr>
            <w:r w:rsidRPr="00686864">
              <w:rPr>
                <w:b/>
                <w:bCs/>
                <w:sz w:val="22"/>
                <w:szCs w:val="22"/>
              </w:rPr>
              <w:t>3</w:t>
            </w:r>
            <w:r w:rsidR="001B7290">
              <w:rPr>
                <w:b/>
                <w:bCs/>
                <w:sz w:val="22"/>
                <w:szCs w:val="22"/>
              </w:rPr>
              <w:t>71</w:t>
            </w:r>
          </w:p>
        </w:tc>
        <w:tc>
          <w:tcPr>
            <w:tcW w:w="1390" w:type="dxa"/>
            <w:noWrap/>
            <w:vAlign w:val="center"/>
          </w:tcPr>
          <w:p w14:paraId="2924C21A" w14:textId="171D9D52" w:rsidR="000F43A4" w:rsidRPr="00A51C82" w:rsidRDefault="000F43A4" w:rsidP="00CE5AC4">
            <w:pPr>
              <w:jc w:val="right"/>
              <w:rPr>
                <w:b/>
                <w:bCs/>
                <w:sz w:val="22"/>
                <w:szCs w:val="22"/>
              </w:rPr>
            </w:pPr>
            <w:r w:rsidRPr="00A51C82">
              <w:rPr>
                <w:b/>
                <w:bCs/>
                <w:sz w:val="22"/>
                <w:szCs w:val="22"/>
              </w:rPr>
              <w:t>3</w:t>
            </w:r>
            <w:r w:rsidR="0080135A">
              <w:rPr>
                <w:b/>
                <w:bCs/>
                <w:sz w:val="22"/>
                <w:szCs w:val="22"/>
              </w:rPr>
              <w:t>38</w:t>
            </w:r>
          </w:p>
        </w:tc>
      </w:tr>
      <w:tr w:rsidR="000F43A4" w:rsidRPr="00A51C82" w14:paraId="3A017B5F" w14:textId="77777777" w:rsidTr="000F43A4">
        <w:trPr>
          <w:trHeight w:val="20"/>
          <w:jc w:val="center"/>
        </w:trPr>
        <w:tc>
          <w:tcPr>
            <w:tcW w:w="6280" w:type="dxa"/>
            <w:noWrap/>
            <w:vAlign w:val="center"/>
          </w:tcPr>
          <w:p w14:paraId="175088BA" w14:textId="77777777" w:rsidR="000F43A4" w:rsidRPr="00A51C82" w:rsidRDefault="000F43A4" w:rsidP="004C4CA3">
            <w:pPr>
              <w:jc w:val="both"/>
              <w:rPr>
                <w:sz w:val="22"/>
                <w:szCs w:val="22"/>
              </w:rPr>
            </w:pPr>
            <w:r w:rsidRPr="00A51C82">
              <w:rPr>
                <w:sz w:val="22"/>
                <w:szCs w:val="22"/>
              </w:rPr>
              <w:t xml:space="preserve">Frais de structure </w:t>
            </w:r>
          </w:p>
        </w:tc>
        <w:tc>
          <w:tcPr>
            <w:tcW w:w="1390" w:type="dxa"/>
          </w:tcPr>
          <w:p w14:paraId="7A2BBC43" w14:textId="37CC269E" w:rsidR="000F43A4" w:rsidRPr="00686864" w:rsidRDefault="003F4CD7" w:rsidP="00CE5AC4">
            <w:pPr>
              <w:jc w:val="right"/>
              <w:rPr>
                <w:b/>
                <w:bCs/>
                <w:sz w:val="22"/>
                <w:szCs w:val="22"/>
              </w:rPr>
            </w:pPr>
            <w:r w:rsidRPr="00686864">
              <w:rPr>
                <w:b/>
                <w:bCs/>
                <w:sz w:val="22"/>
                <w:szCs w:val="22"/>
              </w:rPr>
              <w:t xml:space="preserve">1 </w:t>
            </w:r>
            <w:r w:rsidR="001B7290">
              <w:rPr>
                <w:b/>
                <w:bCs/>
                <w:sz w:val="22"/>
                <w:szCs w:val="22"/>
              </w:rPr>
              <w:t>664</w:t>
            </w:r>
          </w:p>
        </w:tc>
        <w:tc>
          <w:tcPr>
            <w:tcW w:w="1390" w:type="dxa"/>
            <w:noWrap/>
            <w:vAlign w:val="center"/>
          </w:tcPr>
          <w:p w14:paraId="079A0013" w14:textId="4B7262B5" w:rsidR="000F43A4" w:rsidRPr="00A51C82" w:rsidRDefault="000F43A4" w:rsidP="00CE5AC4">
            <w:pPr>
              <w:jc w:val="right"/>
              <w:rPr>
                <w:b/>
                <w:bCs/>
                <w:sz w:val="22"/>
                <w:szCs w:val="22"/>
              </w:rPr>
            </w:pPr>
            <w:r w:rsidRPr="00A51C82">
              <w:rPr>
                <w:b/>
                <w:bCs/>
                <w:sz w:val="22"/>
                <w:szCs w:val="22"/>
              </w:rPr>
              <w:t xml:space="preserve">1 </w:t>
            </w:r>
            <w:r w:rsidR="0080135A">
              <w:rPr>
                <w:b/>
                <w:bCs/>
                <w:sz w:val="22"/>
                <w:szCs w:val="22"/>
              </w:rPr>
              <w:t>578</w:t>
            </w:r>
          </w:p>
        </w:tc>
      </w:tr>
      <w:tr w:rsidR="000F43A4" w:rsidRPr="00A51C82" w14:paraId="0128A379" w14:textId="77777777" w:rsidTr="000F43A4">
        <w:trPr>
          <w:trHeight w:val="20"/>
          <w:jc w:val="center"/>
        </w:trPr>
        <w:tc>
          <w:tcPr>
            <w:tcW w:w="6280" w:type="dxa"/>
            <w:noWrap/>
            <w:vAlign w:val="center"/>
          </w:tcPr>
          <w:p w14:paraId="65E6B444" w14:textId="77777777" w:rsidR="000F43A4" w:rsidRPr="00A51C82" w:rsidRDefault="000F43A4" w:rsidP="004C4CA3">
            <w:pPr>
              <w:jc w:val="both"/>
              <w:rPr>
                <w:b/>
                <w:sz w:val="22"/>
                <w:szCs w:val="22"/>
              </w:rPr>
            </w:pPr>
            <w:r w:rsidRPr="00A51C82">
              <w:rPr>
                <w:b/>
                <w:sz w:val="22"/>
                <w:szCs w:val="22"/>
              </w:rPr>
              <w:t xml:space="preserve">Total </w:t>
            </w:r>
          </w:p>
        </w:tc>
        <w:tc>
          <w:tcPr>
            <w:tcW w:w="1390" w:type="dxa"/>
          </w:tcPr>
          <w:p w14:paraId="56E87236" w14:textId="41501E47" w:rsidR="000F43A4" w:rsidRPr="00686864" w:rsidRDefault="003F4CD7" w:rsidP="00CE5AC4">
            <w:pPr>
              <w:jc w:val="right"/>
              <w:rPr>
                <w:b/>
                <w:bCs/>
                <w:sz w:val="22"/>
                <w:szCs w:val="22"/>
              </w:rPr>
            </w:pPr>
            <w:r w:rsidRPr="00686864">
              <w:rPr>
                <w:b/>
                <w:bCs/>
                <w:sz w:val="22"/>
                <w:szCs w:val="22"/>
              </w:rPr>
              <w:t xml:space="preserve">38 </w:t>
            </w:r>
            <w:r w:rsidR="001B7290">
              <w:rPr>
                <w:b/>
                <w:bCs/>
                <w:sz w:val="22"/>
                <w:szCs w:val="22"/>
              </w:rPr>
              <w:t>6</w:t>
            </w:r>
            <w:r w:rsidRPr="00686864">
              <w:rPr>
                <w:b/>
                <w:bCs/>
                <w:sz w:val="22"/>
                <w:szCs w:val="22"/>
              </w:rPr>
              <w:t>04</w:t>
            </w:r>
          </w:p>
        </w:tc>
        <w:tc>
          <w:tcPr>
            <w:tcW w:w="1390" w:type="dxa"/>
            <w:noWrap/>
            <w:vAlign w:val="center"/>
          </w:tcPr>
          <w:p w14:paraId="5E9E7CDA" w14:textId="1C26797F" w:rsidR="000F43A4" w:rsidRPr="00A51C82" w:rsidRDefault="000F43A4" w:rsidP="00CE5AC4">
            <w:pPr>
              <w:jc w:val="right"/>
              <w:rPr>
                <w:b/>
                <w:bCs/>
                <w:sz w:val="22"/>
                <w:szCs w:val="22"/>
              </w:rPr>
            </w:pPr>
            <w:r w:rsidRPr="00A51C82">
              <w:rPr>
                <w:b/>
                <w:bCs/>
                <w:sz w:val="22"/>
                <w:szCs w:val="22"/>
              </w:rPr>
              <w:t>3</w:t>
            </w:r>
            <w:r w:rsidR="0080135A">
              <w:rPr>
                <w:b/>
                <w:bCs/>
                <w:sz w:val="22"/>
                <w:szCs w:val="22"/>
              </w:rPr>
              <w:t>5</w:t>
            </w:r>
            <w:r w:rsidRPr="00A51C82">
              <w:rPr>
                <w:b/>
                <w:bCs/>
                <w:sz w:val="22"/>
                <w:szCs w:val="22"/>
              </w:rPr>
              <w:t xml:space="preserve"> </w:t>
            </w:r>
            <w:r w:rsidR="0080135A">
              <w:rPr>
                <w:b/>
                <w:bCs/>
                <w:sz w:val="22"/>
                <w:szCs w:val="22"/>
              </w:rPr>
              <w:t>802</w:t>
            </w:r>
          </w:p>
        </w:tc>
      </w:tr>
    </w:tbl>
    <w:p w14:paraId="0F13F821" w14:textId="77777777" w:rsidR="00A51C82" w:rsidRPr="00A51C82" w:rsidRDefault="00A51C82" w:rsidP="00225D2D">
      <w:pPr>
        <w:keepNext/>
        <w:ind w:left="357"/>
        <w:jc w:val="both"/>
        <w:rPr>
          <w:rFonts w:eastAsia="Times New Roman"/>
          <w:bCs/>
          <w:color w:val="414B46"/>
          <w:szCs w:val="20"/>
        </w:rPr>
      </w:pPr>
    </w:p>
    <w:p w14:paraId="0C22D30C" w14:textId="77777777" w:rsidR="001B01BA" w:rsidRDefault="00A51C82" w:rsidP="004C4CA3">
      <w:pPr>
        <w:jc w:val="both"/>
      </w:pPr>
      <w:bookmarkStart w:id="96" w:name="_Toc14077974"/>
      <w:r w:rsidRPr="00A51C82">
        <w:t>Les provisions se répartissent en deux catégories :</w:t>
      </w:r>
    </w:p>
    <w:p w14:paraId="2F073629" w14:textId="77777777" w:rsidR="00A51C82" w:rsidRPr="00A51C82" w:rsidRDefault="00A51C82" w:rsidP="004C4CA3">
      <w:pPr>
        <w:jc w:val="both"/>
      </w:pPr>
      <w:r w:rsidRPr="00A51C82">
        <w:t xml:space="preserve"> </w:t>
      </w:r>
    </w:p>
    <w:p w14:paraId="42B586F8" w14:textId="77777777" w:rsidR="00A51C82" w:rsidRPr="00A51C82" w:rsidRDefault="00A51C82" w:rsidP="004C4CA3">
      <w:pPr>
        <w:jc w:val="both"/>
      </w:pPr>
      <w:r w:rsidRPr="00A51C82">
        <w:t xml:space="preserve">- PRI : provisions pour risques identifiés, intégrées dans les coûts de chaque ligne, le montant des PRI évolue en fonction de l'avancement des travaux. </w:t>
      </w:r>
    </w:p>
    <w:p w14:paraId="49079F8A" w14:textId="4EB6FC18" w:rsidR="00A51C82" w:rsidRPr="00A51C82" w:rsidRDefault="00A51C82" w:rsidP="004C4CA3">
      <w:pPr>
        <w:jc w:val="both"/>
      </w:pPr>
      <w:r w:rsidRPr="00A51C82">
        <w:t>- PAI : provisions pour aléas et imprévus. Le montant total des PAI s'élève à 2,</w:t>
      </w:r>
      <w:r w:rsidR="001B7290">
        <w:t>2</w:t>
      </w:r>
      <w:r w:rsidRPr="00A51C82">
        <w:t xml:space="preserve"> mds € CE 201</w:t>
      </w:r>
      <w:r w:rsidR="001B7290">
        <w:t xml:space="preserve">5 </w:t>
      </w:r>
      <w:r w:rsidRPr="00A51C82">
        <w:t xml:space="preserve">pour l'ensemble du périmètre du GPE. Une quote-part des provisions est affectée à chaque ligne au prorata de l'avancement des dépenses. </w:t>
      </w:r>
    </w:p>
    <w:p w14:paraId="44803F35" w14:textId="77777777" w:rsidR="001B01BA" w:rsidRDefault="001B01BA" w:rsidP="004C4CA3">
      <w:pPr>
        <w:jc w:val="both"/>
      </w:pPr>
    </w:p>
    <w:p w14:paraId="0705B870" w14:textId="4B488556" w:rsidR="00A51C82" w:rsidRDefault="00A51C82" w:rsidP="004C4CA3">
      <w:pPr>
        <w:jc w:val="both"/>
      </w:pPr>
      <w:r w:rsidRPr="00A51C82">
        <w:t xml:space="preserve">En moyenne, les provisions (PRI et PAI) représentent environ 20% des coûts du projet (hors acquisitions foncières et matériel roulant). </w:t>
      </w:r>
    </w:p>
    <w:p w14:paraId="38301666" w14:textId="27D81EF3" w:rsidR="00062701" w:rsidRDefault="00062701" w:rsidP="004C4CA3">
      <w:pPr>
        <w:jc w:val="both"/>
      </w:pPr>
    </w:p>
    <w:p w14:paraId="2928063A" w14:textId="3B1556EE" w:rsidR="00062701" w:rsidRPr="00062701" w:rsidRDefault="00062701" w:rsidP="004C4CA3">
      <w:pPr>
        <w:jc w:val="both"/>
        <w:rPr>
          <w:color w:val="00B050"/>
        </w:rPr>
      </w:pPr>
      <w:r w:rsidRPr="00062701">
        <w:rPr>
          <w:color w:val="00B050"/>
        </w:rPr>
        <w:t xml:space="preserve">Le SGPI a recommandé de porter le niveau des provisions PAI à 20% </w:t>
      </w:r>
      <w:r>
        <w:rPr>
          <w:color w:val="00B050"/>
        </w:rPr>
        <w:t xml:space="preserve">des </w:t>
      </w:r>
      <w:r w:rsidR="00C23E6B">
        <w:rPr>
          <w:color w:val="00B050"/>
        </w:rPr>
        <w:t xml:space="preserve">coûts des infrastructures et des systèmes des </w:t>
      </w:r>
      <w:r>
        <w:rPr>
          <w:color w:val="00B050"/>
        </w:rPr>
        <w:t xml:space="preserve">lignes 15 Ouest et 15 Est </w:t>
      </w:r>
      <w:r w:rsidRPr="00062701">
        <w:rPr>
          <w:color w:val="00B050"/>
        </w:rPr>
        <w:t xml:space="preserve">ce qui représenterait une augmentation de </w:t>
      </w:r>
      <w:r w:rsidR="00C23E6B">
        <w:rPr>
          <w:color w:val="00B050"/>
        </w:rPr>
        <w:t xml:space="preserve">830 millions </w:t>
      </w:r>
      <w:r w:rsidRPr="00062701">
        <w:rPr>
          <w:color w:val="00B050"/>
        </w:rPr>
        <w:t xml:space="preserve">des coûts </w:t>
      </w:r>
      <w:r w:rsidR="00C23E6B">
        <w:rPr>
          <w:color w:val="00B050"/>
        </w:rPr>
        <w:t>du Grand Paris Express</w:t>
      </w:r>
      <w:r w:rsidRPr="00062701">
        <w:rPr>
          <w:color w:val="00B050"/>
        </w:rPr>
        <w:t xml:space="preserve"> Les provisions figurant dans le présent dossier ont été établies d'une manière rigoureuse, avec des provisions déjà de l’ordre de 20% si on fait le cumul des provisions pour risques identifiés (PRI) et provisions pour aléas et imprévus ; cependant la SGP a repris cette augmentation de 20% des seul</w:t>
      </w:r>
      <w:r>
        <w:rPr>
          <w:color w:val="00B050"/>
        </w:rPr>
        <w:t>e</w:t>
      </w:r>
      <w:r w:rsidRPr="00062701">
        <w:rPr>
          <w:color w:val="00B050"/>
        </w:rPr>
        <w:t xml:space="preserve">s PAI </w:t>
      </w:r>
      <w:r>
        <w:rPr>
          <w:color w:val="00B050"/>
        </w:rPr>
        <w:t xml:space="preserve">des lignes 15 Ouest et 15 Est </w:t>
      </w:r>
      <w:r w:rsidRPr="00062701">
        <w:rPr>
          <w:color w:val="00B050"/>
        </w:rPr>
        <w:t xml:space="preserve">pour les porter à 20% </w:t>
      </w:r>
      <w:r w:rsidR="0079725D">
        <w:rPr>
          <w:color w:val="00B050"/>
        </w:rPr>
        <w:t>dans une</w:t>
      </w:r>
      <w:r w:rsidRPr="00062701">
        <w:rPr>
          <w:color w:val="00B050"/>
        </w:rPr>
        <w:t xml:space="preserve"> variante d</w:t>
      </w:r>
      <w:r w:rsidR="0079725D">
        <w:rPr>
          <w:color w:val="00B050"/>
        </w:rPr>
        <w:t>e</w:t>
      </w:r>
      <w:r w:rsidRPr="00062701">
        <w:rPr>
          <w:color w:val="00B050"/>
        </w:rPr>
        <w:t xml:space="preserve"> la présente évaluation et on peut constater (page </w:t>
      </w:r>
      <w:r w:rsidR="00195CD9">
        <w:rPr>
          <w:color w:val="00B050"/>
        </w:rPr>
        <w:t>5</w:t>
      </w:r>
      <w:r w:rsidR="00280069">
        <w:rPr>
          <w:color w:val="00B050"/>
        </w:rPr>
        <w:t>8 de cette pièce</w:t>
      </w:r>
      <w:r w:rsidRPr="00062701">
        <w:rPr>
          <w:color w:val="00B050"/>
        </w:rPr>
        <w:t>) que la rentabilité du projet n</w:t>
      </w:r>
      <w:r w:rsidR="000E7E3F">
        <w:rPr>
          <w:color w:val="00B050"/>
        </w:rPr>
        <w:t>e serait</w:t>
      </w:r>
      <w:r w:rsidRPr="00062701">
        <w:rPr>
          <w:color w:val="00B050"/>
        </w:rPr>
        <w:t xml:space="preserve"> pas significativement altérée par cette augmentation des provisions.</w:t>
      </w:r>
    </w:p>
    <w:p w14:paraId="01814E8C" w14:textId="77777777" w:rsidR="001B01BA" w:rsidRDefault="001B01BA" w:rsidP="004C4CA3">
      <w:pPr>
        <w:jc w:val="both"/>
      </w:pPr>
    </w:p>
    <w:p w14:paraId="58AF0AA1" w14:textId="1A3C6C0F" w:rsidR="00786D0B" w:rsidRDefault="00A51C82" w:rsidP="004C4CA3">
      <w:pPr>
        <w:jc w:val="both"/>
      </w:pPr>
      <w:r w:rsidRPr="00A51C82">
        <w:t>Les véhicules de maintenance de l'infrastructure (VMI), conformément au décret n°2017-400 (du 27 mars 2017), sont acquis par la SGP, en cohérence avec les besoins exprimés par la RATP, en tant que gestionnaire de l'infrastructure (GI) ; ce dernier en assure également la gestion (entretien et renouvellement).</w:t>
      </w:r>
    </w:p>
    <w:p w14:paraId="4E379E0D" w14:textId="77777777" w:rsidR="00786D0B" w:rsidRDefault="00786D0B" w:rsidP="004C4CA3">
      <w:pPr>
        <w:jc w:val="both"/>
      </w:pPr>
    </w:p>
    <w:p w14:paraId="46B73CAD" w14:textId="77777777" w:rsidR="00A51C82" w:rsidRPr="00A51C82" w:rsidRDefault="00A51C82" w:rsidP="004C4CA3">
      <w:pPr>
        <w:jc w:val="both"/>
      </w:pPr>
      <w:r w:rsidRPr="00A51C82">
        <w:t xml:space="preserve">C’est </w:t>
      </w:r>
      <w:r w:rsidR="00CE5AC4">
        <w:t xml:space="preserve">ainsi </w:t>
      </w:r>
      <w:r w:rsidRPr="00A51C82">
        <w:t xml:space="preserve">sur </w:t>
      </w:r>
      <w:r w:rsidR="00CE5AC4">
        <w:t>la</w:t>
      </w:r>
      <w:r w:rsidRPr="00A51C82">
        <w:t xml:space="preserve"> base de l’augmentation des coûts </w:t>
      </w:r>
      <w:r w:rsidR="00CE5AC4">
        <w:t xml:space="preserve">prévisionnels </w:t>
      </w:r>
      <w:r w:rsidRPr="00A51C82">
        <w:t>qu’ont été effectués les calculs de rentabilité que l’on va examiner dans la suite de ce chapitre.</w:t>
      </w:r>
      <w:bookmarkEnd w:id="96"/>
      <w:r w:rsidRPr="00A51C82">
        <w:t xml:space="preserve"> </w:t>
      </w:r>
    </w:p>
    <w:p w14:paraId="7E9F9E86" w14:textId="0DFF834B" w:rsidR="00A51C82" w:rsidRPr="00A51C82" w:rsidRDefault="00A13130" w:rsidP="00412C10">
      <w:pPr>
        <w:pStyle w:val="Titre3"/>
        <w:numPr>
          <w:ilvl w:val="3"/>
          <w:numId w:val="33"/>
        </w:numPr>
      </w:pPr>
      <w:bookmarkStart w:id="97" w:name="_Toc46917072"/>
      <w:r>
        <w:br w:type="column"/>
      </w:r>
      <w:bookmarkStart w:id="98" w:name="_Toc63352143"/>
      <w:r w:rsidR="00A51C82" w:rsidRPr="00A51C82">
        <w:t>Coûts d’exploitation</w:t>
      </w:r>
      <w:bookmarkEnd w:id="97"/>
      <w:bookmarkEnd w:id="98"/>
    </w:p>
    <w:p w14:paraId="4C91672D" w14:textId="77777777" w:rsidR="00A51C82" w:rsidRPr="00A51C82" w:rsidRDefault="00A51C82" w:rsidP="004C4CA3">
      <w:pPr>
        <w:jc w:val="both"/>
        <w:rPr>
          <w:szCs w:val="20"/>
        </w:rPr>
      </w:pPr>
    </w:p>
    <w:p w14:paraId="013003CA" w14:textId="3F4FF1C4" w:rsidR="00A51C82" w:rsidRPr="00A51C82" w:rsidRDefault="00A51C82" w:rsidP="004C4CA3">
      <w:pPr>
        <w:jc w:val="both"/>
        <w:rPr>
          <w:szCs w:val="20"/>
          <w:lang w:eastAsia="fr-FR"/>
        </w:rPr>
      </w:pPr>
      <w:r w:rsidRPr="00686864">
        <w:rPr>
          <w:b/>
          <w:bCs/>
          <w:szCs w:val="20"/>
          <w:lang w:eastAsia="fr-FR"/>
        </w:rPr>
        <w:t xml:space="preserve">Le coût d’exploitation annuel associé à l’horizon 2030 de réalisation du réseau </w:t>
      </w:r>
      <w:r w:rsidR="00171A3D" w:rsidRPr="00686864">
        <w:rPr>
          <w:b/>
          <w:bCs/>
          <w:szCs w:val="20"/>
          <w:lang w:eastAsia="fr-FR"/>
        </w:rPr>
        <w:t>est</w:t>
      </w:r>
      <w:r w:rsidRPr="00686864">
        <w:rPr>
          <w:b/>
          <w:bCs/>
          <w:szCs w:val="20"/>
          <w:lang w:eastAsia="fr-FR"/>
        </w:rPr>
        <w:t xml:space="preserve"> évalué à </w:t>
      </w:r>
      <w:r w:rsidR="00F82CAC" w:rsidRPr="00686864">
        <w:rPr>
          <w:b/>
          <w:bCs/>
          <w:szCs w:val="20"/>
          <w:lang w:eastAsia="fr-FR"/>
        </w:rPr>
        <w:t>486</w:t>
      </w:r>
      <w:r w:rsidR="00171A3D" w:rsidRPr="00686864">
        <w:rPr>
          <w:b/>
          <w:bCs/>
          <w:szCs w:val="20"/>
          <w:lang w:eastAsia="fr-FR"/>
        </w:rPr>
        <w:t xml:space="preserve"> millions d’euros </w:t>
      </w:r>
      <w:r w:rsidR="00686864" w:rsidRPr="00686864">
        <w:rPr>
          <w:b/>
          <w:bCs/>
          <w:szCs w:val="20"/>
          <w:lang w:eastAsia="fr-FR"/>
        </w:rPr>
        <w:t xml:space="preserve">en </w:t>
      </w:r>
      <w:r w:rsidR="00171A3D" w:rsidRPr="00686864">
        <w:rPr>
          <w:b/>
          <w:bCs/>
          <w:szCs w:val="20"/>
          <w:lang w:eastAsia="fr-FR"/>
        </w:rPr>
        <w:t xml:space="preserve">valeur </w:t>
      </w:r>
      <w:r w:rsidR="00A51FDF" w:rsidRPr="00686864">
        <w:rPr>
          <w:b/>
          <w:bCs/>
          <w:szCs w:val="20"/>
          <w:lang w:eastAsia="fr-FR"/>
        </w:rPr>
        <w:t>2015</w:t>
      </w:r>
      <w:r w:rsidR="00686864" w:rsidRPr="00686864">
        <w:rPr>
          <w:b/>
          <w:bCs/>
          <w:szCs w:val="20"/>
          <w:lang w:eastAsia="fr-FR"/>
        </w:rPr>
        <w:t xml:space="preserve"> (</w:t>
      </w:r>
      <w:r w:rsidR="00171A3D" w:rsidRPr="00686864">
        <w:rPr>
          <w:b/>
          <w:bCs/>
          <w:szCs w:val="20"/>
          <w:lang w:eastAsia="fr-FR"/>
        </w:rPr>
        <w:t xml:space="preserve">soit </w:t>
      </w:r>
      <w:r w:rsidRPr="00686864">
        <w:rPr>
          <w:b/>
          <w:bCs/>
          <w:szCs w:val="20"/>
          <w:lang w:eastAsia="fr-FR"/>
        </w:rPr>
        <w:t xml:space="preserve">460 millions d’euros </w:t>
      </w:r>
      <w:r w:rsidR="00686864" w:rsidRPr="00686864">
        <w:rPr>
          <w:b/>
          <w:bCs/>
          <w:szCs w:val="20"/>
          <w:lang w:eastAsia="fr-FR"/>
        </w:rPr>
        <w:t xml:space="preserve">en </w:t>
      </w:r>
      <w:r w:rsidRPr="00686864">
        <w:rPr>
          <w:b/>
          <w:bCs/>
          <w:szCs w:val="20"/>
          <w:lang w:eastAsia="fr-FR"/>
        </w:rPr>
        <w:t>valeur 2010)</w:t>
      </w:r>
      <w:r w:rsidR="00AC160C">
        <w:rPr>
          <w:b/>
          <w:bCs/>
          <w:szCs w:val="20"/>
          <w:lang w:eastAsia="fr-FR"/>
        </w:rPr>
        <w:t xml:space="preserve">, </w:t>
      </w:r>
      <w:r w:rsidR="00AC160C">
        <w:rPr>
          <w:bCs/>
          <w:szCs w:val="20"/>
          <w:lang w:eastAsia="fr-FR"/>
        </w:rPr>
        <w:t>sans compter les coûts de mise</w:t>
      </w:r>
      <w:r w:rsidRPr="00686864">
        <w:rPr>
          <w:bCs/>
          <w:szCs w:val="20"/>
          <w:lang w:eastAsia="fr-FR"/>
        </w:rPr>
        <w:t xml:space="preserve"> service ultérieure des liaisons complétant le schéma d’ensemble (sections Versailles – Nanterre et </w:t>
      </w:r>
      <w:r w:rsidRPr="00A51C82">
        <w:rPr>
          <w:bCs/>
          <w:szCs w:val="20"/>
          <w:lang w:eastAsia="fr-FR"/>
        </w:rPr>
        <w:t xml:space="preserve">Saint-Denis Pleyel – Nanterre des lignes </w:t>
      </w:r>
      <w:r w:rsidR="008E67D4" w:rsidRPr="00686864">
        <w:rPr>
          <w:bCs/>
          <w:szCs w:val="20"/>
          <w:lang w:eastAsia="fr-FR"/>
        </w:rPr>
        <w:t>18 et 16</w:t>
      </w:r>
      <w:r w:rsidRPr="00A51C82">
        <w:rPr>
          <w:bCs/>
          <w:szCs w:val="20"/>
          <w:lang w:eastAsia="fr-FR"/>
        </w:rPr>
        <w:t xml:space="preserve">) </w:t>
      </w:r>
      <w:r w:rsidR="00AC160C">
        <w:rPr>
          <w:bCs/>
          <w:szCs w:val="20"/>
          <w:lang w:eastAsia="fr-FR"/>
        </w:rPr>
        <w:t xml:space="preserve">qui ont été intégrés dans cette </w:t>
      </w:r>
      <w:r w:rsidR="00AC160C" w:rsidRPr="00A51C82">
        <w:rPr>
          <w:szCs w:val="20"/>
          <w:lang w:eastAsia="fr-FR"/>
        </w:rPr>
        <w:t xml:space="preserve">évaluation socio-économique du programme </w:t>
      </w:r>
      <w:r w:rsidRPr="00A51C82">
        <w:rPr>
          <w:szCs w:val="20"/>
          <w:lang w:eastAsia="fr-FR"/>
        </w:rPr>
        <w:t>à partir de l’année 2035</w:t>
      </w:r>
      <w:r w:rsidR="00AC160C">
        <w:rPr>
          <w:szCs w:val="20"/>
          <w:lang w:eastAsia="fr-FR"/>
        </w:rPr>
        <w:t xml:space="preserve"> pour ce qui concerne les coûts d’exploitation</w:t>
      </w:r>
      <w:r w:rsidRPr="00A51C82">
        <w:rPr>
          <w:szCs w:val="20"/>
          <w:lang w:eastAsia="fr-FR"/>
        </w:rPr>
        <w:t>.</w:t>
      </w:r>
    </w:p>
    <w:p w14:paraId="2A0E1914" w14:textId="77777777" w:rsidR="00A51C82" w:rsidRPr="00A51C82" w:rsidRDefault="00A51C82" w:rsidP="004C4CA3">
      <w:pPr>
        <w:jc w:val="both"/>
        <w:rPr>
          <w:szCs w:val="20"/>
          <w:lang w:eastAsia="fr-FR"/>
        </w:rPr>
      </w:pPr>
    </w:p>
    <w:p w14:paraId="79E4CCAF" w14:textId="5D4478ED" w:rsidR="00A51C82" w:rsidRPr="00A51C82" w:rsidRDefault="00A51C82" w:rsidP="004C4CA3">
      <w:pPr>
        <w:spacing w:after="200"/>
        <w:jc w:val="both"/>
        <w:rPr>
          <w:szCs w:val="20"/>
        </w:rPr>
      </w:pPr>
      <w:r w:rsidRPr="00A51C82">
        <w:rPr>
          <w:szCs w:val="20"/>
        </w:rPr>
        <w:t>L’évaluation socio-économique s’accompagn</w:t>
      </w:r>
      <w:r w:rsidR="00AC160C">
        <w:rPr>
          <w:szCs w:val="20"/>
        </w:rPr>
        <w:t>e</w:t>
      </w:r>
      <w:r w:rsidRPr="00A51C82">
        <w:rPr>
          <w:szCs w:val="20"/>
        </w:rPr>
        <w:t xml:space="preserve"> par ailleurs de la prise en compte des coûts de renouvellement, en s’appuyant sur la durée de vie conventionnelle des différentes catégories d’infrastructures et d’équipements réalisés</w:t>
      </w:r>
      <w:r w:rsidR="00171A3D">
        <w:rPr>
          <w:szCs w:val="20"/>
        </w:rPr>
        <w:t>.</w:t>
      </w:r>
    </w:p>
    <w:p w14:paraId="1E8F3007" w14:textId="77777777" w:rsidR="00A51C82" w:rsidRPr="00A51C82" w:rsidRDefault="00A51C82" w:rsidP="004C4CA3">
      <w:pPr>
        <w:spacing w:after="200"/>
        <w:jc w:val="both"/>
        <w:rPr>
          <w:szCs w:val="20"/>
        </w:rPr>
      </w:pPr>
    </w:p>
    <w:p w14:paraId="76322DD8" w14:textId="77777777" w:rsidR="00A51C82" w:rsidRPr="00A51C82" w:rsidRDefault="00A51C82" w:rsidP="004C4CA3">
      <w:pPr>
        <w:jc w:val="both"/>
      </w:pPr>
    </w:p>
    <w:p w14:paraId="7E15A53C" w14:textId="77777777" w:rsidR="00A51C82" w:rsidRPr="00A51C82" w:rsidRDefault="00A51C82" w:rsidP="004C4CA3">
      <w:pPr>
        <w:jc w:val="both"/>
      </w:pPr>
    </w:p>
    <w:p w14:paraId="1F70F30C" w14:textId="69A2F532" w:rsidR="00A51C82" w:rsidRPr="00A13130" w:rsidRDefault="00A51C82" w:rsidP="00A13130">
      <w:pPr>
        <w:pStyle w:val="Titre2"/>
      </w:pPr>
      <w:r w:rsidRPr="00A13130">
        <w:br w:type="page"/>
      </w:r>
      <w:bookmarkStart w:id="99" w:name="_Toc392853782"/>
      <w:bookmarkStart w:id="100" w:name="_Toc406757048"/>
      <w:bookmarkStart w:id="101" w:name="_Toc46917073"/>
      <w:bookmarkStart w:id="102" w:name="_Toc63352144"/>
      <w:r w:rsidRPr="00A13130">
        <w:lastRenderedPageBreak/>
        <w:t>Bilan quantitatif des effets socio-économiques du programme Grand Paris Express</w:t>
      </w:r>
      <w:bookmarkEnd w:id="99"/>
      <w:bookmarkEnd w:id="100"/>
      <w:bookmarkEnd w:id="101"/>
      <w:bookmarkEnd w:id="102"/>
    </w:p>
    <w:p w14:paraId="4B28DDC3" w14:textId="7A3AB44E" w:rsidR="00A51C82" w:rsidRPr="00A51C82" w:rsidRDefault="00A51C82" w:rsidP="00412C10">
      <w:pPr>
        <w:pStyle w:val="Titre3"/>
        <w:numPr>
          <w:ilvl w:val="3"/>
          <w:numId w:val="33"/>
        </w:numPr>
      </w:pPr>
      <w:bookmarkStart w:id="103" w:name="_Toc48903221"/>
      <w:bookmarkStart w:id="104" w:name="_Toc48904206"/>
      <w:bookmarkStart w:id="105" w:name="_Toc48907183"/>
      <w:bookmarkStart w:id="106" w:name="_Toc48907551"/>
      <w:bookmarkStart w:id="107" w:name="_Toc406757049"/>
      <w:bookmarkStart w:id="108" w:name="_Toc46917074"/>
      <w:bookmarkStart w:id="109" w:name="_Toc63352145"/>
      <w:bookmarkEnd w:id="103"/>
      <w:bookmarkEnd w:id="104"/>
      <w:bookmarkEnd w:id="105"/>
      <w:bookmarkEnd w:id="106"/>
      <w:r w:rsidRPr="00A51C82">
        <w:t>La méthodologie</w:t>
      </w:r>
      <w:bookmarkEnd w:id="107"/>
      <w:bookmarkEnd w:id="108"/>
      <w:bookmarkEnd w:id="109"/>
    </w:p>
    <w:p w14:paraId="79D069D6" w14:textId="77777777" w:rsidR="00B87810" w:rsidRDefault="00B87810" w:rsidP="004C4CA3">
      <w:pPr>
        <w:jc w:val="both"/>
        <w:rPr>
          <w:szCs w:val="20"/>
        </w:rPr>
      </w:pPr>
    </w:p>
    <w:p w14:paraId="4B793B71" w14:textId="38FBE04A" w:rsidR="00A51C82" w:rsidRDefault="00A51C82" w:rsidP="004C4CA3">
      <w:pPr>
        <w:jc w:val="both"/>
        <w:rPr>
          <w:szCs w:val="20"/>
        </w:rPr>
      </w:pPr>
      <w:r w:rsidRPr="00A51C82">
        <w:rPr>
          <w:szCs w:val="20"/>
        </w:rPr>
        <w:t>L’analyse de l’impact socio-économique de la réalisation du réseau Grand Paris Express s’inscrit dans les termes de l’instruction de juin 2</w:t>
      </w:r>
      <w:r w:rsidRPr="00376F7A">
        <w:rPr>
          <w:szCs w:val="20"/>
        </w:rPr>
        <w:t>014</w:t>
      </w:r>
      <w:r w:rsidR="00B97DAF" w:rsidRPr="00376F7A">
        <w:rPr>
          <w:szCs w:val="20"/>
        </w:rPr>
        <w:t>, actualisée en 2019,</w:t>
      </w:r>
      <w:r w:rsidRPr="00376F7A">
        <w:rPr>
          <w:szCs w:val="20"/>
        </w:rPr>
        <w:t xml:space="preserve"> </w:t>
      </w:r>
      <w:r w:rsidRPr="00A51C82">
        <w:rPr>
          <w:szCs w:val="20"/>
        </w:rPr>
        <w:t xml:space="preserve">relative à l’évaluation des projets de transport. L’instruction rappelle en autres que le bilan socio-économique a pour but de calculer la </w:t>
      </w:r>
      <w:r w:rsidR="00764426">
        <w:rPr>
          <w:szCs w:val="20"/>
        </w:rPr>
        <w:t>VAN,</w:t>
      </w:r>
      <w:r w:rsidRPr="00A51C82">
        <w:rPr>
          <w:szCs w:val="20"/>
        </w:rPr>
        <w:t xml:space="preserve"> valeur nette actualisée</w:t>
      </w:r>
      <w:r w:rsidR="00764426">
        <w:rPr>
          <w:szCs w:val="20"/>
        </w:rPr>
        <w:t>,</w:t>
      </w:r>
      <w:r w:rsidRPr="00A51C82">
        <w:rPr>
          <w:szCs w:val="20"/>
        </w:rPr>
        <w:t xml:space="preserve"> de l’infrastructure en agrégeant la somme actualisée de l’ensemble des coûts et des avantages monétaires ou monétarisables attendus du projet. Elle demande d’apprécier les gains d’utilité collective obtenus grâce à la réalisation de l’infrastructure projetée, comparant une ou plusieurs options de projet à une option de référence. </w:t>
      </w:r>
    </w:p>
    <w:p w14:paraId="04EA2BE8" w14:textId="77777777" w:rsidR="001B01BA" w:rsidRPr="00A51C82" w:rsidRDefault="001B01BA" w:rsidP="004C4CA3">
      <w:pPr>
        <w:jc w:val="both"/>
        <w:rPr>
          <w:szCs w:val="20"/>
        </w:rPr>
      </w:pPr>
    </w:p>
    <w:p w14:paraId="26A30C32"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b/>
        </w:rPr>
      </w:pPr>
      <w:r w:rsidRPr="00A51C82">
        <w:rPr>
          <w:b/>
        </w:rPr>
        <w:t>Le Plan de mobilisation pour les transports en commun de la région d’Île-de-France</w:t>
      </w:r>
      <w:r w:rsidRPr="00A51C82">
        <w:rPr>
          <w:b/>
          <w:vertAlign w:val="superscript"/>
        </w:rPr>
        <w:footnoteReference w:id="34"/>
      </w:r>
      <w:r w:rsidRPr="00A51C82">
        <w:rPr>
          <w:b/>
        </w:rPr>
        <w:t> :</w:t>
      </w:r>
    </w:p>
    <w:p w14:paraId="58179462"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pPr>
    </w:p>
    <w:p w14:paraId="1BA4529D"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i/>
        </w:rPr>
      </w:pPr>
      <w:r w:rsidRPr="00A51C82">
        <w:rPr>
          <w:i/>
        </w:rPr>
        <w:t>La Région d’Île-de-France, l’État, les départements et le Syndicat des transports d’Île-de-France ont convenu en 2011 d’un Plan de mobilisation historique de plus de 12 milliards d’euros comprenant notamment le prolongement du RER E à l’ouest, des prolongements de ligne de métro, la création de bus à haut niveau de service (BHNS) et de tramways, la modernisation des RER, l’amélioration du Transilien… Une grande partie de ces opérations est engagée, en cours d’enquête publique ou d’études avancées ; plusieurs d’entre elles entreront prochainement en phase de réalisation.</w:t>
      </w:r>
    </w:p>
    <w:p w14:paraId="0A0210CE"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i/>
        </w:rPr>
      </w:pPr>
    </w:p>
    <w:p w14:paraId="0C4B520E" w14:textId="1D845E4E"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i/>
        </w:rPr>
      </w:pPr>
      <w:r w:rsidRPr="00A51C82">
        <w:rPr>
          <w:i/>
        </w:rPr>
        <w:t>Les opérations concernées sont les suivantes, dans l’ordre chronologique prévisionnel de leur mise en service : Prolongement Ligne 4 à Mairie de Montrouge, Tramway T5 Saint-Denis / Garges / Sarcelles, Centre de commandement unique RER B, Modernisation du RER B Nord, Tramway T7 Villejuif / Athis-Mons (phase 1), Pôle intermodal de Pompadour (RER D), BHNS de Gonesse (mise en service progressive fin 2013), Modernisation RER B Sud (mesures d’urgence, dont quai de Denfert-Rochereau), Modernisation du RER D, Tramway T6 Châtillon / Vélizy / Viroflay (section en surface), Tramway T8 Nord Saint-Denis / Epinay, BHNS du Plateau de Saclay, Pôle-gare de Nanterre Université, Tramway T6 Châtillon / Vélizy / Viroflay (section en tunnel), Ligne 11 de Mairie des Lilas à Rosny Bois-Perrier, Prolongement du RER E à l’ouest, Tram-Train Massy – Evry, Tangentielle Ouest à Achères (phase 2), Pôle de Juvisy, Ligne 4 à Bagneux, Tramway T1 à Colombes, Tramway Paris – Orly, Modernisation du RER C, Prolongement à Versailles du Tram-Train Massy – Evry, Tangentielle Nord phase 2, Tramway Antony – Clamart, Modernisation des RER A, B sud et D (phase 2)…</w:t>
      </w:r>
    </w:p>
    <w:p w14:paraId="4097A4CC"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i/>
        </w:rPr>
      </w:pPr>
    </w:p>
    <w:p w14:paraId="149A0B6A" w14:textId="7C82ACBE"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i/>
        </w:rPr>
      </w:pPr>
      <w:r w:rsidRPr="00A51C82">
        <w:rPr>
          <w:i/>
        </w:rPr>
        <w:t xml:space="preserve">Au sein du Plan de mobilisation, plusieurs opérations sont directement liées au réseau du Grand Paris Express : le prolongement du RER E (Eole) à l’ouest, le prolongement de la ligne 11.  </w:t>
      </w:r>
    </w:p>
    <w:p w14:paraId="521732F0" w14:textId="77777777" w:rsidR="00A51C82" w:rsidRPr="00A51C82" w:rsidRDefault="00A51C82" w:rsidP="004C4CA3">
      <w:pPr>
        <w:jc w:val="both"/>
        <w:rPr>
          <w:szCs w:val="20"/>
        </w:rPr>
      </w:pPr>
    </w:p>
    <w:p w14:paraId="5F0A0285" w14:textId="17F429F5" w:rsidR="00A51C82" w:rsidRDefault="00A51C82" w:rsidP="004C4CA3">
      <w:pPr>
        <w:jc w:val="both"/>
        <w:rPr>
          <w:szCs w:val="20"/>
        </w:rPr>
      </w:pPr>
      <w:r w:rsidRPr="00A51C82">
        <w:rPr>
          <w:szCs w:val="20"/>
        </w:rPr>
        <w:t>La situation de référence retenue ici est celle du « fil de l’eau », le cas où le projet d’infrastructure Grand Paris Express ne serait pas réalisé : les améliorations de transports en commun intégrées dans ce « fil de l’eau » comprennent les investissements prévus par le Plan de mobilisation décidé par le Conseil régional d’Île-de-France et confirmé par le Gouvernement le 6 mars 2013, autres que ceux du projet du Grand Paris Express (voir encadré ci-</w:t>
      </w:r>
      <w:r w:rsidR="00CE5AC4">
        <w:rPr>
          <w:szCs w:val="20"/>
        </w:rPr>
        <w:t>dessus</w:t>
      </w:r>
      <w:r w:rsidRPr="00A51C82">
        <w:rPr>
          <w:szCs w:val="20"/>
        </w:rPr>
        <w:t xml:space="preserve">). Le cadre démographique et économique de </w:t>
      </w:r>
      <w:r w:rsidR="00791C2F">
        <w:rPr>
          <w:szCs w:val="20"/>
        </w:rPr>
        <w:t>l’</w:t>
      </w:r>
      <w:r w:rsidRPr="00A51C82">
        <w:rPr>
          <w:szCs w:val="20"/>
        </w:rPr>
        <w:t xml:space="preserve">option de référence correspond à la reconduction dans le futur des tendances constatées dans le passé, </w:t>
      </w:r>
      <w:r w:rsidR="0033634D">
        <w:rPr>
          <w:szCs w:val="20"/>
        </w:rPr>
        <w:t xml:space="preserve">avec des méthodes de </w:t>
      </w:r>
      <w:r w:rsidR="0033634D" w:rsidRPr="00A51C82">
        <w:rPr>
          <w:szCs w:val="20"/>
        </w:rPr>
        <w:t xml:space="preserve">simulations spatialisées </w:t>
      </w:r>
      <w:r w:rsidR="0033634D">
        <w:rPr>
          <w:szCs w:val="20"/>
        </w:rPr>
        <w:t xml:space="preserve">pour </w:t>
      </w:r>
      <w:r w:rsidRPr="00A51C82">
        <w:rPr>
          <w:szCs w:val="20"/>
        </w:rPr>
        <w:t xml:space="preserve">ce qui correspondrait au « toutes choses égales par ailleurs ». </w:t>
      </w:r>
    </w:p>
    <w:p w14:paraId="1E0F8049" w14:textId="77777777" w:rsidR="00CE5AC4" w:rsidRPr="00A51C82" w:rsidRDefault="00CE5AC4" w:rsidP="004C4CA3">
      <w:pPr>
        <w:jc w:val="both"/>
        <w:rPr>
          <w:szCs w:val="20"/>
        </w:rPr>
      </w:pPr>
    </w:p>
    <w:p w14:paraId="53B92D6F" w14:textId="39C73F80" w:rsidR="00791C2F" w:rsidRPr="00376F7A" w:rsidRDefault="00A51C82" w:rsidP="004C4CA3">
      <w:pPr>
        <w:jc w:val="both"/>
        <w:rPr>
          <w:szCs w:val="20"/>
        </w:rPr>
      </w:pPr>
      <w:r w:rsidRPr="00376F7A">
        <w:rPr>
          <w:szCs w:val="20"/>
        </w:rPr>
        <w:t>L’instruction de juin 2014</w:t>
      </w:r>
      <w:r w:rsidR="00DD7D8B" w:rsidRPr="00376F7A">
        <w:rPr>
          <w:szCs w:val="20"/>
        </w:rPr>
        <w:t xml:space="preserve">, actualisée en 2019 </w:t>
      </w:r>
      <w:r w:rsidRPr="00376F7A">
        <w:rPr>
          <w:szCs w:val="20"/>
        </w:rPr>
        <w:t xml:space="preserve">demande d’identifier l’ensemble des effets du projet, de fournir, si possible, des éléments d’appréciation quantitatifs étayés par des études et enquêtes spécifiques, et de décrire qualitativement ceux qui ne se prêtent pas à une évaluation. </w:t>
      </w:r>
    </w:p>
    <w:p w14:paraId="0210EF05" w14:textId="77777777" w:rsidR="00791C2F" w:rsidRPr="00376F7A" w:rsidRDefault="00791C2F" w:rsidP="004C4CA3">
      <w:pPr>
        <w:jc w:val="both"/>
        <w:rPr>
          <w:szCs w:val="20"/>
        </w:rPr>
      </w:pPr>
    </w:p>
    <w:p w14:paraId="5EAE3150" w14:textId="5F236EE1" w:rsidR="00A51C82" w:rsidRPr="00376F7A" w:rsidRDefault="00A51C82" w:rsidP="004C4CA3">
      <w:pPr>
        <w:jc w:val="both"/>
        <w:rPr>
          <w:szCs w:val="20"/>
        </w:rPr>
      </w:pPr>
      <w:r w:rsidRPr="00376F7A">
        <w:rPr>
          <w:szCs w:val="20"/>
        </w:rPr>
        <w:t xml:space="preserve">Il n’existe pas à ce jour de </w:t>
      </w:r>
      <w:r w:rsidR="00CE5AC4" w:rsidRPr="00376F7A">
        <w:rPr>
          <w:szCs w:val="20"/>
        </w:rPr>
        <w:t xml:space="preserve">technique de calcul </w:t>
      </w:r>
      <w:r w:rsidRPr="00376F7A">
        <w:rPr>
          <w:szCs w:val="20"/>
        </w:rPr>
        <w:t>permettant d’apprécier</w:t>
      </w:r>
      <w:r w:rsidR="00511FE7">
        <w:rPr>
          <w:szCs w:val="20"/>
        </w:rPr>
        <w:t xml:space="preserve"> directement</w:t>
      </w:r>
      <w:r w:rsidRPr="00376F7A">
        <w:rPr>
          <w:szCs w:val="20"/>
        </w:rPr>
        <w:t xml:space="preserve"> </w:t>
      </w:r>
      <w:r w:rsidR="00F2269D">
        <w:rPr>
          <w:szCs w:val="20"/>
        </w:rPr>
        <w:t xml:space="preserve">et d’une manière robuste </w:t>
      </w:r>
      <w:r w:rsidRPr="00376F7A">
        <w:rPr>
          <w:szCs w:val="20"/>
        </w:rPr>
        <w:t xml:space="preserve">l’impact </w:t>
      </w:r>
      <w:r w:rsidR="00CE5AC4" w:rsidRPr="00376F7A">
        <w:rPr>
          <w:szCs w:val="20"/>
        </w:rPr>
        <w:t xml:space="preserve">sur l’économie et l’emploi </w:t>
      </w:r>
      <w:r w:rsidRPr="00376F7A">
        <w:rPr>
          <w:szCs w:val="20"/>
        </w:rPr>
        <w:t xml:space="preserve">d’un projet </w:t>
      </w:r>
      <w:r w:rsidR="00CE5AC4" w:rsidRPr="00376F7A">
        <w:rPr>
          <w:szCs w:val="20"/>
        </w:rPr>
        <w:t xml:space="preserve">transformationnel </w:t>
      </w:r>
      <w:r w:rsidRPr="00376F7A">
        <w:rPr>
          <w:szCs w:val="20"/>
        </w:rPr>
        <w:t>tel que le Grand Paris</w:t>
      </w:r>
      <w:r w:rsidR="00CE5AC4" w:rsidRPr="00376F7A">
        <w:rPr>
          <w:szCs w:val="20"/>
        </w:rPr>
        <w:t xml:space="preserve"> Express</w:t>
      </w:r>
      <w:r w:rsidRPr="00376F7A">
        <w:rPr>
          <w:szCs w:val="20"/>
        </w:rPr>
        <w:t>, et, comme le soulignait le Commissariat général à l’investissement dans ses recommandations du 20 février 2013 sur le dossier d’enquête publique relatif au tronçon Pont de Sèvres–Noisy</w:t>
      </w:r>
      <w:r w:rsidR="00293D48">
        <w:rPr>
          <w:szCs w:val="20"/>
        </w:rPr>
        <w:t>/</w:t>
      </w:r>
      <w:r w:rsidRPr="00376F7A">
        <w:rPr>
          <w:szCs w:val="20"/>
        </w:rPr>
        <w:t>Champs (ligne 15 Sud), il n’y a pas non plus de consensus scientifique sur les paramètres permettant d’apprécier l’ensemble de ces effets ; l’inst</w:t>
      </w:r>
      <w:r w:rsidR="0033634D">
        <w:rPr>
          <w:szCs w:val="20"/>
        </w:rPr>
        <w:t>r</w:t>
      </w:r>
      <w:r w:rsidRPr="00376F7A">
        <w:rPr>
          <w:szCs w:val="20"/>
        </w:rPr>
        <w:t>uction de juin 2014</w:t>
      </w:r>
      <w:r w:rsidR="00DD7D8B" w:rsidRPr="00376F7A">
        <w:rPr>
          <w:szCs w:val="20"/>
        </w:rPr>
        <w:t xml:space="preserve"> actualisée en 2019,</w:t>
      </w:r>
      <w:r w:rsidRPr="00376F7A">
        <w:rPr>
          <w:szCs w:val="20"/>
        </w:rPr>
        <w:t xml:space="preserve"> fournit des valeurs de référence, dites tutélaires, sur </w:t>
      </w:r>
      <w:r w:rsidR="0033634D">
        <w:rPr>
          <w:szCs w:val="20"/>
        </w:rPr>
        <w:t xml:space="preserve">un certain </w:t>
      </w:r>
      <w:r w:rsidRPr="00376F7A">
        <w:rPr>
          <w:szCs w:val="20"/>
        </w:rPr>
        <w:t xml:space="preserve">nombre de paramètres à utiliser dans les études de transports, les </w:t>
      </w:r>
      <w:r w:rsidR="00CE5AC4" w:rsidRPr="00376F7A">
        <w:rPr>
          <w:szCs w:val="20"/>
        </w:rPr>
        <w:t>v</w:t>
      </w:r>
      <w:r w:rsidRPr="00376F7A">
        <w:rPr>
          <w:szCs w:val="20"/>
        </w:rPr>
        <w:t xml:space="preserve">aleurs </w:t>
      </w:r>
      <w:r w:rsidR="0033634D">
        <w:rPr>
          <w:szCs w:val="20"/>
        </w:rPr>
        <w:t xml:space="preserve">conventionnelles ayant </w:t>
      </w:r>
      <w:r w:rsidRPr="00376F7A">
        <w:rPr>
          <w:szCs w:val="20"/>
        </w:rPr>
        <w:t xml:space="preserve">été fixées après des débats </w:t>
      </w:r>
      <w:r w:rsidR="00CE5AC4" w:rsidRPr="00376F7A">
        <w:rPr>
          <w:szCs w:val="20"/>
        </w:rPr>
        <w:t>nourris</w:t>
      </w:r>
      <w:r w:rsidRPr="00376F7A">
        <w:rPr>
          <w:szCs w:val="20"/>
        </w:rPr>
        <w:t xml:space="preserve">. De plus, un tel programme </w:t>
      </w:r>
      <w:r w:rsidR="00CE5AC4" w:rsidRPr="00376F7A">
        <w:rPr>
          <w:szCs w:val="20"/>
        </w:rPr>
        <w:t xml:space="preserve">d’infrastructures </w:t>
      </w:r>
      <w:r w:rsidRPr="00376F7A">
        <w:rPr>
          <w:szCs w:val="20"/>
        </w:rPr>
        <w:t>comporte de nombreuses incidences à très long terme, impacts impossibles à quantifier</w:t>
      </w:r>
      <w:r w:rsidR="00CE5AC4" w:rsidRPr="00376F7A">
        <w:rPr>
          <w:szCs w:val="20"/>
        </w:rPr>
        <w:t xml:space="preserve"> en l’état actuel des connaissances scientifiques, malgré les progrès accomplis au cours des deux dernières décennies</w:t>
      </w:r>
      <w:r w:rsidRPr="00376F7A">
        <w:rPr>
          <w:szCs w:val="20"/>
        </w:rPr>
        <w:t>.</w:t>
      </w:r>
      <w:r w:rsidR="00791C2F" w:rsidRPr="00376F7A">
        <w:rPr>
          <w:szCs w:val="20"/>
        </w:rPr>
        <w:t xml:space="preserve"> </w:t>
      </w:r>
      <w:r w:rsidRPr="00376F7A">
        <w:rPr>
          <w:szCs w:val="20"/>
        </w:rPr>
        <w:t xml:space="preserve">Ainsi, et pour entourer ses analyses et conclusions des meilleures expertises disponibles, et pour garantir la robustesse de ses estimations, la Société du Grand Paris a </w:t>
      </w:r>
      <w:r w:rsidR="00791C2F" w:rsidRPr="00376F7A">
        <w:rPr>
          <w:szCs w:val="20"/>
        </w:rPr>
        <w:t xml:space="preserve">mis en place </w:t>
      </w:r>
      <w:r w:rsidRPr="00376F7A">
        <w:rPr>
          <w:szCs w:val="20"/>
        </w:rPr>
        <w:t xml:space="preserve">un </w:t>
      </w:r>
      <w:r w:rsidRPr="00376F7A">
        <w:rPr>
          <w:b/>
          <w:szCs w:val="20"/>
        </w:rPr>
        <w:t xml:space="preserve">Conseil scientifique international et indépendant réunissant des économistes </w:t>
      </w:r>
      <w:r w:rsidR="00791C2F" w:rsidRPr="00376F7A">
        <w:rPr>
          <w:b/>
          <w:szCs w:val="20"/>
        </w:rPr>
        <w:t xml:space="preserve">parmi </w:t>
      </w:r>
      <w:r w:rsidRPr="00376F7A">
        <w:rPr>
          <w:b/>
          <w:szCs w:val="20"/>
        </w:rPr>
        <w:t>les plus éminents dans le monde sur les questions d’économie urbaine et de transports</w:t>
      </w:r>
      <w:r w:rsidRPr="00376F7A">
        <w:rPr>
          <w:szCs w:val="20"/>
        </w:rPr>
        <w:t>. Ce conseil</w:t>
      </w:r>
      <w:r w:rsidR="0033634D">
        <w:rPr>
          <w:szCs w:val="20"/>
        </w:rPr>
        <w:t xml:space="preserve"> a été</w:t>
      </w:r>
      <w:r w:rsidRPr="00376F7A">
        <w:rPr>
          <w:szCs w:val="20"/>
        </w:rPr>
        <w:t xml:space="preserve"> présidé jusqu’en 2016 par le Professeur Jacques-François Thisse de l’Université Catholique de Louvain, et </w:t>
      </w:r>
      <w:r w:rsidR="0033634D">
        <w:rPr>
          <w:szCs w:val="20"/>
        </w:rPr>
        <w:t xml:space="preserve">il l’est </w:t>
      </w:r>
      <w:r w:rsidRPr="00376F7A">
        <w:rPr>
          <w:szCs w:val="20"/>
        </w:rPr>
        <w:t>depuis cette date par Dominique Bureau</w:t>
      </w:r>
      <w:r w:rsidRPr="00376F7A">
        <w:rPr>
          <w:szCs w:val="20"/>
          <w:vertAlign w:val="superscript"/>
        </w:rPr>
        <w:footnoteReference w:id="35"/>
      </w:r>
      <w:r w:rsidRPr="00376F7A">
        <w:rPr>
          <w:szCs w:val="20"/>
        </w:rPr>
        <w:t xml:space="preserve">, élu en 2016 par ses pairs. Il associe cinq chercheurs étrangers, tous francophones, et quatre français, retenus selon les critères académiques les plus exigeants. A ces spécialistes sont associés les experts responsables dans les principales administrations nationales compétentes dans le domaine de l’analyse économique et des transports. Ces scientifiques sont chargés de </w:t>
      </w:r>
      <w:r w:rsidR="00CE5AC4" w:rsidRPr="00376F7A">
        <w:rPr>
          <w:szCs w:val="20"/>
        </w:rPr>
        <w:t xml:space="preserve">définir et de </w:t>
      </w:r>
      <w:r w:rsidRPr="00376F7A">
        <w:rPr>
          <w:szCs w:val="20"/>
        </w:rPr>
        <w:t xml:space="preserve">piloter le programme de recherches engagé par la Société du Grand Paris afin de faire progresser la connaissance du sujet et permettre de mieux caractériser, comprendre et quantifier les mécanismes économiques en cause. </w:t>
      </w:r>
      <w:r w:rsidR="00CE5AC4" w:rsidRPr="00376F7A">
        <w:rPr>
          <w:szCs w:val="20"/>
        </w:rPr>
        <w:t>Ils ont également donné un avis circonstancié sur les quantifications proposés par la Société du Grand Paris pour évaluer l’impact du projet du Grand Paris Express.</w:t>
      </w:r>
    </w:p>
    <w:p w14:paraId="5BA6A121" w14:textId="77777777" w:rsidR="00791C2F" w:rsidRPr="00376F7A" w:rsidRDefault="00791C2F" w:rsidP="004C4CA3">
      <w:pPr>
        <w:jc w:val="both"/>
        <w:rPr>
          <w:szCs w:val="20"/>
        </w:rPr>
      </w:pPr>
    </w:p>
    <w:p w14:paraId="22806261" w14:textId="3DEE61D7" w:rsidR="00A51C82" w:rsidRPr="00376F7A" w:rsidRDefault="00A51C82" w:rsidP="004C4CA3">
      <w:pPr>
        <w:jc w:val="both"/>
        <w:rPr>
          <w:szCs w:val="20"/>
        </w:rPr>
      </w:pPr>
      <w:r w:rsidRPr="00376F7A">
        <w:rPr>
          <w:szCs w:val="20"/>
        </w:rPr>
        <w:t xml:space="preserve">Les résultats permettent d’accréditer le principe d’un impact très significatif, </w:t>
      </w:r>
      <w:r w:rsidR="0033634D">
        <w:rPr>
          <w:szCs w:val="20"/>
        </w:rPr>
        <w:t xml:space="preserve">apprécié dans ce document </w:t>
      </w:r>
      <w:r w:rsidRPr="00376F7A">
        <w:rPr>
          <w:szCs w:val="20"/>
        </w:rPr>
        <w:t>avec des méthodes prudentes.</w:t>
      </w:r>
    </w:p>
    <w:p w14:paraId="324AF297" w14:textId="77777777" w:rsidR="00791C2F" w:rsidRPr="00376F7A" w:rsidRDefault="00791C2F" w:rsidP="004C4CA3">
      <w:pPr>
        <w:jc w:val="both"/>
        <w:rPr>
          <w:szCs w:val="20"/>
        </w:rPr>
      </w:pPr>
    </w:p>
    <w:p w14:paraId="00494C0C" w14:textId="77777777" w:rsidR="00A51C82" w:rsidRPr="00376F7A" w:rsidRDefault="00A51C82" w:rsidP="004C4CA3">
      <w:pPr>
        <w:jc w:val="both"/>
        <w:rPr>
          <w:szCs w:val="20"/>
        </w:rPr>
      </w:pPr>
      <w:r w:rsidRPr="00376F7A">
        <w:rPr>
          <w:szCs w:val="20"/>
        </w:rPr>
        <w:t>D’autre part, comme cela est le cas des très grands projets d’infrastructure, un comité de pilotage a été mis en place avec les principales administrations et entités publiques concernées, auxquel</w:t>
      </w:r>
      <w:r w:rsidR="00791C2F" w:rsidRPr="00376F7A">
        <w:rPr>
          <w:szCs w:val="20"/>
        </w:rPr>
        <w:t>le</w:t>
      </w:r>
      <w:r w:rsidRPr="00376F7A">
        <w:rPr>
          <w:szCs w:val="20"/>
        </w:rPr>
        <w:t xml:space="preserve">s ont été adjoints des spécialistes de haut niveau. Ce groupe de travail avait suivi jusqu’en 2017 tous les mois l’avancement des études et recherches économiques conduites par la Société du Grand Paris. </w:t>
      </w:r>
    </w:p>
    <w:p w14:paraId="16F71CE3" w14:textId="7C469B84" w:rsidR="00A51C82" w:rsidRPr="00376F7A" w:rsidRDefault="00A51C82" w:rsidP="004C4CA3">
      <w:pPr>
        <w:jc w:val="both"/>
        <w:rPr>
          <w:szCs w:val="20"/>
        </w:rPr>
      </w:pPr>
    </w:p>
    <w:p w14:paraId="2486E2C6" w14:textId="4F2AF511" w:rsidR="00535380" w:rsidRPr="00376F7A" w:rsidRDefault="00171A3D" w:rsidP="004C4CA3">
      <w:pPr>
        <w:jc w:val="both"/>
        <w:rPr>
          <w:b/>
          <w:bCs/>
          <w:szCs w:val="20"/>
        </w:rPr>
      </w:pPr>
      <w:r w:rsidRPr="00376F7A">
        <w:rPr>
          <w:b/>
          <w:bCs/>
          <w:szCs w:val="20"/>
        </w:rPr>
        <w:t xml:space="preserve">Enfin, les différentes évaluations présentées depuis 2013 par la Société du Grand Paris ont fait l’objet de </w:t>
      </w:r>
      <w:r w:rsidR="00A932EC">
        <w:rPr>
          <w:b/>
          <w:bCs/>
          <w:szCs w:val="20"/>
        </w:rPr>
        <w:t>10</w:t>
      </w:r>
      <w:r w:rsidRPr="00376F7A">
        <w:rPr>
          <w:b/>
          <w:bCs/>
          <w:szCs w:val="20"/>
        </w:rPr>
        <w:t xml:space="preserve"> avis favorables du Commissaire général à l’Investissement, devenu en 2017</w:t>
      </w:r>
      <w:r w:rsidR="0092105D" w:rsidRPr="00376F7A">
        <w:rPr>
          <w:b/>
          <w:bCs/>
          <w:szCs w:val="20"/>
        </w:rPr>
        <w:t xml:space="preserve"> </w:t>
      </w:r>
      <w:r w:rsidR="00DD7D8B" w:rsidRPr="00376F7A">
        <w:rPr>
          <w:b/>
          <w:bCs/>
          <w:szCs w:val="20"/>
        </w:rPr>
        <w:t xml:space="preserve">Secrétariat </w:t>
      </w:r>
      <w:r w:rsidR="0092105D" w:rsidRPr="00376F7A">
        <w:rPr>
          <w:b/>
          <w:bCs/>
          <w:szCs w:val="20"/>
        </w:rPr>
        <w:t xml:space="preserve">général pour l’investissement, à chaque fois sur la base de rapports de contre-expertise écrits par des experts indépendants. </w:t>
      </w:r>
    </w:p>
    <w:p w14:paraId="46CAE4A2" w14:textId="77777777" w:rsidR="0092105D" w:rsidRPr="00376F7A" w:rsidRDefault="0092105D" w:rsidP="004C4CA3">
      <w:pPr>
        <w:jc w:val="both"/>
        <w:rPr>
          <w:szCs w:val="20"/>
        </w:rPr>
      </w:pPr>
    </w:p>
    <w:p w14:paraId="10333105" w14:textId="1FC8B43C" w:rsidR="00A51C82" w:rsidRPr="00A51C82" w:rsidRDefault="0033634D" w:rsidP="004C4CA3">
      <w:pPr>
        <w:jc w:val="both"/>
        <w:rPr>
          <w:szCs w:val="20"/>
        </w:rPr>
      </w:pPr>
      <w:r>
        <w:rPr>
          <w:szCs w:val="20"/>
        </w:rPr>
        <w:t xml:space="preserve">Les recommandations </w:t>
      </w:r>
      <w:r w:rsidR="00AC2C55">
        <w:rPr>
          <w:szCs w:val="20"/>
        </w:rPr>
        <w:t xml:space="preserve">premières </w:t>
      </w:r>
      <w:r>
        <w:rPr>
          <w:szCs w:val="20"/>
        </w:rPr>
        <w:t xml:space="preserve">du conseil scientifique </w:t>
      </w:r>
      <w:r w:rsidR="00A932EC">
        <w:rPr>
          <w:szCs w:val="20"/>
        </w:rPr>
        <w:t xml:space="preserve">formulées dès 2011 </w:t>
      </w:r>
      <w:r>
        <w:rPr>
          <w:szCs w:val="20"/>
        </w:rPr>
        <w:t xml:space="preserve">ont été d’utiliser les modèles </w:t>
      </w:r>
      <w:r w:rsidRPr="00376F7A">
        <w:rPr>
          <w:szCs w:val="20"/>
        </w:rPr>
        <w:t>de simulation dits « LUTI » (</w:t>
      </w:r>
      <w:r w:rsidRPr="00376F7A">
        <w:rPr>
          <w:i/>
          <w:szCs w:val="20"/>
        </w:rPr>
        <w:t>Land Use Transport Interaction</w:t>
      </w:r>
      <w:r w:rsidRPr="00376F7A">
        <w:rPr>
          <w:szCs w:val="20"/>
        </w:rPr>
        <w:t>), pour l’étude de l’incidence de la réalisation de l’infrastructure de transports sur la répartition des populations et des activités</w:t>
      </w:r>
      <w:r>
        <w:rPr>
          <w:szCs w:val="20"/>
        </w:rPr>
        <w:t>. Dans la mesure où il s’agissait de faire fonctionner ces modèles à des fins opérationnelles</w:t>
      </w:r>
      <w:r w:rsidR="00795D4D">
        <w:rPr>
          <w:szCs w:val="20"/>
        </w:rPr>
        <w:t>,</w:t>
      </w:r>
      <w:r>
        <w:rPr>
          <w:szCs w:val="20"/>
        </w:rPr>
        <w:t xml:space="preserve"> ce qui représentait une « première » en France, l</w:t>
      </w:r>
      <w:r w:rsidR="00A51C82" w:rsidRPr="00376F7A">
        <w:rPr>
          <w:szCs w:val="20"/>
        </w:rPr>
        <w:t xml:space="preserve">a Société du Grand Paris </w:t>
      </w:r>
      <w:r w:rsidRPr="0031722F">
        <w:rPr>
          <w:color w:val="00B050"/>
          <w:szCs w:val="20"/>
        </w:rPr>
        <w:t xml:space="preserve">a </w:t>
      </w:r>
      <w:r w:rsidR="0031722F" w:rsidRPr="0031722F">
        <w:rPr>
          <w:color w:val="00B050"/>
          <w:szCs w:val="20"/>
        </w:rPr>
        <w:t xml:space="preserve">testé à l’origine </w:t>
      </w:r>
      <w:r>
        <w:rPr>
          <w:szCs w:val="20"/>
        </w:rPr>
        <w:t xml:space="preserve">rois modèles différents dans leur logique et </w:t>
      </w:r>
      <w:r w:rsidR="00A51C82" w:rsidRPr="00376F7A">
        <w:rPr>
          <w:szCs w:val="20"/>
        </w:rPr>
        <w:t xml:space="preserve">a entrepris une étude de comparaison approfondie des résultats de </w:t>
      </w:r>
      <w:r>
        <w:rPr>
          <w:szCs w:val="20"/>
        </w:rPr>
        <w:t xml:space="preserve">ces </w:t>
      </w:r>
      <w:r w:rsidR="00A51C82" w:rsidRPr="00376F7A">
        <w:rPr>
          <w:szCs w:val="20"/>
        </w:rPr>
        <w:t>trois modèles. A côté du modèle « UrbanSim », considéré comme référence centrale car il bénéficie d’une plus large expérience sur plusieurs métropoles européennes, elle a utilisé en complément les résultats des modèles « Pirandello » et « Relu</w:t>
      </w:r>
      <w:r w:rsidR="002369F2" w:rsidRPr="00376F7A">
        <w:rPr>
          <w:szCs w:val="20"/>
        </w:rPr>
        <w:t>-</w:t>
      </w:r>
      <w:r w:rsidR="00A51C82" w:rsidRPr="00376F7A">
        <w:rPr>
          <w:szCs w:val="20"/>
        </w:rPr>
        <w:t xml:space="preserve">Tran », tous trois ayant été choisis après appels d’offres internationaux. Il faut souligner que le modèle « UrbanSim » et le logiciel Pirandello ont été retenus par ailleurs en 2012 par l’Agence Nationale de la Recherche pour faire progresser les capacités d’analyse quantifiée des phénomènes urbains. Les résultats des différentes approches </w:t>
      </w:r>
      <w:r w:rsidR="009D2127">
        <w:rPr>
          <w:szCs w:val="20"/>
        </w:rPr>
        <w:t xml:space="preserve">se </w:t>
      </w:r>
      <w:r w:rsidR="00A51C82" w:rsidRPr="00376F7A">
        <w:rPr>
          <w:szCs w:val="20"/>
        </w:rPr>
        <w:t xml:space="preserve">sont </w:t>
      </w:r>
      <w:r w:rsidR="009D2127">
        <w:rPr>
          <w:szCs w:val="20"/>
        </w:rPr>
        <w:t xml:space="preserve">avérés </w:t>
      </w:r>
      <w:r w:rsidR="00A51C82" w:rsidRPr="00376F7A">
        <w:rPr>
          <w:szCs w:val="20"/>
        </w:rPr>
        <w:t>cohérents</w:t>
      </w:r>
      <w:r w:rsidR="009D2127">
        <w:rPr>
          <w:szCs w:val="20"/>
        </w:rPr>
        <w:t xml:space="preserve"> entre eux</w:t>
      </w:r>
      <w:r w:rsidR="00A51C82" w:rsidRPr="00376F7A">
        <w:rPr>
          <w:szCs w:val="20"/>
        </w:rPr>
        <w:t xml:space="preserve">, </w:t>
      </w:r>
      <w:r w:rsidR="00A51C82" w:rsidRPr="00376F7A">
        <w:rPr>
          <w:szCs w:val="20"/>
        </w:rPr>
        <w:lastRenderedPageBreak/>
        <w:t>après corrections utiles</w:t>
      </w:r>
      <w:r w:rsidR="00A51C82" w:rsidRPr="00376F7A">
        <w:rPr>
          <w:szCs w:val="20"/>
          <w:vertAlign w:val="superscript"/>
        </w:rPr>
        <w:footnoteReference w:id="36"/>
      </w:r>
      <w:r w:rsidR="00A51C82" w:rsidRPr="00376F7A">
        <w:rPr>
          <w:szCs w:val="20"/>
        </w:rPr>
        <w:t xml:space="preserve">, en termes de répartition globale de l’activité et de l’emploi à travers la région. Les résultats </w:t>
      </w:r>
      <w:r w:rsidR="00A51C82" w:rsidRPr="00A51C82">
        <w:rPr>
          <w:szCs w:val="20"/>
        </w:rPr>
        <w:t xml:space="preserve">de ces modèles </w:t>
      </w:r>
      <w:r w:rsidR="009D2127">
        <w:rPr>
          <w:szCs w:val="20"/>
        </w:rPr>
        <w:t xml:space="preserve">sont venus </w:t>
      </w:r>
      <w:r w:rsidR="00A51C82" w:rsidRPr="00A51C82">
        <w:rPr>
          <w:szCs w:val="20"/>
        </w:rPr>
        <w:t xml:space="preserve">largement </w:t>
      </w:r>
      <w:r w:rsidR="009D2127">
        <w:rPr>
          <w:szCs w:val="20"/>
        </w:rPr>
        <w:t xml:space="preserve">documenter et </w:t>
      </w:r>
      <w:r w:rsidR="00A51C82" w:rsidRPr="00A51C82">
        <w:rPr>
          <w:szCs w:val="20"/>
        </w:rPr>
        <w:t xml:space="preserve">confirmer la stratégie de densification de la croissance urbaine telle qu’exprimée par le SDRIF de 2013. </w:t>
      </w:r>
    </w:p>
    <w:p w14:paraId="16EC338F" w14:textId="77777777" w:rsidR="00A51C82" w:rsidRPr="00A51C82" w:rsidRDefault="00A51C82" w:rsidP="004C4CA3">
      <w:pPr>
        <w:jc w:val="both"/>
      </w:pPr>
    </w:p>
    <w:p w14:paraId="7E82A4E6" w14:textId="4837361E" w:rsidR="00A51C82" w:rsidRDefault="00A51C82" w:rsidP="004C4CA3">
      <w:pPr>
        <w:jc w:val="both"/>
        <w:rPr>
          <w:szCs w:val="20"/>
        </w:rPr>
      </w:pPr>
      <w:r w:rsidRPr="00A51C82">
        <w:rPr>
          <w:szCs w:val="20"/>
        </w:rPr>
        <w:t xml:space="preserve">Le principe de ces simulations est fondé sur les grandes bases de l’économie urbaine selon lesquelles la répartition des populations et des emplois à l’intérieur des métropoles est le fruit d’un équilibre entre la demande foncière et l’offre des surfaces bâties. La demande des entreprises est le fait d’un arbitrage entre, d’une part, les rendements croissants qui ont tendance à favoriser des implantations de plus grande taille ou les effets d’agglomération qui les amènent à se localiser les unes près des autres, et, d’autre part, leurs coûts fonciers et ceux de transport qui les poussent au contraire à se rapprocher de leurs marchés ou de leurs sources d’approvisionnement. </w:t>
      </w:r>
      <w:r w:rsidR="00D16DB2">
        <w:rPr>
          <w:szCs w:val="20"/>
        </w:rPr>
        <w:t xml:space="preserve">Les </w:t>
      </w:r>
      <w:r w:rsidRPr="00A51C82">
        <w:rPr>
          <w:szCs w:val="20"/>
        </w:rPr>
        <w:t xml:space="preserve">activités de services aux entreprises à haute valeur ajoutée ont donc tendance à se localiser dans le cœur des agglomérations malgré le niveau élevé des valeurs foncières ; pour les activités à faible valeur ajoutée unitaire, et à fort besoin de surface par emploi comme la logistique, elles ont au contraire tendance à se localiser en périphérie des villes. Les résidents préfèrent, à budgets donnés, avoir le maximum d’espace pour leurs logements, et un bon accès aux emplois et aux différents équipements urbains. </w:t>
      </w:r>
      <w:r w:rsidR="00D16DB2">
        <w:rPr>
          <w:szCs w:val="20"/>
        </w:rPr>
        <w:t xml:space="preserve">Ils ont des comportements hétérogènes car certains préfèrent se retrouver au cœur des aménités de centre-ville et d’autres ont une préférence forte pour un environnement de faible densité. </w:t>
      </w:r>
      <w:r w:rsidRPr="00A51C82">
        <w:rPr>
          <w:szCs w:val="20"/>
        </w:rPr>
        <w:t xml:space="preserve">Ces </w:t>
      </w:r>
      <w:r w:rsidR="00D16DB2">
        <w:rPr>
          <w:szCs w:val="20"/>
        </w:rPr>
        <w:t xml:space="preserve">comportements </w:t>
      </w:r>
      <w:r w:rsidR="00D16DB2" w:rsidRPr="00A51C82">
        <w:rPr>
          <w:szCs w:val="20"/>
        </w:rPr>
        <w:t>créent</w:t>
      </w:r>
      <w:r w:rsidRPr="00A51C82">
        <w:rPr>
          <w:szCs w:val="20"/>
        </w:rPr>
        <w:t xml:space="preserve"> des phénomènes cumulatifs et durables d’agglomération et de spécialisation relative des espaces urbains. Conformément à ces </w:t>
      </w:r>
      <w:r w:rsidR="00D16DB2">
        <w:rPr>
          <w:szCs w:val="20"/>
        </w:rPr>
        <w:t>tendances</w:t>
      </w:r>
      <w:r w:rsidRPr="00A51C82">
        <w:rPr>
          <w:szCs w:val="20"/>
        </w:rPr>
        <w:t>, il est donc normal qu’une infrastructure de transports en commun en rocade ait tendance à attirer</w:t>
      </w:r>
      <w:r w:rsidR="00D16DB2">
        <w:rPr>
          <w:szCs w:val="20"/>
        </w:rPr>
        <w:t xml:space="preserve"> une certaine partie de</w:t>
      </w:r>
      <w:r w:rsidRPr="00A51C82">
        <w:rPr>
          <w:szCs w:val="20"/>
        </w:rPr>
        <w:t xml:space="preserve"> la croissance des emplois et de la population autour de cette rocade, contribuant ainsi à une densification plus forte de la croissance que ce qui se produirait en l’absence de la réalisation de l’infrastructure, ainsi que le montre le modèle UrbanSim :</w:t>
      </w:r>
    </w:p>
    <w:p w14:paraId="74FD1558" w14:textId="77777777" w:rsidR="00791C2F" w:rsidRPr="00A51C82" w:rsidRDefault="00791C2F" w:rsidP="004C4CA3">
      <w:pPr>
        <w:jc w:val="both"/>
        <w:rPr>
          <w:szCs w:val="20"/>
        </w:rPr>
      </w:pPr>
    </w:p>
    <w:tbl>
      <w:tblPr>
        <w:tblW w:w="7412" w:type="dxa"/>
        <w:jc w:val="center"/>
        <w:tblLayout w:type="fixed"/>
        <w:tblCellMar>
          <w:left w:w="70" w:type="dxa"/>
          <w:right w:w="70" w:type="dxa"/>
        </w:tblCellMar>
        <w:tblLook w:val="04A0" w:firstRow="1" w:lastRow="0" w:firstColumn="1" w:lastColumn="0" w:noHBand="0" w:noVBand="1"/>
      </w:tblPr>
      <w:tblGrid>
        <w:gridCol w:w="1716"/>
        <w:gridCol w:w="1465"/>
        <w:gridCol w:w="1465"/>
        <w:gridCol w:w="1383"/>
        <w:gridCol w:w="1383"/>
      </w:tblGrid>
      <w:tr w:rsidR="00650E28" w:rsidRPr="00A51C82" w14:paraId="3F47FC3D" w14:textId="77777777" w:rsidTr="0084080B">
        <w:trPr>
          <w:trHeight w:val="255"/>
          <w:jc w:val="center"/>
        </w:trPr>
        <w:tc>
          <w:tcPr>
            <w:tcW w:w="1716" w:type="dxa"/>
            <w:vMerge w:val="restart"/>
            <w:tcBorders>
              <w:top w:val="single" w:sz="8" w:space="0" w:color="auto"/>
              <w:left w:val="single" w:sz="8" w:space="0" w:color="auto"/>
              <w:right w:val="single" w:sz="4" w:space="0" w:color="auto"/>
            </w:tcBorders>
            <w:shd w:val="clear" w:color="auto" w:fill="auto"/>
            <w:noWrap/>
            <w:hideMark/>
          </w:tcPr>
          <w:p w14:paraId="2C28D2AC" w14:textId="77777777" w:rsidR="00650E28" w:rsidRPr="0084080B" w:rsidRDefault="00650E28" w:rsidP="004C4CA3">
            <w:pPr>
              <w:jc w:val="both"/>
              <w:rPr>
                <w:rFonts w:eastAsia="Times New Roman" w:cs="Arial"/>
                <w:szCs w:val="20"/>
                <w:lang w:eastAsia="fr-FR"/>
              </w:rPr>
            </w:pPr>
          </w:p>
          <w:p w14:paraId="3526D425" w14:textId="77777777" w:rsidR="00650E28" w:rsidRPr="0084080B" w:rsidRDefault="00650E28" w:rsidP="004C4CA3">
            <w:pPr>
              <w:jc w:val="both"/>
              <w:rPr>
                <w:rFonts w:eastAsia="Times New Roman" w:cs="Arial"/>
                <w:szCs w:val="20"/>
                <w:lang w:eastAsia="fr-FR"/>
              </w:rPr>
            </w:pPr>
            <w:r w:rsidRPr="0084080B">
              <w:rPr>
                <w:rFonts w:eastAsia="Times New Roman" w:cs="Arial"/>
                <w:szCs w:val="20"/>
                <w:lang w:eastAsia="fr-FR"/>
              </w:rPr>
              <w:t>Croissance</w:t>
            </w:r>
          </w:p>
          <w:p w14:paraId="2DA56A1B" w14:textId="77777777" w:rsidR="00650E28" w:rsidRPr="0084080B" w:rsidRDefault="00650E28" w:rsidP="004C4CA3">
            <w:pPr>
              <w:jc w:val="both"/>
              <w:rPr>
                <w:rFonts w:eastAsia="Times New Roman" w:cs="Arial"/>
                <w:szCs w:val="20"/>
                <w:lang w:eastAsia="fr-FR"/>
              </w:rPr>
            </w:pPr>
            <w:r w:rsidRPr="0084080B">
              <w:rPr>
                <w:rFonts w:eastAsia="Times New Roman" w:cs="Arial"/>
                <w:szCs w:val="20"/>
                <w:lang w:eastAsia="fr-FR"/>
              </w:rPr>
              <w:t>2005-2030</w:t>
            </w:r>
          </w:p>
        </w:tc>
        <w:tc>
          <w:tcPr>
            <w:tcW w:w="2930" w:type="dxa"/>
            <w:gridSpan w:val="2"/>
            <w:tcBorders>
              <w:top w:val="single" w:sz="8" w:space="0" w:color="auto"/>
              <w:left w:val="nil"/>
              <w:bottom w:val="single" w:sz="4" w:space="0" w:color="auto"/>
              <w:right w:val="single" w:sz="4" w:space="0" w:color="000000"/>
            </w:tcBorders>
            <w:shd w:val="clear" w:color="auto" w:fill="auto"/>
            <w:noWrap/>
            <w:vAlign w:val="bottom"/>
            <w:hideMark/>
          </w:tcPr>
          <w:p w14:paraId="3DE45F68" w14:textId="1EAF3D00"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Emploi</w:t>
            </w:r>
          </w:p>
        </w:tc>
        <w:tc>
          <w:tcPr>
            <w:tcW w:w="2766" w:type="dxa"/>
            <w:gridSpan w:val="2"/>
            <w:tcBorders>
              <w:top w:val="single" w:sz="8" w:space="0" w:color="auto"/>
              <w:left w:val="nil"/>
              <w:bottom w:val="single" w:sz="4" w:space="0" w:color="auto"/>
              <w:right w:val="single" w:sz="8" w:space="0" w:color="000000"/>
            </w:tcBorders>
            <w:shd w:val="clear" w:color="auto" w:fill="auto"/>
            <w:noWrap/>
            <w:vAlign w:val="bottom"/>
            <w:hideMark/>
          </w:tcPr>
          <w:p w14:paraId="7D2CEB33" w14:textId="7E769346"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Population</w:t>
            </w:r>
          </w:p>
        </w:tc>
      </w:tr>
      <w:tr w:rsidR="00650E28" w:rsidRPr="00A51C82" w14:paraId="3543CE2C" w14:textId="77777777" w:rsidTr="0084080B">
        <w:trPr>
          <w:trHeight w:val="510"/>
          <w:jc w:val="center"/>
        </w:trPr>
        <w:tc>
          <w:tcPr>
            <w:tcW w:w="1716" w:type="dxa"/>
            <w:vMerge/>
            <w:tcBorders>
              <w:left w:val="single" w:sz="8" w:space="0" w:color="auto"/>
              <w:bottom w:val="single" w:sz="4" w:space="0" w:color="auto"/>
              <w:right w:val="single" w:sz="4" w:space="0" w:color="auto"/>
            </w:tcBorders>
            <w:shd w:val="clear" w:color="auto" w:fill="auto"/>
            <w:noWrap/>
            <w:vAlign w:val="bottom"/>
            <w:hideMark/>
          </w:tcPr>
          <w:p w14:paraId="47A47B9D" w14:textId="77777777" w:rsidR="00650E28" w:rsidRPr="0084080B" w:rsidRDefault="00650E28" w:rsidP="004C4CA3">
            <w:pPr>
              <w:jc w:val="both"/>
              <w:rPr>
                <w:rFonts w:eastAsia="Times New Roman" w:cs="Arial"/>
                <w:szCs w:val="20"/>
                <w:lang w:eastAsia="fr-FR"/>
              </w:rPr>
            </w:pPr>
          </w:p>
        </w:tc>
        <w:tc>
          <w:tcPr>
            <w:tcW w:w="1465" w:type="dxa"/>
            <w:tcBorders>
              <w:top w:val="nil"/>
              <w:left w:val="nil"/>
              <w:bottom w:val="single" w:sz="4" w:space="0" w:color="auto"/>
              <w:right w:val="single" w:sz="4" w:space="0" w:color="auto"/>
            </w:tcBorders>
            <w:shd w:val="clear" w:color="auto" w:fill="auto"/>
            <w:vAlign w:val="center"/>
            <w:hideMark/>
          </w:tcPr>
          <w:p w14:paraId="0C270C82" w14:textId="77777777"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Tendanciel sans projet</w:t>
            </w:r>
          </w:p>
        </w:tc>
        <w:tc>
          <w:tcPr>
            <w:tcW w:w="1465" w:type="dxa"/>
            <w:tcBorders>
              <w:top w:val="nil"/>
              <w:left w:val="nil"/>
              <w:bottom w:val="single" w:sz="4" w:space="0" w:color="auto"/>
              <w:right w:val="single" w:sz="4" w:space="0" w:color="auto"/>
            </w:tcBorders>
            <w:shd w:val="clear" w:color="auto" w:fill="auto"/>
            <w:vAlign w:val="center"/>
            <w:hideMark/>
          </w:tcPr>
          <w:p w14:paraId="0CF7C6AC" w14:textId="56373923"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 xml:space="preserve">Option </w:t>
            </w:r>
            <w:r w:rsidR="00D16DB2" w:rsidRPr="0084080B">
              <w:rPr>
                <w:rFonts w:eastAsia="Times New Roman" w:cs="Arial"/>
                <w:szCs w:val="20"/>
                <w:lang w:eastAsia="fr-FR"/>
              </w:rPr>
              <w:t>basse</w:t>
            </w:r>
            <w:r w:rsidRPr="0084080B">
              <w:rPr>
                <w:rFonts w:eastAsia="Times New Roman" w:cs="Arial"/>
                <w:szCs w:val="20"/>
                <w:lang w:eastAsia="fr-FR"/>
              </w:rPr>
              <w:t xml:space="preserve"> avec projet</w:t>
            </w:r>
          </w:p>
        </w:tc>
        <w:tc>
          <w:tcPr>
            <w:tcW w:w="1383" w:type="dxa"/>
            <w:tcBorders>
              <w:top w:val="nil"/>
              <w:left w:val="nil"/>
              <w:bottom w:val="single" w:sz="4" w:space="0" w:color="auto"/>
              <w:right w:val="single" w:sz="4" w:space="0" w:color="auto"/>
            </w:tcBorders>
            <w:shd w:val="clear" w:color="auto" w:fill="auto"/>
            <w:vAlign w:val="center"/>
            <w:hideMark/>
          </w:tcPr>
          <w:p w14:paraId="188D71DA" w14:textId="77777777"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Tendanciel sans projet</w:t>
            </w:r>
          </w:p>
        </w:tc>
        <w:tc>
          <w:tcPr>
            <w:tcW w:w="1383" w:type="dxa"/>
            <w:tcBorders>
              <w:top w:val="nil"/>
              <w:left w:val="nil"/>
              <w:bottom w:val="single" w:sz="4" w:space="0" w:color="auto"/>
              <w:right w:val="single" w:sz="8" w:space="0" w:color="auto"/>
            </w:tcBorders>
            <w:shd w:val="clear" w:color="auto" w:fill="auto"/>
            <w:vAlign w:val="center"/>
            <w:hideMark/>
          </w:tcPr>
          <w:p w14:paraId="3D746497" w14:textId="292D4C0A"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 xml:space="preserve">Option </w:t>
            </w:r>
            <w:r w:rsidR="00D16DB2" w:rsidRPr="0084080B">
              <w:rPr>
                <w:rFonts w:eastAsia="Times New Roman" w:cs="Arial"/>
                <w:szCs w:val="20"/>
                <w:lang w:eastAsia="fr-FR"/>
              </w:rPr>
              <w:t xml:space="preserve">basse </w:t>
            </w:r>
            <w:r w:rsidRPr="0084080B">
              <w:rPr>
                <w:rFonts w:eastAsia="Times New Roman" w:cs="Arial"/>
                <w:szCs w:val="20"/>
                <w:lang w:eastAsia="fr-FR"/>
              </w:rPr>
              <w:t>avec projet</w:t>
            </w:r>
          </w:p>
        </w:tc>
      </w:tr>
      <w:tr w:rsidR="00650E28" w:rsidRPr="00A51C82" w14:paraId="636DA9C8" w14:textId="77777777" w:rsidTr="0084080B">
        <w:trPr>
          <w:trHeight w:val="255"/>
          <w:jc w:val="center"/>
        </w:trPr>
        <w:tc>
          <w:tcPr>
            <w:tcW w:w="1716" w:type="dxa"/>
            <w:tcBorders>
              <w:top w:val="nil"/>
              <w:left w:val="single" w:sz="8" w:space="0" w:color="auto"/>
              <w:bottom w:val="single" w:sz="4" w:space="0" w:color="auto"/>
              <w:right w:val="single" w:sz="4" w:space="0" w:color="auto"/>
            </w:tcBorders>
            <w:shd w:val="clear" w:color="auto" w:fill="auto"/>
            <w:noWrap/>
            <w:vAlign w:val="bottom"/>
            <w:hideMark/>
          </w:tcPr>
          <w:p w14:paraId="0549353F" w14:textId="77777777" w:rsidR="00650E28" w:rsidRPr="0084080B" w:rsidRDefault="00650E28" w:rsidP="004C4CA3">
            <w:pPr>
              <w:jc w:val="both"/>
              <w:rPr>
                <w:rFonts w:eastAsia="Times New Roman" w:cs="Arial"/>
                <w:szCs w:val="20"/>
                <w:lang w:eastAsia="fr-FR"/>
              </w:rPr>
            </w:pPr>
            <w:r w:rsidRPr="0084080B">
              <w:rPr>
                <w:rFonts w:eastAsia="Times New Roman" w:cs="Arial"/>
                <w:szCs w:val="20"/>
                <w:lang w:eastAsia="fr-FR"/>
              </w:rPr>
              <w:t xml:space="preserve">Zone dense </w:t>
            </w:r>
          </w:p>
        </w:tc>
        <w:tc>
          <w:tcPr>
            <w:tcW w:w="1465" w:type="dxa"/>
            <w:tcBorders>
              <w:top w:val="nil"/>
              <w:left w:val="nil"/>
              <w:bottom w:val="single" w:sz="4" w:space="0" w:color="auto"/>
              <w:right w:val="single" w:sz="4" w:space="0" w:color="auto"/>
            </w:tcBorders>
            <w:shd w:val="clear" w:color="auto" w:fill="auto"/>
            <w:noWrap/>
            <w:vAlign w:val="center"/>
            <w:hideMark/>
          </w:tcPr>
          <w:p w14:paraId="648C5B65" w14:textId="29E0FF30"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3</w:t>
            </w:r>
            <w:r w:rsidR="00376F7A" w:rsidRPr="0084080B">
              <w:rPr>
                <w:rFonts w:eastAsia="Times New Roman" w:cs="Arial"/>
                <w:szCs w:val="20"/>
                <w:lang w:eastAsia="fr-FR"/>
              </w:rPr>
              <w:t>6</w:t>
            </w:r>
            <w:r w:rsidR="002E07B7" w:rsidRPr="0084080B">
              <w:rPr>
                <w:rFonts w:eastAsia="Times New Roman" w:cs="Arial"/>
                <w:szCs w:val="20"/>
                <w:lang w:eastAsia="fr-FR"/>
              </w:rPr>
              <w:t>5</w:t>
            </w:r>
            <w:r w:rsidRPr="0084080B">
              <w:rPr>
                <w:rFonts w:eastAsia="Times New Roman" w:cs="Arial"/>
                <w:szCs w:val="20"/>
                <w:lang w:eastAsia="fr-FR"/>
              </w:rPr>
              <w:t xml:space="preserve"> 000</w:t>
            </w:r>
          </w:p>
        </w:tc>
        <w:tc>
          <w:tcPr>
            <w:tcW w:w="1465" w:type="dxa"/>
            <w:tcBorders>
              <w:top w:val="nil"/>
              <w:left w:val="nil"/>
              <w:bottom w:val="single" w:sz="4" w:space="0" w:color="auto"/>
              <w:right w:val="single" w:sz="4" w:space="0" w:color="auto"/>
            </w:tcBorders>
            <w:shd w:val="clear" w:color="auto" w:fill="auto"/>
            <w:noWrap/>
            <w:vAlign w:val="center"/>
            <w:hideMark/>
          </w:tcPr>
          <w:p w14:paraId="15B3C870" w14:textId="3726B6C1"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6</w:t>
            </w:r>
            <w:r w:rsidR="00376F7A" w:rsidRPr="0084080B">
              <w:rPr>
                <w:rFonts w:eastAsia="Times New Roman" w:cs="Arial"/>
                <w:szCs w:val="20"/>
                <w:lang w:eastAsia="fr-FR"/>
              </w:rPr>
              <w:t>07</w:t>
            </w:r>
            <w:r w:rsidRPr="0084080B">
              <w:rPr>
                <w:rFonts w:eastAsia="Times New Roman" w:cs="Arial"/>
                <w:szCs w:val="20"/>
                <w:lang w:eastAsia="fr-FR"/>
              </w:rPr>
              <w:t xml:space="preserve"> 000</w:t>
            </w:r>
          </w:p>
        </w:tc>
        <w:tc>
          <w:tcPr>
            <w:tcW w:w="1383" w:type="dxa"/>
            <w:tcBorders>
              <w:top w:val="nil"/>
              <w:left w:val="nil"/>
              <w:bottom w:val="single" w:sz="4" w:space="0" w:color="auto"/>
              <w:right w:val="single" w:sz="4" w:space="0" w:color="auto"/>
            </w:tcBorders>
            <w:shd w:val="clear" w:color="auto" w:fill="auto"/>
            <w:noWrap/>
            <w:vAlign w:val="center"/>
            <w:hideMark/>
          </w:tcPr>
          <w:p w14:paraId="2D1D3373" w14:textId="07087278"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5</w:t>
            </w:r>
            <w:r w:rsidR="00376F7A" w:rsidRPr="0084080B">
              <w:rPr>
                <w:rFonts w:eastAsia="Times New Roman" w:cs="Arial"/>
                <w:szCs w:val="20"/>
                <w:lang w:eastAsia="fr-FR"/>
              </w:rPr>
              <w:t>85</w:t>
            </w:r>
            <w:r w:rsidRPr="0084080B">
              <w:rPr>
                <w:rFonts w:eastAsia="Times New Roman" w:cs="Arial"/>
                <w:szCs w:val="20"/>
                <w:lang w:eastAsia="fr-FR"/>
              </w:rPr>
              <w:t xml:space="preserve"> 000</w:t>
            </w:r>
          </w:p>
        </w:tc>
        <w:tc>
          <w:tcPr>
            <w:tcW w:w="1383" w:type="dxa"/>
            <w:tcBorders>
              <w:top w:val="nil"/>
              <w:left w:val="nil"/>
              <w:bottom w:val="single" w:sz="4" w:space="0" w:color="auto"/>
              <w:right w:val="single" w:sz="8" w:space="0" w:color="auto"/>
            </w:tcBorders>
            <w:shd w:val="clear" w:color="auto" w:fill="auto"/>
            <w:noWrap/>
            <w:vAlign w:val="center"/>
            <w:hideMark/>
          </w:tcPr>
          <w:p w14:paraId="72DB558B" w14:textId="4D3338B1" w:rsidR="00650E28" w:rsidRPr="0084080B" w:rsidRDefault="00376F7A" w:rsidP="000F7BCF">
            <w:pPr>
              <w:jc w:val="center"/>
              <w:rPr>
                <w:rFonts w:eastAsia="Times New Roman" w:cs="Arial"/>
                <w:szCs w:val="20"/>
                <w:lang w:eastAsia="fr-FR"/>
              </w:rPr>
            </w:pPr>
            <w:r w:rsidRPr="0084080B">
              <w:rPr>
                <w:rFonts w:eastAsia="Times New Roman" w:cs="Arial"/>
                <w:szCs w:val="20"/>
                <w:lang w:eastAsia="fr-FR"/>
              </w:rPr>
              <w:t>781</w:t>
            </w:r>
            <w:r w:rsidR="00650E28" w:rsidRPr="0084080B">
              <w:rPr>
                <w:rFonts w:eastAsia="Times New Roman" w:cs="Arial"/>
                <w:szCs w:val="20"/>
                <w:lang w:eastAsia="fr-FR"/>
              </w:rPr>
              <w:t xml:space="preserve"> 000</w:t>
            </w:r>
          </w:p>
        </w:tc>
      </w:tr>
      <w:tr w:rsidR="00650E28" w:rsidRPr="00A51C82" w14:paraId="41469E36" w14:textId="77777777" w:rsidTr="0084080B">
        <w:trPr>
          <w:trHeight w:val="270"/>
          <w:jc w:val="center"/>
        </w:trPr>
        <w:tc>
          <w:tcPr>
            <w:tcW w:w="1716" w:type="dxa"/>
            <w:tcBorders>
              <w:top w:val="nil"/>
              <w:left w:val="single" w:sz="8" w:space="0" w:color="auto"/>
              <w:bottom w:val="single" w:sz="8" w:space="0" w:color="auto"/>
              <w:right w:val="single" w:sz="4" w:space="0" w:color="auto"/>
            </w:tcBorders>
            <w:shd w:val="clear" w:color="auto" w:fill="auto"/>
            <w:noWrap/>
            <w:vAlign w:val="bottom"/>
            <w:hideMark/>
          </w:tcPr>
          <w:p w14:paraId="01175A44" w14:textId="77777777" w:rsidR="00650E28" w:rsidRPr="0084080B" w:rsidRDefault="00650E28" w:rsidP="004C4CA3">
            <w:pPr>
              <w:jc w:val="both"/>
              <w:rPr>
                <w:rFonts w:eastAsia="Times New Roman" w:cs="Arial"/>
                <w:szCs w:val="20"/>
                <w:lang w:eastAsia="fr-FR"/>
              </w:rPr>
            </w:pPr>
            <w:r w:rsidRPr="0084080B">
              <w:rPr>
                <w:rFonts w:eastAsia="Times New Roman" w:cs="Arial"/>
                <w:szCs w:val="20"/>
                <w:lang w:eastAsia="fr-FR"/>
              </w:rPr>
              <w:t>Total</w:t>
            </w:r>
          </w:p>
        </w:tc>
        <w:tc>
          <w:tcPr>
            <w:tcW w:w="1465" w:type="dxa"/>
            <w:tcBorders>
              <w:top w:val="nil"/>
              <w:left w:val="nil"/>
              <w:bottom w:val="single" w:sz="8" w:space="0" w:color="auto"/>
              <w:right w:val="single" w:sz="4" w:space="0" w:color="auto"/>
            </w:tcBorders>
            <w:shd w:val="clear" w:color="auto" w:fill="auto"/>
            <w:noWrap/>
            <w:vAlign w:val="center"/>
            <w:hideMark/>
          </w:tcPr>
          <w:p w14:paraId="77EE98CC" w14:textId="77777777"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685 000</w:t>
            </w:r>
          </w:p>
        </w:tc>
        <w:tc>
          <w:tcPr>
            <w:tcW w:w="1465" w:type="dxa"/>
            <w:tcBorders>
              <w:top w:val="nil"/>
              <w:left w:val="nil"/>
              <w:bottom w:val="single" w:sz="8" w:space="0" w:color="auto"/>
              <w:right w:val="single" w:sz="4" w:space="0" w:color="auto"/>
            </w:tcBorders>
            <w:shd w:val="clear" w:color="auto" w:fill="auto"/>
            <w:vAlign w:val="center"/>
          </w:tcPr>
          <w:p w14:paraId="2AFAF2C8" w14:textId="77777777"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800 000</w:t>
            </w:r>
          </w:p>
        </w:tc>
        <w:tc>
          <w:tcPr>
            <w:tcW w:w="1383" w:type="dxa"/>
            <w:tcBorders>
              <w:top w:val="nil"/>
              <w:left w:val="nil"/>
              <w:bottom w:val="single" w:sz="8" w:space="0" w:color="auto"/>
              <w:right w:val="single" w:sz="4" w:space="0" w:color="auto"/>
            </w:tcBorders>
            <w:shd w:val="clear" w:color="auto" w:fill="auto"/>
            <w:noWrap/>
            <w:vAlign w:val="center"/>
            <w:hideMark/>
          </w:tcPr>
          <w:p w14:paraId="78409D8C" w14:textId="77777777"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1 350 000</w:t>
            </w:r>
          </w:p>
        </w:tc>
        <w:tc>
          <w:tcPr>
            <w:tcW w:w="1383" w:type="dxa"/>
            <w:tcBorders>
              <w:top w:val="nil"/>
              <w:left w:val="nil"/>
              <w:bottom w:val="single" w:sz="8" w:space="0" w:color="auto"/>
              <w:right w:val="single" w:sz="8" w:space="0" w:color="auto"/>
            </w:tcBorders>
            <w:shd w:val="clear" w:color="auto" w:fill="auto"/>
            <w:noWrap/>
            <w:vAlign w:val="center"/>
            <w:hideMark/>
          </w:tcPr>
          <w:p w14:paraId="41FA7AD2" w14:textId="77777777" w:rsidR="00650E28" w:rsidRPr="0084080B" w:rsidRDefault="00650E28" w:rsidP="000F7BCF">
            <w:pPr>
              <w:jc w:val="center"/>
              <w:rPr>
                <w:rFonts w:eastAsia="Times New Roman" w:cs="Arial"/>
                <w:szCs w:val="20"/>
                <w:lang w:eastAsia="fr-FR"/>
              </w:rPr>
            </w:pPr>
            <w:r w:rsidRPr="0084080B">
              <w:rPr>
                <w:rFonts w:eastAsia="Times New Roman" w:cs="Arial"/>
                <w:szCs w:val="20"/>
                <w:lang w:eastAsia="fr-FR"/>
              </w:rPr>
              <w:t>1 400 000</w:t>
            </w:r>
          </w:p>
        </w:tc>
      </w:tr>
    </w:tbl>
    <w:p w14:paraId="4D3041E0" w14:textId="611C985B" w:rsidR="00A51C82" w:rsidRPr="00A51C82" w:rsidRDefault="00A51C82" w:rsidP="004C4CA3">
      <w:pPr>
        <w:jc w:val="both"/>
        <w:rPr>
          <w:bCs/>
          <w:i/>
          <w:szCs w:val="20"/>
        </w:rPr>
      </w:pPr>
      <w:r w:rsidRPr="00A51C82">
        <w:rPr>
          <w:bCs/>
          <w:i/>
          <w:szCs w:val="20"/>
        </w:rPr>
        <w:t>Source : UrbanSim, avril 20</w:t>
      </w:r>
      <w:r w:rsidR="002E07B7">
        <w:rPr>
          <w:bCs/>
          <w:i/>
          <w:szCs w:val="20"/>
        </w:rPr>
        <w:t>20</w:t>
      </w:r>
    </w:p>
    <w:p w14:paraId="78071E7C" w14:textId="49CAF493" w:rsidR="00791C2F" w:rsidRDefault="00791C2F" w:rsidP="004C4CA3">
      <w:pPr>
        <w:jc w:val="both"/>
        <w:rPr>
          <w:bCs/>
          <w:szCs w:val="20"/>
        </w:rPr>
      </w:pPr>
    </w:p>
    <w:p w14:paraId="0A15762F" w14:textId="0CE58BE0" w:rsidR="00D16DB2" w:rsidRDefault="00D16DB2" w:rsidP="004C4CA3">
      <w:pPr>
        <w:jc w:val="both"/>
        <w:rPr>
          <w:bCs/>
          <w:szCs w:val="20"/>
        </w:rPr>
      </w:pPr>
      <w:r>
        <w:rPr>
          <w:bCs/>
          <w:szCs w:val="20"/>
        </w:rPr>
        <w:t>La zone dense est ici définie comme l’aire de la métropole du Grand Paris, à laquelle on rajoute les communautés concernées de Versailles, de Saclay, de Saint-Quentin en Yvelines, et de Roissy.</w:t>
      </w:r>
    </w:p>
    <w:p w14:paraId="2E11CC88" w14:textId="77777777" w:rsidR="00D16DB2" w:rsidRPr="00A51C82" w:rsidRDefault="00D16DB2" w:rsidP="004C4CA3">
      <w:pPr>
        <w:jc w:val="both"/>
        <w:rPr>
          <w:bCs/>
          <w:szCs w:val="20"/>
        </w:rPr>
      </w:pPr>
    </w:p>
    <w:p w14:paraId="44297DF2" w14:textId="1E6661D6" w:rsidR="00A51C82" w:rsidRDefault="00A51C82" w:rsidP="004C4CA3">
      <w:pPr>
        <w:jc w:val="both"/>
        <w:rPr>
          <w:szCs w:val="20"/>
        </w:rPr>
      </w:pPr>
      <w:r w:rsidRPr="00A51C82">
        <w:rPr>
          <w:bCs/>
          <w:szCs w:val="20"/>
        </w:rPr>
        <w:t>Par précaution</w:t>
      </w:r>
      <w:r w:rsidRPr="00A51C82">
        <w:rPr>
          <w:szCs w:val="20"/>
        </w:rPr>
        <w:t xml:space="preserve">, les données quantitatives avancées dans le présent dossier reprennent les estimations les plus prudentes possibles des différents effets et comprennent donc le plus souvent des biais de sous-estimation des bénéfices du projet. Les bénéfices « transports » ont été évalués pour chaque année à partir du début de la mise en service du premier tronçon mais sur la base de prévisions de trafic marquées d’une certaine </w:t>
      </w:r>
      <w:r w:rsidR="007B7BC2" w:rsidRPr="00786005">
        <w:rPr>
          <w:szCs w:val="20"/>
        </w:rPr>
        <w:t>sous-estimation</w:t>
      </w:r>
      <w:r w:rsidRPr="00A51C82">
        <w:rPr>
          <w:szCs w:val="20"/>
        </w:rPr>
        <w:t xml:space="preserve">. L’option a été également prise de ne faire démarrer les effets d’agglomération qu’à partir de 2030, et non pas au fur et à mesure de la relocalisation de </w:t>
      </w:r>
      <w:r w:rsidR="00293D48">
        <w:rPr>
          <w:szCs w:val="20"/>
        </w:rPr>
        <w:t xml:space="preserve">la croissance de </w:t>
      </w:r>
      <w:r w:rsidRPr="00A51C82">
        <w:rPr>
          <w:szCs w:val="20"/>
        </w:rPr>
        <w:t xml:space="preserve">l’emploi et de la population qui se produit </w:t>
      </w:r>
      <w:r w:rsidR="00795D4D">
        <w:rPr>
          <w:szCs w:val="20"/>
        </w:rPr>
        <w:t xml:space="preserve">en fait </w:t>
      </w:r>
      <w:r w:rsidRPr="00A51C82">
        <w:rPr>
          <w:szCs w:val="20"/>
        </w:rPr>
        <w:t xml:space="preserve">à partir de la mise en service des premiers tronçons. Il a été décidé également de ne pas intégrer de phénomène d’anticipation des agents économiques sur la réalisation du réseau, qui pourrait entraîner l’apparition de bénéfices socio-économiques avant la mise en service des premiers tronçons, </w:t>
      </w:r>
      <w:r w:rsidR="00795D4D">
        <w:rPr>
          <w:szCs w:val="20"/>
        </w:rPr>
        <w:t xml:space="preserve">pourtant réelle </w:t>
      </w:r>
      <w:r w:rsidRPr="00A51C82">
        <w:rPr>
          <w:szCs w:val="20"/>
        </w:rPr>
        <w:t>si on en croit la dynamique immobilière déjà constatée dans les quartiers de gare.</w:t>
      </w:r>
    </w:p>
    <w:p w14:paraId="4E7C95B8" w14:textId="51B7C925" w:rsidR="00C00FFB" w:rsidRDefault="00C00FFB" w:rsidP="004C4CA3">
      <w:pPr>
        <w:jc w:val="both"/>
        <w:rPr>
          <w:szCs w:val="20"/>
        </w:rPr>
      </w:pPr>
    </w:p>
    <w:p w14:paraId="12AC66FD" w14:textId="7AF7A384" w:rsidR="00F2269D" w:rsidRDefault="00F2269D" w:rsidP="004C4CA3">
      <w:pPr>
        <w:jc w:val="both"/>
        <w:rPr>
          <w:szCs w:val="20"/>
        </w:rPr>
      </w:pPr>
    </w:p>
    <w:p w14:paraId="0948F438" w14:textId="46AA23AB" w:rsidR="00F2269D" w:rsidRDefault="00F2269D" w:rsidP="004C4CA3">
      <w:pPr>
        <w:jc w:val="both"/>
        <w:rPr>
          <w:szCs w:val="20"/>
        </w:rPr>
      </w:pPr>
    </w:p>
    <w:tbl>
      <w:tblPr>
        <w:tblStyle w:val="Grilledutableau"/>
        <w:tblW w:w="0" w:type="auto"/>
        <w:tblLook w:val="04A0" w:firstRow="1" w:lastRow="0" w:firstColumn="1" w:lastColumn="0" w:noHBand="0" w:noVBand="1"/>
      </w:tblPr>
      <w:tblGrid>
        <w:gridCol w:w="10127"/>
      </w:tblGrid>
      <w:tr w:rsidR="00F2269D" w14:paraId="255EFF7E" w14:textId="77777777" w:rsidTr="00F2269D">
        <w:tc>
          <w:tcPr>
            <w:tcW w:w="10127" w:type="dxa"/>
          </w:tcPr>
          <w:p w14:paraId="4299CBF4" w14:textId="668193E4" w:rsidR="00F2269D" w:rsidRPr="00304C03" w:rsidRDefault="00F2269D" w:rsidP="00F2269D">
            <w:pPr>
              <w:jc w:val="both"/>
              <w:rPr>
                <w:b/>
                <w:bCs/>
                <w:color w:val="00B050"/>
                <w:szCs w:val="20"/>
              </w:rPr>
            </w:pPr>
            <w:r w:rsidRPr="00304C03">
              <w:rPr>
                <w:b/>
                <w:bCs/>
                <w:color w:val="00B050"/>
                <w:szCs w:val="20"/>
              </w:rPr>
              <w:t>Le modèle Urbansim</w:t>
            </w:r>
            <w:r w:rsidRPr="00304C03">
              <w:rPr>
                <w:rStyle w:val="Appelnotedebasdep"/>
                <w:b/>
                <w:bCs/>
                <w:color w:val="00B050"/>
                <w:szCs w:val="20"/>
              </w:rPr>
              <w:footnoteReference w:id="37"/>
            </w:r>
          </w:p>
          <w:p w14:paraId="0DC779B2" w14:textId="0997AC39" w:rsidR="00F2269D" w:rsidRPr="00304C03" w:rsidRDefault="00F2269D" w:rsidP="00F2269D">
            <w:pPr>
              <w:jc w:val="both"/>
              <w:rPr>
                <w:color w:val="00B050"/>
                <w:szCs w:val="20"/>
              </w:rPr>
            </w:pPr>
            <w:r w:rsidRPr="00304C03">
              <w:rPr>
                <w:color w:val="00B050"/>
                <w:szCs w:val="20"/>
              </w:rPr>
              <w:t>Le modèle Urbansim est un outil de simulation de l'usage des sols, des prix, de la mobilité des ménages et des entreprises. Il prend en compte les choix des agents (demande de logement, de bureaux, de terrain) à l'échelle individuelle. Urbansim intègre six modèles principaux : module démographique, développement urbain, relocalisation, localisation des ménages, localisation des entreprises, prix de l’immobilier, ainsi qu’une interaction avec le modèle de transport.</w:t>
            </w:r>
          </w:p>
          <w:p w14:paraId="38946C5E" w14:textId="74781771" w:rsidR="00F2269D" w:rsidRPr="00304C03" w:rsidRDefault="00F2269D" w:rsidP="00F2269D">
            <w:pPr>
              <w:jc w:val="both"/>
              <w:rPr>
                <w:color w:val="00B050"/>
                <w:szCs w:val="20"/>
              </w:rPr>
            </w:pPr>
            <w:r w:rsidRPr="00304C03">
              <w:rPr>
                <w:color w:val="00B050"/>
                <w:szCs w:val="20"/>
              </w:rPr>
              <w:t xml:space="preserve">Le module démographique est un modèle développé par l’INED, qui permet de calculer et de mettre à jour la base de données population de la région pour les années </w:t>
            </w:r>
            <w:r w:rsidR="00E11F05" w:rsidRPr="00304C03">
              <w:rPr>
                <w:color w:val="00B050"/>
                <w:szCs w:val="20"/>
              </w:rPr>
              <w:t>1999-2030</w:t>
            </w:r>
            <w:r w:rsidR="00E11F05" w:rsidRPr="00304C03">
              <w:rPr>
                <w:rStyle w:val="Appelnotedebasdep"/>
                <w:color w:val="00B050"/>
                <w:szCs w:val="20"/>
              </w:rPr>
              <w:footnoteReference w:id="38"/>
            </w:r>
            <w:r w:rsidRPr="00304C03">
              <w:rPr>
                <w:color w:val="00B050"/>
                <w:szCs w:val="20"/>
              </w:rPr>
              <w:t xml:space="preserve">. </w:t>
            </w:r>
          </w:p>
          <w:p w14:paraId="310E2FA9" w14:textId="003CBD36" w:rsidR="00F2269D" w:rsidRPr="00304C03" w:rsidRDefault="00F2269D" w:rsidP="00F2269D">
            <w:pPr>
              <w:jc w:val="both"/>
              <w:rPr>
                <w:color w:val="00B050"/>
                <w:szCs w:val="20"/>
              </w:rPr>
            </w:pPr>
            <w:r w:rsidRPr="00304C03">
              <w:rPr>
                <w:color w:val="00B050"/>
                <w:szCs w:val="20"/>
              </w:rPr>
              <w:t xml:space="preserve">Le modèle de développement urbain décrit l’évolution de l’usage des sols induite par les différentes parties prenantes : promoteurs immobiliers, et pouvoirs publics nationaux et locaux. Un projet de développement (construction d’une maison, d’un lotissement, d’un immeuble, projet d’aménagement) sera localisé de façon à maximiser le profit des opérateurs sous les contraintes locales réglementaires et en fonction des prix et de la demande locale des ménages et des entreprises. Urbansim simule la construction de nouveaux projets immobiliers ou la transformation des bâtiments déjà existants (résidentiels ou d’activité), entraînée par de nouvelles infrastructures. Les possibilités d’usage du sol sont définies de façon exogène et dépendent des régulations environnementales (protection des forêts, interdictions de construire à proximité des rivières et autres plans d’eau), du Plan local d'urbanisme et </w:t>
            </w:r>
            <w:r w:rsidR="003E7E3F">
              <w:rPr>
                <w:color w:val="00B050"/>
                <w:szCs w:val="20"/>
              </w:rPr>
              <w:t xml:space="preserve">des </w:t>
            </w:r>
            <w:r w:rsidRPr="00304C03">
              <w:rPr>
                <w:color w:val="00B050"/>
                <w:szCs w:val="20"/>
              </w:rPr>
              <w:t>autres restrictions dans l’attribution de</w:t>
            </w:r>
            <w:r w:rsidR="003E7E3F">
              <w:rPr>
                <w:color w:val="00B050"/>
                <w:szCs w:val="20"/>
              </w:rPr>
              <w:t>s</w:t>
            </w:r>
            <w:r w:rsidRPr="00304C03">
              <w:rPr>
                <w:color w:val="00B050"/>
                <w:szCs w:val="20"/>
              </w:rPr>
              <w:t xml:space="preserve"> permis de construire. En outre, compte tenu des délais dans les mécanismes d’ajustement, Urbansim suppose un décalage entre la décision d'allouer une zone à un mode d’usage du sol et la mise en place de l'offre disponible. On fait l’hypothèse </w:t>
            </w:r>
            <w:r w:rsidR="00E11F05" w:rsidRPr="00304C03">
              <w:rPr>
                <w:color w:val="00B050"/>
                <w:szCs w:val="20"/>
              </w:rPr>
              <w:t xml:space="preserve">des modèles de concurrence parfaite : </w:t>
            </w:r>
            <w:r w:rsidRPr="00304C03">
              <w:rPr>
                <w:color w:val="00B050"/>
                <w:szCs w:val="20"/>
              </w:rPr>
              <w:t xml:space="preserve">les ménages et les entreprises sont </w:t>
            </w:r>
            <w:r w:rsidR="003E7E3F">
              <w:rPr>
                <w:color w:val="00B050"/>
                <w:szCs w:val="20"/>
              </w:rPr>
              <w:t xml:space="preserve">supposés </w:t>
            </w:r>
            <w:r w:rsidRPr="00304C03">
              <w:rPr>
                <w:color w:val="00B050"/>
                <w:szCs w:val="20"/>
              </w:rPr>
              <w:t xml:space="preserve">trop petits pour peser sur les prix. Les prix de l’immobilier s'ajustent d'une année à l'autre en fonction de l’évolution respective de l'offre et de la demande dans chacun des sous-marchés (bureaux, appartement, maisons, en location ou en vente …). Le comportement des ménages et des entreprises dépend de multiples facteurs dont les prix, l'accessibilité, les aménités locales, etc. </w:t>
            </w:r>
          </w:p>
          <w:p w14:paraId="08473440" w14:textId="000F42BE" w:rsidR="00F2269D" w:rsidRPr="00304C03" w:rsidRDefault="00F2269D" w:rsidP="00F2269D">
            <w:pPr>
              <w:jc w:val="both"/>
              <w:rPr>
                <w:color w:val="00B050"/>
                <w:szCs w:val="20"/>
              </w:rPr>
            </w:pPr>
            <w:r w:rsidRPr="00304C03">
              <w:rPr>
                <w:color w:val="00B050"/>
                <w:szCs w:val="20"/>
              </w:rPr>
              <w:t>Le modèle de relocalisation correspond à la décision d’un agent (ménage ou entreprise) de quitter sa localisation précédente, qui pouvait être située soit dans la région soit en dehors, ainsi qu’à la di</w:t>
            </w:r>
            <w:r w:rsidR="003E7E3F">
              <w:rPr>
                <w:color w:val="00B050"/>
                <w:szCs w:val="20"/>
              </w:rPr>
              <w:t>minution dans la région Île de France</w:t>
            </w:r>
            <w:r w:rsidRPr="00304C03">
              <w:rPr>
                <w:color w:val="00B050"/>
                <w:szCs w:val="20"/>
              </w:rPr>
              <w:t xml:space="preserve"> d</w:t>
            </w:r>
            <w:r w:rsidR="003E7E3F">
              <w:rPr>
                <w:color w:val="00B050"/>
                <w:szCs w:val="20"/>
              </w:rPr>
              <w:t>u nombre d</w:t>
            </w:r>
            <w:r w:rsidRPr="00304C03">
              <w:rPr>
                <w:color w:val="00B050"/>
                <w:szCs w:val="20"/>
              </w:rPr>
              <w:t>e</w:t>
            </w:r>
            <w:r w:rsidR="003E7E3F">
              <w:rPr>
                <w:color w:val="00B050"/>
                <w:szCs w:val="20"/>
              </w:rPr>
              <w:t>s</w:t>
            </w:r>
            <w:r w:rsidRPr="00304C03">
              <w:rPr>
                <w:color w:val="00B050"/>
                <w:szCs w:val="20"/>
              </w:rPr>
              <w:t xml:space="preserve"> ménages (par émigration ou éclatement des ménages existants) ou d</w:t>
            </w:r>
            <w:r w:rsidR="003E7E3F">
              <w:rPr>
                <w:color w:val="00B050"/>
                <w:szCs w:val="20"/>
              </w:rPr>
              <w:t xml:space="preserve">es </w:t>
            </w:r>
            <w:r w:rsidRPr="00304C03">
              <w:rPr>
                <w:color w:val="00B050"/>
                <w:szCs w:val="20"/>
              </w:rPr>
              <w:t>entreprises (</w:t>
            </w:r>
            <w:r w:rsidR="003E7E3F">
              <w:rPr>
                <w:color w:val="00B050"/>
                <w:szCs w:val="20"/>
              </w:rPr>
              <w:t xml:space="preserve">par </w:t>
            </w:r>
            <w:r w:rsidRPr="00304C03">
              <w:rPr>
                <w:color w:val="00B050"/>
                <w:szCs w:val="20"/>
              </w:rPr>
              <w:t xml:space="preserve">faillite ou délocalisation). </w:t>
            </w:r>
          </w:p>
          <w:p w14:paraId="2EAC242A" w14:textId="45A569A0" w:rsidR="00F2269D" w:rsidRPr="00304C03" w:rsidRDefault="00F2269D" w:rsidP="00F2269D">
            <w:pPr>
              <w:jc w:val="both"/>
              <w:rPr>
                <w:color w:val="00B050"/>
                <w:szCs w:val="20"/>
              </w:rPr>
            </w:pPr>
            <w:r w:rsidRPr="00304C03">
              <w:rPr>
                <w:color w:val="00B050"/>
                <w:szCs w:val="20"/>
              </w:rPr>
              <w:t>La localisation résidentielle est spécifique à chaque type de résidence, et est sensible à de nombreuses variables locales telles que</w:t>
            </w:r>
            <w:r w:rsidR="00D850DC">
              <w:rPr>
                <w:color w:val="00B050"/>
                <w:szCs w:val="20"/>
              </w:rPr>
              <w:t xml:space="preserve"> : </w:t>
            </w:r>
            <w:r w:rsidRPr="00304C03">
              <w:rPr>
                <w:color w:val="00B050"/>
                <w:szCs w:val="20"/>
              </w:rPr>
              <w:t xml:space="preserve">la densité de population, l'accès aux emplois et aux commerces, la distance au centre urbain (mesurée par rapport au Métro Châtelet qui est le point le plus accessible du réseau de transports publics) et aux voies rapides et autoroutes, la composition du voisinage en termes de revenu des ménages, taille, nationalité, et </w:t>
            </w:r>
            <w:r w:rsidR="00D850DC">
              <w:rPr>
                <w:color w:val="00B050"/>
                <w:szCs w:val="20"/>
              </w:rPr>
              <w:t xml:space="preserve">les </w:t>
            </w:r>
            <w:r w:rsidRPr="00304C03">
              <w:rPr>
                <w:color w:val="00B050"/>
                <w:szCs w:val="20"/>
              </w:rPr>
              <w:t xml:space="preserve">autres aménités </w:t>
            </w:r>
            <w:r w:rsidR="00E11F05" w:rsidRPr="00304C03">
              <w:rPr>
                <w:color w:val="00B050"/>
                <w:sz w:val="22"/>
                <w:szCs w:val="22"/>
              </w:rPr>
              <w:t>locales</w:t>
            </w:r>
            <w:r w:rsidR="00E11F05" w:rsidRPr="00304C03">
              <w:rPr>
                <w:rStyle w:val="Appelnotedebasdep"/>
                <w:color w:val="00B050"/>
                <w:sz w:val="22"/>
                <w:szCs w:val="22"/>
              </w:rPr>
              <w:footnoteReference w:id="39"/>
            </w:r>
            <w:r w:rsidRPr="00304C03">
              <w:rPr>
                <w:color w:val="00B050"/>
                <w:szCs w:val="20"/>
              </w:rPr>
              <w:t xml:space="preserve">. Chaque ménage choisit sa localisation dans un ensemble réduit par les contraintes de capacité, de façon à maximiser son utilité, qui dépend des variables locales ci-dessus. Tous les logements d’un même type (appartement ou maison, en location ou en vente) disponibles dans une commune au début de l'année procurent statistiquement le même niveau d’utilité à un ménage donné. </w:t>
            </w:r>
          </w:p>
          <w:p w14:paraId="1CF4197B" w14:textId="1379C865" w:rsidR="00F2269D" w:rsidRPr="00304C03" w:rsidRDefault="00F2269D" w:rsidP="00F2269D">
            <w:pPr>
              <w:jc w:val="both"/>
              <w:rPr>
                <w:color w:val="00B050"/>
                <w:szCs w:val="20"/>
              </w:rPr>
            </w:pPr>
            <w:r w:rsidRPr="00304C03">
              <w:rPr>
                <w:color w:val="00B050"/>
                <w:szCs w:val="20"/>
              </w:rPr>
              <w:t xml:space="preserve">Les prix immobiliers sont mis à jour chaque année, par ajustement partiel sur chaque marché immobilier (location </w:t>
            </w:r>
            <w:r w:rsidR="00D850DC">
              <w:rPr>
                <w:color w:val="00B050"/>
                <w:szCs w:val="20"/>
              </w:rPr>
              <w:t>ou</w:t>
            </w:r>
            <w:r w:rsidRPr="00304C03">
              <w:rPr>
                <w:color w:val="00B050"/>
                <w:szCs w:val="20"/>
              </w:rPr>
              <w:t xml:space="preserve"> achat ; maisons, appartements, bureaux, locaux d’activité) et ne varient pas pendant l'année, ce qui peut entraîner des effets de rationnement local. Les prix de l’immobilier sont estimés par des modèles « hédoniques », en s’appuyant sur les données de la Cote Callon et sur celles de la base BIEN des notaires. </w:t>
            </w:r>
          </w:p>
          <w:p w14:paraId="5B823C54" w14:textId="42097567" w:rsidR="00F2269D" w:rsidRPr="00304C03" w:rsidRDefault="00F2269D" w:rsidP="00F2269D">
            <w:pPr>
              <w:jc w:val="both"/>
              <w:rPr>
                <w:color w:val="00B050"/>
                <w:szCs w:val="20"/>
              </w:rPr>
            </w:pPr>
            <w:r w:rsidRPr="00304C03">
              <w:rPr>
                <w:color w:val="00B050"/>
                <w:szCs w:val="20"/>
              </w:rPr>
              <w:t>La localisation des entreprises dépend de l'accessibilité aux salariés et aux consommateurs, de</w:t>
            </w:r>
            <w:r w:rsidR="00D850DC">
              <w:rPr>
                <w:color w:val="00B050"/>
                <w:szCs w:val="20"/>
              </w:rPr>
              <w:t>s</w:t>
            </w:r>
            <w:r w:rsidRPr="00304C03">
              <w:rPr>
                <w:color w:val="00B050"/>
                <w:szCs w:val="20"/>
              </w:rPr>
              <w:t xml:space="preserve"> forces d'agglomération, des effets de complémentarité ou de substituabilité entre les entreprises, de la densité de la population, de la distribution de l'affectation des sols, de la distance aux infrastructures routières et de la distance au centre (Chatelet). L’accessibilité aux salariés se calcule comme un temps de trajet domicile-travail moyen (pondéré par les effectifs concernés). </w:t>
            </w:r>
          </w:p>
          <w:p w14:paraId="5DC68EBE" w14:textId="2E5148A5" w:rsidR="00F2269D" w:rsidRDefault="00F2269D" w:rsidP="00F2269D">
            <w:pPr>
              <w:jc w:val="both"/>
              <w:rPr>
                <w:szCs w:val="20"/>
              </w:rPr>
            </w:pPr>
            <w:r w:rsidRPr="00304C03">
              <w:rPr>
                <w:color w:val="00B050"/>
                <w:szCs w:val="20"/>
              </w:rPr>
              <w:t>L’interaction transport s’appuie sur MODUS, qui fournit des matrices de temps de trajet correspondant à chaque paire Origine-Destination (OD).</w:t>
            </w:r>
          </w:p>
        </w:tc>
      </w:tr>
    </w:tbl>
    <w:p w14:paraId="50EF4BF4" w14:textId="5C476D72" w:rsidR="00F2269D" w:rsidRDefault="00F2269D" w:rsidP="004C4CA3">
      <w:pPr>
        <w:jc w:val="both"/>
        <w:rPr>
          <w:szCs w:val="20"/>
        </w:rPr>
      </w:pPr>
    </w:p>
    <w:p w14:paraId="06D19358" w14:textId="2F474F87" w:rsidR="00A51C82" w:rsidRPr="00AB770C" w:rsidRDefault="00A51C82" w:rsidP="00412C10">
      <w:pPr>
        <w:pStyle w:val="Titre3"/>
        <w:numPr>
          <w:ilvl w:val="3"/>
          <w:numId w:val="33"/>
        </w:numPr>
      </w:pPr>
      <w:bookmarkStart w:id="110" w:name="_Toc406757050"/>
      <w:bookmarkStart w:id="111" w:name="_Toc46917075"/>
      <w:bookmarkStart w:id="112" w:name="_Toc63352146"/>
      <w:r w:rsidRPr="00AB770C">
        <w:lastRenderedPageBreak/>
        <w:t>Les options étudiées et le cadre macroéconomique</w:t>
      </w:r>
      <w:bookmarkEnd w:id="110"/>
      <w:bookmarkEnd w:id="111"/>
      <w:bookmarkEnd w:id="112"/>
    </w:p>
    <w:p w14:paraId="310E560F" w14:textId="77777777" w:rsidR="00791C2F" w:rsidRDefault="00791C2F" w:rsidP="004C4CA3">
      <w:pPr>
        <w:jc w:val="both"/>
        <w:rPr>
          <w:szCs w:val="20"/>
        </w:rPr>
      </w:pPr>
    </w:p>
    <w:p w14:paraId="70B3476F" w14:textId="63BE2CD2" w:rsidR="00791C2F" w:rsidRDefault="00795D4D" w:rsidP="004C4CA3">
      <w:pPr>
        <w:jc w:val="both"/>
        <w:rPr>
          <w:bCs/>
          <w:szCs w:val="20"/>
        </w:rPr>
      </w:pPr>
      <w:r>
        <w:rPr>
          <w:szCs w:val="20"/>
        </w:rPr>
        <w:t>Deux</w:t>
      </w:r>
      <w:r w:rsidR="00A51C82" w:rsidRPr="00A51C82">
        <w:rPr>
          <w:szCs w:val="20"/>
        </w:rPr>
        <w:t xml:space="preserve"> options de projet ont été examinées pour déterminer les gains potentiels de bien-être. </w:t>
      </w:r>
      <w:r>
        <w:rPr>
          <w:szCs w:val="20"/>
        </w:rPr>
        <w:t xml:space="preserve">Le </w:t>
      </w:r>
      <w:r w:rsidR="00A51C82" w:rsidRPr="00A51C82">
        <w:rPr>
          <w:szCs w:val="20"/>
        </w:rPr>
        <w:t>cadrage socio-démographique</w:t>
      </w:r>
      <w:r>
        <w:rPr>
          <w:szCs w:val="20"/>
        </w:rPr>
        <w:t xml:space="preserve"> de l’option basse a</w:t>
      </w:r>
      <w:r w:rsidR="00A51C82" w:rsidRPr="00A51C82">
        <w:rPr>
          <w:szCs w:val="20"/>
        </w:rPr>
        <w:t xml:space="preserve"> fait l’objet des prévisions de trafic vues plus haut, dont les résultats ont été utilisés en données d’entrée dans l’évaluation socio-économique. </w:t>
      </w:r>
      <w:r w:rsidR="00A51C82" w:rsidRPr="00A51C82">
        <w:rPr>
          <w:bCs/>
          <w:szCs w:val="20"/>
        </w:rPr>
        <w:t>Les données d’entrée en matière de trafic et de déplacements servant à l’évaluation socio-économique sont issues des prévisions produites avec le modèle de transport MODUS</w:t>
      </w:r>
      <w:r w:rsidR="00376F7A">
        <w:rPr>
          <w:bCs/>
          <w:szCs w:val="20"/>
        </w:rPr>
        <w:t>-3</w:t>
      </w:r>
      <w:r w:rsidR="00A51C82" w:rsidRPr="001B6085">
        <w:rPr>
          <w:bCs/>
          <w:color w:val="FF0000"/>
          <w:szCs w:val="20"/>
        </w:rPr>
        <w:t xml:space="preserve"> </w:t>
      </w:r>
      <w:r w:rsidR="00A51C82" w:rsidRPr="00A51C82">
        <w:rPr>
          <w:bCs/>
          <w:szCs w:val="20"/>
        </w:rPr>
        <w:t xml:space="preserve">de la </w:t>
      </w:r>
      <w:r w:rsidR="00A51C82" w:rsidRPr="00A51C82">
        <w:rPr>
          <w:szCs w:val="20"/>
        </w:rPr>
        <w:t>Direction Régionale et Interdépartementale de l’Équipement et de l’Aménagement (DRIEA) d’Île-de-France</w:t>
      </w:r>
      <w:r w:rsidR="00A51C82" w:rsidRPr="00A51C82">
        <w:rPr>
          <w:bCs/>
          <w:szCs w:val="20"/>
        </w:rPr>
        <w:t xml:space="preserve">. </w:t>
      </w:r>
    </w:p>
    <w:p w14:paraId="11CA71F2" w14:textId="77777777" w:rsidR="00795D4D" w:rsidRDefault="00795D4D" w:rsidP="004C4CA3">
      <w:pPr>
        <w:jc w:val="both"/>
        <w:rPr>
          <w:b/>
          <w:bCs/>
          <w:szCs w:val="20"/>
        </w:rPr>
      </w:pPr>
    </w:p>
    <w:p w14:paraId="28C84F42" w14:textId="58DF8105" w:rsidR="00A51C82" w:rsidRPr="00A51C82" w:rsidRDefault="00A51C82" w:rsidP="004C4CA3">
      <w:pPr>
        <w:jc w:val="both"/>
        <w:rPr>
          <w:bCs/>
          <w:szCs w:val="20"/>
        </w:rPr>
      </w:pPr>
      <w:r w:rsidRPr="00A51C82">
        <w:rPr>
          <w:b/>
          <w:bCs/>
          <w:szCs w:val="20"/>
        </w:rPr>
        <w:t>Le cadre macro-économique national</w:t>
      </w:r>
      <w:r w:rsidRPr="00A51C82">
        <w:rPr>
          <w:bCs/>
          <w:szCs w:val="20"/>
        </w:rPr>
        <w:t xml:space="preserve"> correspond au cadre standard défini par l’instruction de juin 2014, c’est-à-dire une croissance du PIB français de 1,5% par an ; des test de risques ont été effectués, ainsi que les deux tests de sensibilité demandés par le Commissariat général à l’investissement dans son avis du 20 juin 2014, le premier avec un taux de croissance de 0,5%, le second avec une hypothèse très défavorable sur le très long terme de croissance nulle à partir de 2035 (voir le point</w:t>
      </w:r>
      <w:r w:rsidR="00795D4D">
        <w:rPr>
          <w:bCs/>
          <w:szCs w:val="20"/>
        </w:rPr>
        <w:t xml:space="preserve"> </w:t>
      </w:r>
      <w:r w:rsidRPr="00A51C82">
        <w:rPr>
          <w:bCs/>
          <w:szCs w:val="20"/>
        </w:rPr>
        <w:t xml:space="preserve">7 de ce chapitre). </w:t>
      </w:r>
    </w:p>
    <w:p w14:paraId="27955A0A" w14:textId="77777777" w:rsidR="00791C2F" w:rsidRPr="00B171CA" w:rsidRDefault="00791C2F" w:rsidP="004C4CA3">
      <w:pPr>
        <w:jc w:val="both"/>
        <w:rPr>
          <w:bCs/>
          <w:szCs w:val="20"/>
        </w:rPr>
      </w:pPr>
    </w:p>
    <w:p w14:paraId="39DF7A0B" w14:textId="7BEFC142" w:rsidR="00A51C82" w:rsidRPr="00B171CA" w:rsidRDefault="00A51C82" w:rsidP="004C4CA3">
      <w:pPr>
        <w:jc w:val="both"/>
        <w:rPr>
          <w:bCs/>
          <w:szCs w:val="20"/>
        </w:rPr>
      </w:pPr>
      <w:r w:rsidRPr="00B171CA">
        <w:rPr>
          <w:bCs/>
          <w:szCs w:val="20"/>
        </w:rPr>
        <w:t xml:space="preserve">L’option de référence </w:t>
      </w:r>
      <w:r w:rsidR="00650E28" w:rsidRPr="00B171CA">
        <w:rPr>
          <w:bCs/>
          <w:szCs w:val="20"/>
        </w:rPr>
        <w:t xml:space="preserve">est </w:t>
      </w:r>
      <w:r w:rsidRPr="00B171CA">
        <w:rPr>
          <w:bCs/>
          <w:szCs w:val="20"/>
        </w:rPr>
        <w:t xml:space="preserve">« tendancielle » pour la croissance de la région </w:t>
      </w:r>
      <w:r w:rsidR="00650E28" w:rsidRPr="00B171CA">
        <w:rPr>
          <w:bCs/>
          <w:szCs w:val="20"/>
        </w:rPr>
        <w:t xml:space="preserve">et </w:t>
      </w:r>
      <w:r w:rsidRPr="00B171CA">
        <w:rPr>
          <w:bCs/>
          <w:szCs w:val="20"/>
        </w:rPr>
        <w:t xml:space="preserve">correspond aux hypothèses de croissance de l’emploi et de la population </w:t>
      </w:r>
      <w:r w:rsidR="00B171CA" w:rsidRPr="00B171CA">
        <w:rPr>
          <w:bCs/>
          <w:szCs w:val="20"/>
        </w:rPr>
        <w:t>les plus probables en l’absence de réalisation du</w:t>
      </w:r>
      <w:r w:rsidRPr="00B171CA">
        <w:rPr>
          <w:bCs/>
          <w:szCs w:val="20"/>
        </w:rPr>
        <w:t xml:space="preserve"> Grand Paris Express : la croissance tendancielle anticipée en 2008 de l’emploi entre 2005 et 2030 était d’un peu moins de </w:t>
      </w:r>
      <w:r w:rsidR="00B171CA" w:rsidRPr="00B171CA">
        <w:rPr>
          <w:bCs/>
          <w:szCs w:val="20"/>
        </w:rPr>
        <w:t>685</w:t>
      </w:r>
      <w:r w:rsidR="0084080B">
        <w:rPr>
          <w:bCs/>
          <w:szCs w:val="20"/>
        </w:rPr>
        <w:t> </w:t>
      </w:r>
      <w:r w:rsidRPr="00B171CA">
        <w:rPr>
          <w:bCs/>
          <w:szCs w:val="20"/>
        </w:rPr>
        <w:t xml:space="preserve">000 emplois, correspondant à la prolongation de la tendance passée. </w:t>
      </w:r>
      <w:r w:rsidR="00795D4D">
        <w:rPr>
          <w:bCs/>
          <w:szCs w:val="20"/>
        </w:rPr>
        <w:t xml:space="preserve">Cette </w:t>
      </w:r>
      <w:r w:rsidRPr="00B171CA">
        <w:rPr>
          <w:bCs/>
          <w:szCs w:val="20"/>
        </w:rPr>
        <w:t xml:space="preserve">population en 2030 de la région était prévue pour être alors être comprise entre 12 millions de personnes en hypothèse basse et 13,2 millions en hypothèse haute, selon les évolutions des taux d’activité et des migrations, et avec une poursuite de la diminution du nombre de personnes par ménage. </w:t>
      </w:r>
    </w:p>
    <w:p w14:paraId="7505ADB3" w14:textId="77777777" w:rsidR="00791C2F" w:rsidRPr="00A51C82" w:rsidRDefault="00791C2F" w:rsidP="004C4CA3">
      <w:pPr>
        <w:jc w:val="both"/>
        <w:rPr>
          <w:bCs/>
          <w:szCs w:val="20"/>
        </w:rPr>
      </w:pPr>
    </w:p>
    <w:p w14:paraId="2356B4ED" w14:textId="6D618853" w:rsidR="00A51C82" w:rsidRPr="00A51C82" w:rsidRDefault="00A51C82" w:rsidP="00B171CA">
      <w:pPr>
        <w:jc w:val="both"/>
        <w:rPr>
          <w:bCs/>
          <w:szCs w:val="20"/>
        </w:rPr>
      </w:pPr>
      <w:r w:rsidRPr="00B171CA">
        <w:rPr>
          <w:bCs/>
          <w:szCs w:val="20"/>
        </w:rPr>
        <w:t xml:space="preserve">L’évaluation socio-économique </w:t>
      </w:r>
      <w:r w:rsidR="00B171CA" w:rsidRPr="00B171CA">
        <w:rPr>
          <w:bCs/>
          <w:szCs w:val="20"/>
        </w:rPr>
        <w:t xml:space="preserve">considère </w:t>
      </w:r>
      <w:r w:rsidR="00650E28" w:rsidRPr="00B171CA">
        <w:rPr>
          <w:szCs w:val="20"/>
        </w:rPr>
        <w:t>deux</w:t>
      </w:r>
      <w:r w:rsidRPr="00B171CA">
        <w:rPr>
          <w:szCs w:val="20"/>
        </w:rPr>
        <w:t xml:space="preserve"> options de projet</w:t>
      </w:r>
      <w:r w:rsidR="001B6085" w:rsidRPr="00B171CA">
        <w:rPr>
          <w:bCs/>
          <w:szCs w:val="20"/>
        </w:rPr>
        <w:t>, l’option basse « S1 » et l’option haute « S2 »</w:t>
      </w:r>
      <w:r w:rsidR="00B171CA">
        <w:rPr>
          <w:bCs/>
          <w:szCs w:val="20"/>
        </w:rPr>
        <w:t xml:space="preserve">. Mais </w:t>
      </w:r>
      <w:r w:rsidR="004C7EA8">
        <w:rPr>
          <w:bCs/>
          <w:szCs w:val="20"/>
        </w:rPr>
        <w:t>le présent document</w:t>
      </w:r>
      <w:r w:rsidR="00B171CA">
        <w:rPr>
          <w:bCs/>
          <w:szCs w:val="20"/>
        </w:rPr>
        <w:t xml:space="preserve"> ne </w:t>
      </w:r>
      <w:r w:rsidR="00B171CA" w:rsidRPr="00B171CA">
        <w:rPr>
          <w:b/>
          <w:szCs w:val="20"/>
        </w:rPr>
        <w:t>se centre, par prudence</w:t>
      </w:r>
      <w:r w:rsidR="00F2269D">
        <w:rPr>
          <w:b/>
          <w:szCs w:val="20"/>
        </w:rPr>
        <w:t>,</w:t>
      </w:r>
      <w:r w:rsidR="00B171CA" w:rsidRPr="00B171CA">
        <w:rPr>
          <w:b/>
          <w:szCs w:val="20"/>
        </w:rPr>
        <w:t xml:space="preserve"> que sur l’o</w:t>
      </w:r>
      <w:r w:rsidRPr="00B171CA">
        <w:rPr>
          <w:b/>
          <w:szCs w:val="20"/>
        </w:rPr>
        <w:t xml:space="preserve">ption </w:t>
      </w:r>
      <w:r w:rsidR="00650E28" w:rsidRPr="00B171CA">
        <w:rPr>
          <w:b/>
          <w:szCs w:val="20"/>
        </w:rPr>
        <w:t>basse</w:t>
      </w:r>
      <w:r w:rsidRPr="00B171CA">
        <w:rPr>
          <w:b/>
          <w:szCs w:val="20"/>
        </w:rPr>
        <w:t xml:space="preserve"> « S1 » </w:t>
      </w:r>
      <w:r w:rsidR="00B171CA" w:rsidRPr="00B171CA">
        <w:rPr>
          <w:bCs/>
          <w:szCs w:val="20"/>
        </w:rPr>
        <w:t>selon laquelle</w:t>
      </w:r>
      <w:r w:rsidRPr="00B171CA">
        <w:rPr>
          <w:bCs/>
          <w:szCs w:val="20"/>
        </w:rPr>
        <w:t xml:space="preserve"> </w:t>
      </w:r>
      <w:r w:rsidRPr="00A51C82">
        <w:rPr>
          <w:bCs/>
          <w:szCs w:val="20"/>
        </w:rPr>
        <w:t xml:space="preserve">la réalisation du projet du Grand Paris Express est </w:t>
      </w:r>
      <w:r w:rsidR="00412397">
        <w:rPr>
          <w:bCs/>
          <w:szCs w:val="20"/>
        </w:rPr>
        <w:t xml:space="preserve">supposée être </w:t>
      </w:r>
      <w:r w:rsidRPr="00A51C82">
        <w:rPr>
          <w:bCs/>
          <w:szCs w:val="20"/>
        </w:rPr>
        <w:t>à l’origine d’une croissance supplémentaire de 115</w:t>
      </w:r>
      <w:r w:rsidR="0084080B">
        <w:rPr>
          <w:bCs/>
          <w:szCs w:val="20"/>
        </w:rPr>
        <w:t> </w:t>
      </w:r>
      <w:r w:rsidRPr="00A51C82">
        <w:rPr>
          <w:bCs/>
          <w:szCs w:val="20"/>
        </w:rPr>
        <w:t>000 emplois et de 50</w:t>
      </w:r>
      <w:r w:rsidR="0084080B">
        <w:rPr>
          <w:bCs/>
          <w:szCs w:val="20"/>
        </w:rPr>
        <w:t> </w:t>
      </w:r>
      <w:r w:rsidRPr="00A51C82">
        <w:rPr>
          <w:bCs/>
          <w:szCs w:val="20"/>
        </w:rPr>
        <w:t>000 habitants entre 2005 et 2030</w:t>
      </w:r>
      <w:r w:rsidR="004C7EA8">
        <w:rPr>
          <w:bCs/>
          <w:szCs w:val="20"/>
        </w:rPr>
        <w:t xml:space="preserve">. La croissance de l’emploi induite par le </w:t>
      </w:r>
      <w:r w:rsidRPr="00A51C82">
        <w:rPr>
          <w:bCs/>
          <w:szCs w:val="20"/>
        </w:rPr>
        <w:t xml:space="preserve">Grand Paris Express permet de résorber le chômage </w:t>
      </w:r>
      <w:r w:rsidR="004C7EA8">
        <w:rPr>
          <w:bCs/>
          <w:szCs w:val="20"/>
        </w:rPr>
        <w:t xml:space="preserve">d’une manière significative </w:t>
      </w:r>
      <w:r w:rsidRPr="00A51C82">
        <w:rPr>
          <w:bCs/>
          <w:szCs w:val="20"/>
        </w:rPr>
        <w:t>comme l’ont montré les recherches effectuées sur le lien entre l’accessibilité et le chômage</w:t>
      </w:r>
      <w:r w:rsidRPr="00A51C82">
        <w:rPr>
          <w:bCs/>
          <w:szCs w:val="20"/>
          <w:vertAlign w:val="superscript"/>
        </w:rPr>
        <w:footnoteReference w:id="40"/>
      </w:r>
      <w:r w:rsidRPr="00A51C82">
        <w:rPr>
          <w:bCs/>
          <w:szCs w:val="20"/>
        </w:rPr>
        <w:t xml:space="preserve">. </w:t>
      </w:r>
      <w:r w:rsidR="00B171CA">
        <w:rPr>
          <w:bCs/>
          <w:szCs w:val="20"/>
        </w:rPr>
        <w:t xml:space="preserve"> </w:t>
      </w:r>
      <w:r w:rsidRPr="00A51C82">
        <w:rPr>
          <w:bCs/>
          <w:szCs w:val="20"/>
        </w:rPr>
        <w:t>Cette</w:t>
      </w:r>
      <w:r w:rsidRPr="00A51C82">
        <w:rPr>
          <w:b/>
          <w:bCs/>
          <w:szCs w:val="20"/>
        </w:rPr>
        <w:t xml:space="preserve"> croissance additionnelle de 115</w:t>
      </w:r>
      <w:r w:rsidR="0084080B">
        <w:rPr>
          <w:b/>
          <w:bCs/>
          <w:szCs w:val="20"/>
        </w:rPr>
        <w:t> </w:t>
      </w:r>
      <w:r w:rsidRPr="00A51C82">
        <w:rPr>
          <w:b/>
          <w:bCs/>
          <w:szCs w:val="20"/>
        </w:rPr>
        <w:t xml:space="preserve">000 emplois induits par le projet </w:t>
      </w:r>
      <w:r w:rsidRPr="00A51C82">
        <w:rPr>
          <w:bCs/>
          <w:szCs w:val="20"/>
        </w:rPr>
        <w:t xml:space="preserve">correspond à plusieurs causes et est cohérente avec les données globales du Schéma Directeur de la région Île-de-France. </w:t>
      </w:r>
      <w:r w:rsidR="004C7EA8">
        <w:rPr>
          <w:bCs/>
          <w:szCs w:val="20"/>
        </w:rPr>
        <w:t>L’option haute « S2 » est examinée succinctement en variante (voir page 52).</w:t>
      </w:r>
    </w:p>
    <w:p w14:paraId="5067ABAF" w14:textId="77777777" w:rsidR="00791C2F" w:rsidRDefault="00791C2F" w:rsidP="004C4CA3">
      <w:pPr>
        <w:jc w:val="both"/>
        <w:rPr>
          <w:bCs/>
          <w:szCs w:val="20"/>
        </w:rPr>
      </w:pPr>
    </w:p>
    <w:p w14:paraId="34322C45" w14:textId="4768F285" w:rsidR="00A51C82" w:rsidRPr="00A51C82" w:rsidRDefault="00A51C82" w:rsidP="004C4CA3">
      <w:pPr>
        <w:jc w:val="both"/>
        <w:rPr>
          <w:bCs/>
          <w:szCs w:val="20"/>
        </w:rPr>
      </w:pPr>
      <w:r w:rsidRPr="00A51C82">
        <w:rPr>
          <w:bCs/>
          <w:szCs w:val="20"/>
        </w:rPr>
        <w:t xml:space="preserve">En premier lieu, la création du métro du Grand Paris Express aura un effet sur l’attractivité de la région pour les investisseurs internationaux, tant industriels, de bureaux que résidentiels, qui, sachant qu’ils vont bénéficier d’un marché du travail plus performant en raison de l’amélioration de l’accessibilité aux centres d’emploi, ainsi que d’une polarisation de l’activité qui leur permettra de bénéficier d’économies d’agglomération, vont anticiper sur les avantages futurs des localisations </w:t>
      </w:r>
      <w:r w:rsidR="004C7EA8">
        <w:rPr>
          <w:bCs/>
          <w:szCs w:val="20"/>
        </w:rPr>
        <w:t>proposées dans la région Île de France et c</w:t>
      </w:r>
      <w:r w:rsidRPr="00A51C82">
        <w:rPr>
          <w:bCs/>
          <w:szCs w:val="20"/>
        </w:rPr>
        <w:t xml:space="preserve">ontribuer à la polarisation autour de nœuds de transports, et donc renforcer </w:t>
      </w:r>
      <w:r w:rsidR="004C7EA8">
        <w:rPr>
          <w:bCs/>
          <w:szCs w:val="20"/>
        </w:rPr>
        <w:t xml:space="preserve">l’efficacité sociale et </w:t>
      </w:r>
      <w:r w:rsidRPr="00A51C82">
        <w:rPr>
          <w:bCs/>
          <w:szCs w:val="20"/>
        </w:rPr>
        <w:t xml:space="preserve"> économiques de l'agglomération urbaine. </w:t>
      </w:r>
    </w:p>
    <w:p w14:paraId="33EA0C0C" w14:textId="77777777" w:rsidR="00B171CA" w:rsidRDefault="00B171CA" w:rsidP="004C4CA3">
      <w:pPr>
        <w:jc w:val="both"/>
        <w:rPr>
          <w:bCs/>
          <w:szCs w:val="20"/>
        </w:rPr>
      </w:pPr>
    </w:p>
    <w:p w14:paraId="03D928CA" w14:textId="6794CF39" w:rsidR="00A51C82" w:rsidRPr="00B171CA" w:rsidRDefault="00A51C82" w:rsidP="004C4CA3">
      <w:pPr>
        <w:jc w:val="both"/>
        <w:rPr>
          <w:rFonts w:eastAsia="MS PGothic"/>
          <w:szCs w:val="20"/>
        </w:rPr>
      </w:pPr>
      <w:r w:rsidRPr="00A51C82">
        <w:rPr>
          <w:bCs/>
          <w:szCs w:val="20"/>
        </w:rPr>
        <w:t>S’agissant d</w:t>
      </w:r>
      <w:r w:rsidR="004C7EA8">
        <w:rPr>
          <w:bCs/>
          <w:szCs w:val="20"/>
        </w:rPr>
        <w:t>e ce</w:t>
      </w:r>
      <w:r w:rsidRPr="00A51C82">
        <w:rPr>
          <w:bCs/>
          <w:szCs w:val="20"/>
        </w:rPr>
        <w:t xml:space="preserve"> surcroît d’attractivité, les premières études réalisées par la Société du Grand Paris sur les effets de création des gares du RER avaient montré que la réalisation d’une gare </w:t>
      </w:r>
      <w:r w:rsidR="00DA7FCD" w:rsidRPr="00B171CA">
        <w:rPr>
          <w:bCs/>
          <w:szCs w:val="20"/>
        </w:rPr>
        <w:t xml:space="preserve">avait </w:t>
      </w:r>
      <w:r w:rsidR="00AD77A8">
        <w:rPr>
          <w:bCs/>
          <w:szCs w:val="20"/>
        </w:rPr>
        <w:t xml:space="preserve">bien </w:t>
      </w:r>
      <w:r w:rsidRPr="00B171CA">
        <w:rPr>
          <w:bCs/>
          <w:szCs w:val="20"/>
        </w:rPr>
        <w:t xml:space="preserve">eu </w:t>
      </w:r>
      <w:r w:rsidRPr="00A51C82">
        <w:rPr>
          <w:bCs/>
          <w:szCs w:val="20"/>
        </w:rPr>
        <w:t xml:space="preserve">un effet sur </w:t>
      </w:r>
      <w:r w:rsidR="00AD77A8">
        <w:rPr>
          <w:bCs/>
          <w:szCs w:val="20"/>
        </w:rPr>
        <w:t xml:space="preserve">la localisation de toutes les entreprises mais supérieur pour </w:t>
      </w:r>
      <w:r w:rsidRPr="00A51C82">
        <w:rPr>
          <w:bCs/>
          <w:szCs w:val="20"/>
        </w:rPr>
        <w:t>les investissements étrangers</w:t>
      </w:r>
      <w:r w:rsidR="00AD77A8">
        <w:rPr>
          <w:bCs/>
          <w:szCs w:val="20"/>
        </w:rPr>
        <w:t xml:space="preserve"> </w:t>
      </w:r>
      <w:r w:rsidRPr="00A51C82">
        <w:rPr>
          <w:bCs/>
          <w:szCs w:val="20"/>
        </w:rPr>
        <w:t xml:space="preserve">à celui </w:t>
      </w:r>
      <w:r w:rsidR="00AD77A8">
        <w:rPr>
          <w:bCs/>
          <w:szCs w:val="20"/>
        </w:rPr>
        <w:t>constaté pour</w:t>
      </w:r>
      <w:r w:rsidRPr="00A51C82">
        <w:rPr>
          <w:bCs/>
          <w:szCs w:val="20"/>
        </w:rPr>
        <w:t xml:space="preserve"> les autres entreprises : « </w:t>
      </w:r>
      <w:r w:rsidRPr="00A51C82">
        <w:rPr>
          <w:bCs/>
          <w:i/>
          <w:szCs w:val="20"/>
        </w:rPr>
        <w:t xml:space="preserve">Pour l’ensemble des entreprises, la construction d’une gare RER entraîne un surcroît d’attractivité de 4 à 9%, ces chiffres sont de 5 à 10% pour les entreprises à capitaux étrangers… Pour revenir à l’applicabilité au Grand Paris Express de nos résultats, ce résultat est certainement assez encourageant. En effet, une revue de littérature a montré que la </w:t>
      </w:r>
      <w:r w:rsidRPr="00A51C82">
        <w:rPr>
          <w:bCs/>
          <w:i/>
          <w:szCs w:val="20"/>
        </w:rPr>
        <w:t>localisation des sièges sociaux était très sensible à la présence locale de firmes de services aux entreprises. Ces dernières étant les plus sensibles au réseau de transport, il peut donc s’enclencher un effet d’agglomération cumulatif entre ces deux groupes d’entreprises, à la faveur de la création du réseau</w:t>
      </w:r>
      <w:r w:rsidRPr="00A51C82">
        <w:rPr>
          <w:bCs/>
          <w:szCs w:val="20"/>
        </w:rPr>
        <w:t> »</w:t>
      </w:r>
      <w:r w:rsidRPr="00A51C82">
        <w:rPr>
          <w:bCs/>
          <w:szCs w:val="20"/>
          <w:vertAlign w:val="superscript"/>
        </w:rPr>
        <w:footnoteReference w:id="41"/>
      </w:r>
      <w:r w:rsidRPr="00A51C82">
        <w:rPr>
          <w:bCs/>
          <w:szCs w:val="20"/>
        </w:rPr>
        <w:t xml:space="preserve">. </w:t>
      </w:r>
      <w:r w:rsidRPr="00A51C82">
        <w:rPr>
          <w:rFonts w:eastAsia="MS PGothic"/>
          <w:szCs w:val="20"/>
        </w:rPr>
        <w:t>Dans une autre étude</w:t>
      </w:r>
      <w:r w:rsidRPr="00A51C82">
        <w:rPr>
          <w:rFonts w:eastAsia="MS PGothic"/>
          <w:szCs w:val="20"/>
          <w:vertAlign w:val="superscript"/>
        </w:rPr>
        <w:footnoteReference w:id="42"/>
      </w:r>
      <w:r w:rsidRPr="00A51C82">
        <w:rPr>
          <w:rFonts w:eastAsia="MS PGothic"/>
          <w:szCs w:val="20"/>
        </w:rPr>
        <w:t>, on a évalué l’impact du développement des métros sur le nombre d</w:t>
      </w:r>
      <w:r w:rsidR="00AD77A8">
        <w:rPr>
          <w:rFonts w:eastAsia="MS PGothic"/>
          <w:szCs w:val="20"/>
        </w:rPr>
        <w:t xml:space="preserve">es </w:t>
      </w:r>
      <w:r w:rsidRPr="00A51C82">
        <w:rPr>
          <w:rFonts w:eastAsia="MS PGothic"/>
          <w:szCs w:val="20"/>
        </w:rPr>
        <w:t>investissements internationaux, sur la période 2003-2014, à partir d’une base de données concernant 200 aires urbaines dans le monde. Les analyses ont permis de conclure à un lien positif causal de la relation entre création ou développement de métros et augmentation des investissements internationaux : l’élasticité entre la taille du système de métro et le nombre de projets varie de 0,1 à 0,2. Autrement dit, pour le Grand Paris, on peut envisager une augmentation du nombre de projets internationaux qui se situe entre 10% et 20%. Il s’est agi cependant dans cette étude uniquement des créations d’emplois et d’activité par les investissements internationaux nouveaux. Il ne faut pas oublier les activités internationalement mobiles</w:t>
      </w:r>
      <w:r w:rsidR="00DA5ED4" w:rsidRPr="00DA5ED4">
        <w:rPr>
          <w:rFonts w:eastAsia="MS PGothic"/>
          <w:szCs w:val="20"/>
        </w:rPr>
        <w:t xml:space="preserve"> </w:t>
      </w:r>
      <w:r w:rsidR="00DA5ED4" w:rsidRPr="00A51C82">
        <w:rPr>
          <w:rFonts w:eastAsia="MS PGothic"/>
          <w:szCs w:val="20"/>
        </w:rPr>
        <w:t>existantes</w:t>
      </w:r>
      <w:r w:rsidRPr="00A51C82">
        <w:rPr>
          <w:rFonts w:eastAsia="MS PGothic"/>
          <w:szCs w:val="20"/>
        </w:rPr>
        <w:t>, d’origine française ou étrangère, pour le maintien desquelles l’attractivité de la m</w:t>
      </w:r>
      <w:r w:rsidR="00412397">
        <w:rPr>
          <w:rFonts w:eastAsia="MS PGothic"/>
          <w:szCs w:val="20"/>
        </w:rPr>
        <w:t xml:space="preserve">étropole joue un rôle important. Le </w:t>
      </w:r>
      <w:r w:rsidRPr="00A51C82">
        <w:rPr>
          <w:rFonts w:eastAsia="MS PGothic"/>
          <w:szCs w:val="20"/>
        </w:rPr>
        <w:t xml:space="preserve">potentiel d’emplois </w:t>
      </w:r>
      <w:r w:rsidR="00DA5ED4" w:rsidRPr="00A51C82">
        <w:rPr>
          <w:rFonts w:eastAsia="MS PGothic"/>
          <w:szCs w:val="20"/>
        </w:rPr>
        <w:t xml:space="preserve">à long terme </w:t>
      </w:r>
      <w:r w:rsidRPr="00A51C82">
        <w:rPr>
          <w:rFonts w:eastAsia="MS PGothic"/>
          <w:szCs w:val="20"/>
        </w:rPr>
        <w:t>en cause du fait d’une perte d’attractivité est plus important</w:t>
      </w:r>
      <w:r w:rsidR="00412397">
        <w:rPr>
          <w:rFonts w:eastAsia="MS PGothic"/>
          <w:szCs w:val="20"/>
        </w:rPr>
        <w:t xml:space="preserve"> car le </w:t>
      </w:r>
      <w:r w:rsidRPr="00A51C82">
        <w:rPr>
          <w:rFonts w:eastAsia="MS PGothic"/>
          <w:szCs w:val="20"/>
        </w:rPr>
        <w:t>stock des emplois internationalement mobiles de la région Île-de-France est de l’ordre de plusieurs centaines de milliers (à l’appui de ce chiffre, il faut rappeler que le nombre des emplois salariés dans l’industrie manufacturière dans l’Île-de-France est de 447699 en 2015 et par ailleurs environ 20% des 600</w:t>
      </w:r>
      <w:r w:rsidR="0084080B">
        <w:rPr>
          <w:rFonts w:eastAsia="MS PGothic"/>
          <w:szCs w:val="20"/>
        </w:rPr>
        <w:t> </w:t>
      </w:r>
      <w:r w:rsidRPr="00A51C82">
        <w:rPr>
          <w:rFonts w:eastAsia="MS PGothic"/>
          <w:szCs w:val="20"/>
        </w:rPr>
        <w:t>000 emplois contrôlés par les groupes étrangers dans la région d’Île-de-France le sont dans des fonctions non présentielles ou métropolitaines selon l'INSEE</w:t>
      </w:r>
      <w:r w:rsidRPr="00A51C82">
        <w:rPr>
          <w:rFonts w:eastAsia="MS PGothic"/>
          <w:szCs w:val="20"/>
          <w:vertAlign w:val="superscript"/>
        </w:rPr>
        <w:footnoteReference w:id="43"/>
      </w:r>
      <w:r w:rsidRPr="00A51C82">
        <w:rPr>
          <w:rFonts w:eastAsia="MS PGothic"/>
          <w:szCs w:val="20"/>
        </w:rPr>
        <w:t xml:space="preserve">). Une amélioration du fonctionnement métropolitain aura indéniablement un effet positif pour consolider </w:t>
      </w:r>
      <w:r w:rsidR="00DA5ED4">
        <w:rPr>
          <w:rFonts w:eastAsia="MS PGothic"/>
          <w:szCs w:val="20"/>
        </w:rPr>
        <w:t xml:space="preserve">et accroître </w:t>
      </w:r>
      <w:r w:rsidRPr="00A51C82">
        <w:rPr>
          <w:rFonts w:eastAsia="MS PGothic"/>
          <w:szCs w:val="20"/>
        </w:rPr>
        <w:t>les emplois existants dans une concurrence internationale avivée, alors que, sans la réalisation de l’infrastructure, ces emplois internationalement mobiles seraient en jeu. A cela doit être ajouté l’impact positif du projet sur l’attractivité touristique qui</w:t>
      </w:r>
      <w:r w:rsidR="00AD77A8">
        <w:rPr>
          <w:rFonts w:eastAsia="MS PGothic"/>
          <w:szCs w:val="20"/>
        </w:rPr>
        <w:t>, en temps normal,</w:t>
      </w:r>
      <w:r w:rsidRPr="00A51C82">
        <w:rPr>
          <w:rFonts w:eastAsia="MS PGothic"/>
          <w:szCs w:val="20"/>
        </w:rPr>
        <w:t xml:space="preserve"> est aujourd’hui de 30 millions de touristes par an, qui dépensent plusieurs milliards par an, nourrissant un secteur d’activité dont l’emploi global est également de l’ordre d’une centaine de milliers. Les accès aux aéroports de Paris sont notoirement jugés insuffisants en comparaison des standards internationaux et les deux lignes L17 </w:t>
      </w:r>
      <w:r w:rsidRPr="00B171CA">
        <w:rPr>
          <w:rFonts w:eastAsia="MS PGothic"/>
          <w:szCs w:val="20"/>
        </w:rPr>
        <w:t>et L14</w:t>
      </w:r>
      <w:r w:rsidR="00AD77A8">
        <w:rPr>
          <w:rFonts w:eastAsia="MS PGothic"/>
          <w:szCs w:val="20"/>
        </w:rPr>
        <w:t>,</w:t>
      </w:r>
      <w:r w:rsidRPr="00B171CA">
        <w:rPr>
          <w:rFonts w:eastAsia="MS PGothic"/>
          <w:szCs w:val="20"/>
        </w:rPr>
        <w:t xml:space="preserve"> qui </w:t>
      </w:r>
      <w:r w:rsidR="00411A4D" w:rsidRPr="00B171CA">
        <w:rPr>
          <w:rFonts w:eastAsia="MS PGothic"/>
          <w:szCs w:val="20"/>
        </w:rPr>
        <w:t xml:space="preserve">desserviront </w:t>
      </w:r>
      <w:r w:rsidRPr="00B171CA">
        <w:rPr>
          <w:rFonts w:eastAsia="MS PGothic"/>
          <w:szCs w:val="20"/>
        </w:rPr>
        <w:t xml:space="preserve">les deux aéroports, </w:t>
      </w:r>
      <w:r w:rsidR="00844926" w:rsidRPr="00B171CA">
        <w:rPr>
          <w:rFonts w:eastAsia="MS PGothic"/>
          <w:szCs w:val="20"/>
        </w:rPr>
        <w:t xml:space="preserve">auront </w:t>
      </w:r>
      <w:r w:rsidRPr="00B171CA">
        <w:rPr>
          <w:rFonts w:eastAsia="MS PGothic"/>
          <w:szCs w:val="20"/>
        </w:rPr>
        <w:t xml:space="preserve">indéniablement un effet </w:t>
      </w:r>
      <w:r w:rsidR="00844926" w:rsidRPr="00B171CA">
        <w:rPr>
          <w:rFonts w:eastAsia="MS PGothic"/>
          <w:szCs w:val="20"/>
        </w:rPr>
        <w:t xml:space="preserve">positif </w:t>
      </w:r>
      <w:r w:rsidRPr="00B171CA">
        <w:rPr>
          <w:rFonts w:eastAsia="MS PGothic"/>
          <w:szCs w:val="20"/>
        </w:rPr>
        <w:t xml:space="preserve">sur </w:t>
      </w:r>
      <w:r w:rsidR="00844926" w:rsidRPr="00B171CA">
        <w:rPr>
          <w:rFonts w:eastAsia="MS PGothic"/>
          <w:szCs w:val="20"/>
        </w:rPr>
        <w:t xml:space="preserve">l’attractivité et </w:t>
      </w:r>
      <w:r w:rsidRPr="00B171CA">
        <w:rPr>
          <w:rFonts w:eastAsia="MS PGothic"/>
          <w:szCs w:val="20"/>
        </w:rPr>
        <w:t>l’image de la métropole comme lieu privilégié de rencontres internationales</w:t>
      </w:r>
      <w:r w:rsidR="00412397" w:rsidRPr="00B171CA">
        <w:rPr>
          <w:rFonts w:eastAsia="MS PGothic"/>
          <w:szCs w:val="20"/>
        </w:rPr>
        <w:t xml:space="preserve"> et de tourisme</w:t>
      </w:r>
      <w:r w:rsidRPr="00B171CA">
        <w:rPr>
          <w:rFonts w:eastAsia="MS PGothic"/>
          <w:szCs w:val="20"/>
        </w:rPr>
        <w:t xml:space="preserve">. </w:t>
      </w:r>
    </w:p>
    <w:p w14:paraId="3CFE7911" w14:textId="77777777" w:rsidR="00791C2F" w:rsidRDefault="00791C2F" w:rsidP="004C4CA3">
      <w:pPr>
        <w:jc w:val="both"/>
        <w:rPr>
          <w:rFonts w:eastAsia="MS PGothic"/>
          <w:szCs w:val="20"/>
        </w:rPr>
      </w:pPr>
    </w:p>
    <w:p w14:paraId="0977570C" w14:textId="4145FD93" w:rsidR="00A51C82" w:rsidRPr="00A51C82" w:rsidRDefault="00A51C82" w:rsidP="004C4CA3">
      <w:pPr>
        <w:jc w:val="both"/>
        <w:rPr>
          <w:rFonts w:eastAsia="MS PGothic"/>
          <w:szCs w:val="20"/>
        </w:rPr>
      </w:pPr>
      <w:r w:rsidRPr="00A51C82">
        <w:rPr>
          <w:rFonts w:eastAsia="MS PGothic"/>
          <w:szCs w:val="20"/>
        </w:rPr>
        <w:t>On peut donc considérer que le montant total des emplois « de base » supplémentaires ou sauvegardés à un horiz</w:t>
      </w:r>
      <w:r w:rsidR="00791C2F">
        <w:rPr>
          <w:rFonts w:eastAsia="MS PGothic"/>
          <w:szCs w:val="20"/>
        </w:rPr>
        <w:t xml:space="preserve">on 2030 </w:t>
      </w:r>
      <w:r w:rsidR="00791C2F" w:rsidRPr="00A51C82">
        <w:rPr>
          <w:rFonts w:eastAsia="MS PGothic"/>
          <w:szCs w:val="20"/>
        </w:rPr>
        <w:t>liés à l’attractivité dans le long terme de la région</w:t>
      </w:r>
      <w:r w:rsidR="00791C2F" w:rsidRPr="00A51C82">
        <w:rPr>
          <w:rFonts w:eastAsia="MS PGothic"/>
          <w:szCs w:val="20"/>
          <w:vertAlign w:val="superscript"/>
        </w:rPr>
        <w:footnoteReference w:id="44"/>
      </w:r>
      <w:r w:rsidR="00791C2F" w:rsidRPr="00A51C82">
        <w:rPr>
          <w:rFonts w:eastAsia="MS PGothic"/>
          <w:szCs w:val="20"/>
        </w:rPr>
        <w:t xml:space="preserve"> </w:t>
      </w:r>
      <w:r w:rsidR="00791C2F">
        <w:rPr>
          <w:rFonts w:eastAsia="MS PGothic"/>
          <w:szCs w:val="20"/>
        </w:rPr>
        <w:t>sera très important</w:t>
      </w:r>
      <w:r w:rsidR="00DA5ED4">
        <w:rPr>
          <w:rFonts w:eastAsia="MS PGothic"/>
          <w:szCs w:val="20"/>
        </w:rPr>
        <w:t xml:space="preserve">. Il </w:t>
      </w:r>
      <w:r w:rsidRPr="00A51C82">
        <w:rPr>
          <w:rFonts w:eastAsia="MS PGothic"/>
          <w:szCs w:val="20"/>
        </w:rPr>
        <w:t xml:space="preserve">faut </w:t>
      </w:r>
      <w:r w:rsidR="00DA5ED4">
        <w:rPr>
          <w:rFonts w:eastAsia="MS PGothic"/>
          <w:szCs w:val="20"/>
        </w:rPr>
        <w:t xml:space="preserve">y </w:t>
      </w:r>
      <w:r w:rsidRPr="00A51C82">
        <w:rPr>
          <w:rFonts w:eastAsia="MS PGothic"/>
          <w:szCs w:val="20"/>
        </w:rPr>
        <w:t>ajouter les emplois présentiels induits par un mécanisme multiplicateur</w:t>
      </w:r>
      <w:r w:rsidR="00791C2F">
        <w:rPr>
          <w:rFonts w:eastAsia="MS PGothic"/>
          <w:szCs w:val="20"/>
        </w:rPr>
        <w:t>.</w:t>
      </w:r>
      <w:r w:rsidRPr="00A51C82">
        <w:rPr>
          <w:rFonts w:eastAsia="MS PGothic"/>
          <w:szCs w:val="20"/>
        </w:rPr>
        <w:t xml:space="preserve"> </w:t>
      </w:r>
      <w:r w:rsidR="00412397">
        <w:rPr>
          <w:rFonts w:eastAsia="MS PGothic"/>
          <w:szCs w:val="20"/>
        </w:rPr>
        <w:t>Au total, cet impact des emplois internationalement mobiles s’avère à lui seul justifier le chiffre de 115</w:t>
      </w:r>
      <w:r w:rsidR="0084080B">
        <w:rPr>
          <w:rFonts w:eastAsia="MS PGothic"/>
          <w:szCs w:val="20"/>
        </w:rPr>
        <w:t> </w:t>
      </w:r>
      <w:r w:rsidR="00412397">
        <w:rPr>
          <w:rFonts w:eastAsia="MS PGothic"/>
          <w:szCs w:val="20"/>
        </w:rPr>
        <w:t xml:space="preserve">000 emplois induits par le projet. </w:t>
      </w:r>
    </w:p>
    <w:p w14:paraId="425320FB" w14:textId="77777777" w:rsidR="00791C2F" w:rsidRDefault="00791C2F" w:rsidP="004C4CA3">
      <w:pPr>
        <w:pBdr>
          <w:top w:val="nil"/>
          <w:left w:val="nil"/>
          <w:bottom w:val="nil"/>
          <w:right w:val="nil"/>
          <w:between w:val="nil"/>
          <w:bar w:val="nil"/>
        </w:pBdr>
        <w:jc w:val="both"/>
        <w:rPr>
          <w:szCs w:val="20"/>
          <w:u w:color="000000"/>
          <w:bdr w:val="nil"/>
          <w:lang w:eastAsia="fr-FR"/>
        </w:rPr>
      </w:pPr>
    </w:p>
    <w:p w14:paraId="0A250AD0" w14:textId="5C59D630" w:rsidR="00A51C82" w:rsidRPr="00A51C82" w:rsidRDefault="00A51C82" w:rsidP="004C4CA3">
      <w:pPr>
        <w:pBdr>
          <w:top w:val="nil"/>
          <w:left w:val="nil"/>
          <w:bottom w:val="nil"/>
          <w:right w:val="nil"/>
          <w:between w:val="nil"/>
          <w:bar w:val="nil"/>
        </w:pBdr>
        <w:jc w:val="both"/>
        <w:rPr>
          <w:szCs w:val="20"/>
          <w:u w:color="000000"/>
          <w:bdr w:val="nil"/>
          <w:lang w:eastAsia="fr-FR"/>
        </w:rPr>
      </w:pPr>
      <w:r w:rsidRPr="00C97B58">
        <w:rPr>
          <w:szCs w:val="20"/>
          <w:u w:color="000000"/>
          <w:bdr w:val="nil"/>
          <w:lang w:eastAsia="fr-FR"/>
        </w:rPr>
        <w:t>Les perspectives d’amélioration de l’attractivité pèsent sur les anticipations des entreprises int</w:t>
      </w:r>
      <w:r w:rsidR="009808C6" w:rsidRPr="00C97B58">
        <w:rPr>
          <w:szCs w:val="20"/>
          <w:u w:color="000000"/>
          <w:bdr w:val="nil"/>
          <w:lang w:eastAsia="fr-FR"/>
        </w:rPr>
        <w:t>e</w:t>
      </w:r>
      <w:r w:rsidRPr="00C97B58">
        <w:rPr>
          <w:szCs w:val="20"/>
          <w:u w:color="000000"/>
          <w:bdr w:val="nil"/>
          <w:lang w:eastAsia="fr-FR"/>
        </w:rPr>
        <w:t xml:space="preserve">rnationales et les résultats sont déjà tangibles </w:t>
      </w:r>
      <w:r w:rsidR="00B171CA">
        <w:rPr>
          <w:szCs w:val="20"/>
          <w:u w:color="000000"/>
          <w:bdr w:val="nil"/>
          <w:lang w:eastAsia="fr-FR"/>
        </w:rPr>
        <w:t>aujourd’hui</w:t>
      </w:r>
      <w:r w:rsidRPr="00C97B58">
        <w:rPr>
          <w:szCs w:val="20"/>
          <w:u w:color="000000"/>
          <w:bdr w:val="nil"/>
          <w:lang w:eastAsia="fr-FR"/>
        </w:rPr>
        <w:t>. Dans le rapport « City Initiatives for Technology, Innovation and Entrepreneurship »</w:t>
      </w:r>
      <w:r w:rsidRPr="00C97B58">
        <w:rPr>
          <w:szCs w:val="20"/>
          <w:u w:color="000000"/>
          <w:bdr w:val="nil"/>
          <w:vertAlign w:val="superscript"/>
          <w:lang w:eastAsia="fr-FR"/>
        </w:rPr>
        <w:footnoteReference w:id="45"/>
      </w:r>
      <w:r w:rsidRPr="00C97B58">
        <w:rPr>
          <w:szCs w:val="20"/>
          <w:u w:color="000000"/>
          <w:bdr w:val="nil"/>
          <w:lang w:eastAsia="fr-FR"/>
        </w:rPr>
        <w:t xml:space="preserve">, Paris ressort parmi les villes les plus performantes, aux côtés de San Francisco, New York et Londres. Parmi les points forts sont évoqués les projets comme le Grand Paris Express et les </w:t>
      </w:r>
      <w:r w:rsidRPr="00A51C82">
        <w:rPr>
          <w:szCs w:val="20"/>
          <w:u w:color="000000"/>
          <w:bdr w:val="nil"/>
          <w:lang w:eastAsia="fr-FR"/>
        </w:rPr>
        <w:t>efforts réalisés en matière d’infrastructures d’accueil pour les startups, de connectivité et d’intégration du numérique, des facteurs qui seront confortés ou renforcés avec l’arrivée du Grand Paris Express, son projet numérique et sa contribution à la nouvelle dynamique spatiale du Grand Paris.</w:t>
      </w:r>
      <w:r w:rsidRPr="00A51C82">
        <w:rPr>
          <w:rFonts w:eastAsia="Comic Sans MS"/>
          <w:szCs w:val="20"/>
          <w:u w:color="000000"/>
          <w:bdr w:val="nil"/>
          <w:lang w:eastAsia="fr-FR"/>
        </w:rPr>
        <w:t xml:space="preserve"> </w:t>
      </w:r>
      <w:r w:rsidRPr="00A51C82">
        <w:rPr>
          <w:szCs w:val="20"/>
          <w:u w:color="000000"/>
          <w:bdr w:val="nil"/>
          <w:lang w:eastAsia="fr-FR"/>
        </w:rPr>
        <w:t>Au classement « Global Cities Outlook » réalisé par AT Kearney qui analyse les villes mondiales au regard de leur potentiel de développement (intégrant des critères sur la qualité de vie et bien être, le tissu économique, l’innovation et la gouvernance), Paris passe de la 13</w:t>
      </w:r>
      <w:r w:rsidRPr="00A51C82">
        <w:rPr>
          <w:szCs w:val="20"/>
          <w:u w:color="000000"/>
          <w:bdr w:val="nil"/>
          <w:vertAlign w:val="superscript"/>
          <w:lang w:eastAsia="fr-FR"/>
        </w:rPr>
        <w:t>ème</w:t>
      </w:r>
      <w:r w:rsidRPr="00A51C82">
        <w:rPr>
          <w:szCs w:val="20"/>
          <w:u w:color="000000"/>
          <w:bdr w:val="nil"/>
          <w:lang w:eastAsia="fr-FR"/>
        </w:rPr>
        <w:t xml:space="preserve"> place en 2016 à la 3</w:t>
      </w:r>
      <w:r w:rsidRPr="00A51C82">
        <w:rPr>
          <w:szCs w:val="20"/>
          <w:u w:color="000000"/>
          <w:bdr w:val="nil"/>
          <w:vertAlign w:val="superscript"/>
          <w:lang w:eastAsia="fr-FR"/>
        </w:rPr>
        <w:t>ème</w:t>
      </w:r>
      <w:r w:rsidRPr="00A51C82">
        <w:rPr>
          <w:szCs w:val="20"/>
          <w:u w:color="000000"/>
          <w:bdr w:val="nil"/>
          <w:lang w:eastAsia="fr-FR"/>
        </w:rPr>
        <w:t xml:space="preserve"> place en 2017 derrière San Francisco et New York, devançant Londres, Tokyo et Los Angeles. Ce regain d’image de Paris se retrouve dans les réalités économiques. Le classement KPMG de 2018 qui constate la remontée de Paris dans le trio de tête des grandes villes les plus attractives pour les investisseurs, avec 338 projets d’investissement internationaux enregistrés en 2017, contre 190 l’année précédente, la plaçant juste derrière Londres (390 opérations en 2017) et </w:t>
      </w:r>
      <w:r w:rsidRPr="00A51C82">
        <w:rPr>
          <w:szCs w:val="20"/>
          <w:u w:color="000000"/>
          <w:bdr w:val="nil"/>
          <w:lang w:eastAsia="fr-FR"/>
        </w:rPr>
        <w:lastRenderedPageBreak/>
        <w:t>Singapour (354 opérations)</w:t>
      </w:r>
      <w:r w:rsidRPr="00A51C82">
        <w:rPr>
          <w:szCs w:val="20"/>
          <w:u w:color="000000"/>
          <w:bdr w:val="nil"/>
          <w:vertAlign w:val="superscript"/>
          <w:lang w:eastAsia="fr-FR"/>
        </w:rPr>
        <w:t xml:space="preserve"> </w:t>
      </w:r>
      <w:r w:rsidRPr="00A51C82">
        <w:rPr>
          <w:szCs w:val="20"/>
          <w:u w:color="000000"/>
          <w:bdr w:val="nil"/>
          <w:vertAlign w:val="superscript"/>
          <w:lang w:eastAsia="fr-FR"/>
        </w:rPr>
        <w:footnoteReference w:id="46"/>
      </w:r>
      <w:r w:rsidRPr="00A51C82">
        <w:rPr>
          <w:szCs w:val="20"/>
          <w:u w:color="000000"/>
          <w:bdr w:val="nil"/>
          <w:lang w:eastAsia="fr-FR"/>
        </w:rPr>
        <w:t xml:space="preserve">. </w:t>
      </w:r>
      <w:r w:rsidR="00DA5ED4">
        <w:rPr>
          <w:szCs w:val="20"/>
          <w:u w:color="000000"/>
          <w:bdr w:val="nil"/>
          <w:lang w:eastAsia="fr-FR"/>
        </w:rPr>
        <w:t xml:space="preserve">Ces chiffres ont même été supérieurs en 2019. </w:t>
      </w:r>
      <w:r w:rsidRPr="00A51C82">
        <w:rPr>
          <w:szCs w:val="20"/>
          <w:u w:color="000000"/>
          <w:bdr w:val="nil"/>
          <w:lang w:eastAsia="fr-FR"/>
        </w:rPr>
        <w:t xml:space="preserve">Mais les anticipations des investisseurs internationaux sont très sensibles aux effets d’image et d’annonces et il est donc indispensable de gérer dans la durée la crédibilité des annonces faites sur la réalisation effective et les dates de mise en service des différentes lignes du Grand Paris Express. </w:t>
      </w:r>
    </w:p>
    <w:p w14:paraId="4A1C87EE" w14:textId="77777777" w:rsidR="00791C2F" w:rsidRDefault="00791C2F" w:rsidP="004C4CA3">
      <w:pPr>
        <w:jc w:val="both"/>
        <w:rPr>
          <w:bCs/>
          <w:szCs w:val="20"/>
        </w:rPr>
      </w:pPr>
    </w:p>
    <w:p w14:paraId="4397A268" w14:textId="72326420" w:rsidR="00A51C82" w:rsidRPr="00A51C82" w:rsidRDefault="00A51C82" w:rsidP="004C4CA3">
      <w:pPr>
        <w:jc w:val="both"/>
        <w:rPr>
          <w:bCs/>
          <w:szCs w:val="20"/>
        </w:rPr>
      </w:pPr>
      <w:r w:rsidRPr="00A51C82">
        <w:rPr>
          <w:bCs/>
          <w:szCs w:val="20"/>
        </w:rPr>
        <w:t xml:space="preserve">L’amélioration du fonctionnement interne du marché du travail de la région d’Île-de-France du fait d’une meilleure connexion entre les différents bassins de population et d’emploi permet </w:t>
      </w:r>
      <w:r w:rsidR="00293D48">
        <w:rPr>
          <w:bCs/>
          <w:szCs w:val="20"/>
        </w:rPr>
        <w:t xml:space="preserve">également </w:t>
      </w:r>
      <w:r w:rsidRPr="00A51C82">
        <w:rPr>
          <w:bCs/>
          <w:szCs w:val="20"/>
        </w:rPr>
        <w:t>de réduire à terme le chômage structurel et d’augmenter le niveau de l’emploi effectif. La conclusion d’une recherche faite sur la région Île-de-France</w:t>
      </w:r>
      <w:r w:rsidRPr="00A51C82">
        <w:rPr>
          <w:bCs/>
          <w:szCs w:val="20"/>
          <w:vertAlign w:val="superscript"/>
        </w:rPr>
        <w:footnoteReference w:id="47"/>
      </w:r>
      <w:r w:rsidRPr="00A51C82">
        <w:rPr>
          <w:bCs/>
          <w:szCs w:val="20"/>
        </w:rPr>
        <w:t xml:space="preserve"> est que, à demande extérieure donnée, dans les conditions actuelles, l’amélioration de l’accessibilité interne peut conduire à une baisse des taux de chômage de l’ordre de quelques points, </w:t>
      </w:r>
      <w:r w:rsidR="00DA5ED4">
        <w:rPr>
          <w:bCs/>
          <w:szCs w:val="20"/>
        </w:rPr>
        <w:t>associé à</w:t>
      </w:r>
      <w:r w:rsidRPr="00A51C82">
        <w:rPr>
          <w:bCs/>
          <w:szCs w:val="20"/>
        </w:rPr>
        <w:t xml:space="preserve"> un niveau de création d’emplois inscrit à l’intérieur de la fourchette formée par les deux scénarios bas et haut. </w:t>
      </w:r>
    </w:p>
    <w:p w14:paraId="2B3E4DAB" w14:textId="77777777" w:rsidR="00791C2F" w:rsidRDefault="00791C2F" w:rsidP="004C4CA3">
      <w:pPr>
        <w:jc w:val="both"/>
        <w:rPr>
          <w:bCs/>
          <w:szCs w:val="20"/>
        </w:rPr>
      </w:pPr>
    </w:p>
    <w:p w14:paraId="10366374" w14:textId="123807B4" w:rsidR="00A51C82" w:rsidRDefault="007B7BC2" w:rsidP="004C4CA3">
      <w:pPr>
        <w:jc w:val="both"/>
        <w:rPr>
          <w:rFonts w:eastAsia="MS PGothic"/>
          <w:szCs w:val="20"/>
        </w:rPr>
      </w:pPr>
      <w:r w:rsidRPr="00A51C82">
        <w:rPr>
          <w:bCs/>
          <w:szCs w:val="20"/>
        </w:rPr>
        <w:t>Enfin, la</w:t>
      </w:r>
      <w:r w:rsidR="00A51C82" w:rsidRPr="00A51C82">
        <w:rPr>
          <w:rFonts w:eastAsia="MS PGothic"/>
          <w:szCs w:val="20"/>
        </w:rPr>
        <w:t xml:space="preserve"> densification de la croissance </w:t>
      </w:r>
      <w:r w:rsidR="00293D48">
        <w:rPr>
          <w:rFonts w:eastAsia="MS PGothic"/>
          <w:szCs w:val="20"/>
        </w:rPr>
        <w:t xml:space="preserve">de l’emploi </w:t>
      </w:r>
      <w:r w:rsidR="00A51C82" w:rsidRPr="00A51C82">
        <w:rPr>
          <w:rFonts w:eastAsia="MS PGothic"/>
          <w:szCs w:val="20"/>
        </w:rPr>
        <w:t>a d’autres effets sur les coûts des entreprises, dès lors que l’amélioration de l’accessibilité de zones plus distantes du cœur de l’agglomération peut les rendre plus attractives pour la localisation des populations et des activités, car, dans ces zones, les valeurs foncières sont plus faibles. En est ainsi allégée la pression à la hausse de la rente foncière dans les zones très denses où celle-ci est déjà élevée. Une croissance moins forte des rentes foncières a un effet sur les coûts des entreprises, direct et indirect, par le biais d’une pression moindre à la hausse des salaires en raison d’un meilleur contrôle des prix des logements. Ce mécanisme, comme on a déjà pu le voir au chapitre précédent, est bien celui auquel il faut s’attendre avec la réalisation du Grand Paris Express, où l’on prévoit que la croissance des emplois et de la population se fera plutôt en première couronne et autour des gares, allégeant la pression foncière exercée sur la ville de Paris et sur certaines communes de la première couronne où les prix de l’immobilier sont également très élevés. Le modèle spatial développé par le laboratoire interdisciplinaire d'évaluation des politiques publiques de Sciences Po Paris (LIEPP)</w:t>
      </w:r>
      <w:r w:rsidR="00A51C82" w:rsidRPr="00A51C82">
        <w:rPr>
          <w:rFonts w:eastAsia="MS PGothic"/>
          <w:szCs w:val="20"/>
          <w:vertAlign w:val="superscript"/>
        </w:rPr>
        <w:footnoteReference w:id="48"/>
      </w:r>
      <w:r w:rsidR="00A51C82" w:rsidRPr="00A51C82">
        <w:rPr>
          <w:rFonts w:eastAsia="MS PGothic"/>
          <w:szCs w:val="20"/>
        </w:rPr>
        <w:t xml:space="preserve"> détaille les relations existantes au sein d’une agglomération entre l’amélioration de l’accessibilité interne, le marché du logement, </w:t>
      </w:r>
      <w:r w:rsidR="00412397">
        <w:rPr>
          <w:rFonts w:eastAsia="MS PGothic"/>
          <w:szCs w:val="20"/>
        </w:rPr>
        <w:t xml:space="preserve">et </w:t>
      </w:r>
      <w:r w:rsidR="00A51C82" w:rsidRPr="00A51C82">
        <w:rPr>
          <w:rFonts w:eastAsia="MS PGothic"/>
          <w:szCs w:val="20"/>
        </w:rPr>
        <w:t>les créations d’emplois</w:t>
      </w:r>
      <w:r w:rsidR="00AD77A8">
        <w:rPr>
          <w:rFonts w:eastAsia="MS PGothic"/>
          <w:szCs w:val="20"/>
        </w:rPr>
        <w:t xml:space="preserve">, et a été appliqué à </w:t>
      </w:r>
      <w:r w:rsidR="00A51C82" w:rsidRPr="00A51C82">
        <w:rPr>
          <w:rFonts w:eastAsia="MS PGothic"/>
          <w:szCs w:val="20"/>
        </w:rPr>
        <w:t>la région Île-de-France. Il explicite la segmentation entre un marché locatif privé en partie libre et en partie réglementé d’une part, et un marché du logement social fortement public, d’autre part. Le modèle met bien en évidence des effets significatifs du Grand Paris Express sur les loyers et le marché de l’emploi. Il montre bien la décroissance des prix fonciers en fonction de la distance au centre de Paris et que le gradient</w:t>
      </w:r>
      <w:r w:rsidR="00BA3CA2" w:rsidRPr="00A51C82">
        <w:rPr>
          <w:rFonts w:eastAsia="MS PGothic"/>
          <w:szCs w:val="20"/>
          <w:vertAlign w:val="superscript"/>
        </w:rPr>
        <w:footnoteReference w:id="49"/>
      </w:r>
      <w:r w:rsidR="005E396A">
        <w:rPr>
          <w:rFonts w:eastAsia="MS PGothic"/>
          <w:szCs w:val="20"/>
        </w:rPr>
        <w:t xml:space="preserve"> </w:t>
      </w:r>
      <w:r w:rsidR="00050549">
        <w:rPr>
          <w:rFonts w:eastAsia="MS PGothic"/>
          <w:szCs w:val="20"/>
        </w:rPr>
        <w:t xml:space="preserve">de ces prix fonciers </w:t>
      </w:r>
      <w:r w:rsidR="00A51C82" w:rsidRPr="00A51C82">
        <w:rPr>
          <w:rFonts w:eastAsia="MS PGothic"/>
          <w:szCs w:val="20"/>
        </w:rPr>
        <w:t xml:space="preserve">sera plus faible quand </w:t>
      </w:r>
      <w:r w:rsidR="00A51C82" w:rsidRPr="00C97B58">
        <w:rPr>
          <w:rFonts w:eastAsia="MS PGothic"/>
          <w:szCs w:val="20"/>
        </w:rPr>
        <w:t>l’infrastructure sera en service, que la pression d’ensemble sur les valeurs foncières de l’agglomération parisienne sera également plus faible, et que le renforcement de l’efficacité des transports en commun de masse vien</w:t>
      </w:r>
      <w:r w:rsidR="00AD77A8">
        <w:rPr>
          <w:rFonts w:eastAsia="MS PGothic"/>
          <w:szCs w:val="20"/>
        </w:rPr>
        <w:t>dra</w:t>
      </w:r>
      <w:r w:rsidR="00A51C82" w:rsidRPr="00C97B58">
        <w:rPr>
          <w:rFonts w:eastAsia="MS PGothic"/>
          <w:szCs w:val="20"/>
        </w:rPr>
        <w:t xml:space="preserve"> compenser les effets négatifs pour l’économie de la région </w:t>
      </w:r>
      <w:r w:rsidR="00791C2F" w:rsidRPr="00C97B58">
        <w:rPr>
          <w:rFonts w:eastAsia="MS PGothic"/>
          <w:szCs w:val="20"/>
        </w:rPr>
        <w:t xml:space="preserve">d’inerties </w:t>
      </w:r>
      <w:r w:rsidR="009808C6" w:rsidRPr="00C97B58">
        <w:rPr>
          <w:rFonts w:eastAsia="MS PGothic"/>
          <w:szCs w:val="20"/>
        </w:rPr>
        <w:t>institutionnelles</w:t>
      </w:r>
      <w:r w:rsidR="00791C2F" w:rsidRPr="00C97B58">
        <w:rPr>
          <w:rFonts w:eastAsia="MS PGothic"/>
          <w:szCs w:val="20"/>
        </w:rPr>
        <w:t xml:space="preserve"> </w:t>
      </w:r>
      <w:r w:rsidR="00A51C82" w:rsidRPr="00C97B58">
        <w:rPr>
          <w:rFonts w:eastAsia="MS PGothic"/>
          <w:szCs w:val="20"/>
        </w:rPr>
        <w:t>sur les marchés du logement et du travail</w:t>
      </w:r>
      <w:r w:rsidR="00DA5ED4">
        <w:rPr>
          <w:rFonts w:eastAsia="MS PGothic"/>
          <w:szCs w:val="20"/>
        </w:rPr>
        <w:t>,</w:t>
      </w:r>
      <w:r w:rsidR="00791C2F" w:rsidRPr="00C97B58">
        <w:rPr>
          <w:rFonts w:eastAsia="MS PGothic"/>
          <w:szCs w:val="20"/>
        </w:rPr>
        <w:t xml:space="preserve">  plus fortes en France et à Paris que </w:t>
      </w:r>
      <w:r w:rsidR="00791C2F">
        <w:rPr>
          <w:rFonts w:eastAsia="MS PGothic"/>
          <w:szCs w:val="20"/>
        </w:rPr>
        <w:t>dans le autres grandes métropoles mondiales</w:t>
      </w:r>
      <w:r w:rsidR="00A51C82" w:rsidRPr="00A51C82">
        <w:rPr>
          <w:rFonts w:eastAsia="MS PGothic"/>
          <w:szCs w:val="20"/>
        </w:rPr>
        <w:t>. Une infrastructure comme le Grand Paris Express, avec ses effets sur les valeurs foncières, a</w:t>
      </w:r>
      <w:r w:rsidR="00791C2F">
        <w:rPr>
          <w:rFonts w:eastAsia="MS PGothic"/>
          <w:szCs w:val="20"/>
        </w:rPr>
        <w:t>ura donc</w:t>
      </w:r>
      <w:r w:rsidR="00A51C82" w:rsidRPr="00A51C82">
        <w:rPr>
          <w:rFonts w:eastAsia="MS PGothic"/>
          <w:szCs w:val="20"/>
        </w:rPr>
        <w:t xml:space="preserve"> un impact sur l’emploi par le mécanisme de la productivité des entreprises vu plus haut, une amélioration de 1% des temps de transport entraînant une baisse des loyers au centre de l’agglomération de 0,53% et une baisse de 1% des coûts du logement ayant pour effet une augmentation de 0,06% du nombre d’emplois</w:t>
      </w:r>
      <w:r w:rsidR="00A51C82" w:rsidRPr="00A51C82">
        <w:rPr>
          <w:rFonts w:eastAsia="MS PGothic"/>
          <w:szCs w:val="20"/>
          <w:vertAlign w:val="superscript"/>
        </w:rPr>
        <w:footnoteReference w:id="50"/>
      </w:r>
      <w:r w:rsidR="00A51C82" w:rsidRPr="00A51C82">
        <w:rPr>
          <w:rFonts w:eastAsia="MS PGothic"/>
          <w:szCs w:val="20"/>
        </w:rPr>
        <w:t xml:space="preserve">. Dans le long terme, et c’est là une conclusion quantitative intéressante pour apprécier l’effet sur l’emploi du Grand Paris Express, on peut espérer, </w:t>
      </w:r>
      <w:r w:rsidR="00AD77A8">
        <w:rPr>
          <w:rFonts w:eastAsia="MS PGothic"/>
          <w:szCs w:val="20"/>
        </w:rPr>
        <w:t>rien qu’</w:t>
      </w:r>
      <w:r w:rsidR="00A51C82" w:rsidRPr="00A51C82">
        <w:rPr>
          <w:rFonts w:eastAsia="MS PGothic"/>
          <w:szCs w:val="20"/>
        </w:rPr>
        <w:t>à ce titre, un niveau de</w:t>
      </w:r>
      <w:r w:rsidR="00A51C82" w:rsidRPr="00B171CA">
        <w:rPr>
          <w:rFonts w:eastAsia="MS PGothic"/>
          <w:szCs w:val="20"/>
        </w:rPr>
        <w:t xml:space="preserve"> </w:t>
      </w:r>
      <w:r w:rsidR="005E396A" w:rsidRPr="00B171CA">
        <w:rPr>
          <w:rFonts w:eastAsia="MS PGothic"/>
          <w:szCs w:val="20"/>
        </w:rPr>
        <w:t>création</w:t>
      </w:r>
      <w:r w:rsidR="00B171CA" w:rsidRPr="00B171CA">
        <w:rPr>
          <w:rFonts w:eastAsia="MS PGothic"/>
          <w:szCs w:val="20"/>
        </w:rPr>
        <w:t>s</w:t>
      </w:r>
      <w:r w:rsidR="005E396A" w:rsidRPr="00B171CA">
        <w:rPr>
          <w:rFonts w:eastAsia="MS PGothic"/>
          <w:szCs w:val="20"/>
        </w:rPr>
        <w:t xml:space="preserve"> </w:t>
      </w:r>
      <w:r w:rsidR="00A51C82" w:rsidRPr="00A51C82">
        <w:rPr>
          <w:rFonts w:eastAsia="MS PGothic"/>
          <w:szCs w:val="20"/>
        </w:rPr>
        <w:t xml:space="preserve">d’emplois induits par la réalisation du Grand Paris </w:t>
      </w:r>
      <w:r w:rsidR="00A51C82" w:rsidRPr="00A51C82">
        <w:rPr>
          <w:rFonts w:eastAsia="MS PGothic"/>
          <w:szCs w:val="20"/>
        </w:rPr>
        <w:t xml:space="preserve">Express se situant à l’intérieur de la fourchette formée par les deux scénarios bas et haut rappelés </w:t>
      </w:r>
      <w:r w:rsidR="00CC1C14" w:rsidRPr="00B171CA">
        <w:rPr>
          <w:rFonts w:eastAsia="MS PGothic"/>
          <w:szCs w:val="20"/>
        </w:rPr>
        <w:t>ci-dessus</w:t>
      </w:r>
      <w:r w:rsidR="00A51C82" w:rsidRPr="00A51C82">
        <w:rPr>
          <w:rFonts w:eastAsia="MS PGothic"/>
          <w:szCs w:val="20"/>
        </w:rPr>
        <w:t xml:space="preserve">. Mais </w:t>
      </w:r>
      <w:r w:rsidR="00B85F6B">
        <w:rPr>
          <w:rFonts w:eastAsia="MS PGothic"/>
          <w:szCs w:val="20"/>
        </w:rPr>
        <w:t xml:space="preserve">l’étude souligne que </w:t>
      </w:r>
      <w:r w:rsidR="00A51C82" w:rsidRPr="00A51C82">
        <w:rPr>
          <w:rFonts w:eastAsia="MS PGothic"/>
          <w:szCs w:val="20"/>
        </w:rPr>
        <w:t>le lien entre créations d’emplois et construction de logements est déterminant : les effets sur l’emploi supposent que les constructions de logements viennent accompagner la dynamique économique car la pression à la hausse des loyers en cas de pénurie viendrait entraver les gains de productivité des entreprises; cette conclusion rejoint d’ailleurs un constat effectué outre-Atlantique, à savoir que si dans une métropole l’offre de logement est très élastique, l’augmentation de l’offre d’emplois se traduit par une augmentation d’emplois effectifs correspondant au potentiel de croissance de la métropole, mais que, dans une métropole où la construction est contrainte par des réglementations urbaines restrictives, la croissance effective de l’emploi n’est que de 80% de ce qu’elle pourrait être avec une totale flexibilité de l’offre de logements</w:t>
      </w:r>
      <w:r w:rsidR="00A51C82" w:rsidRPr="00A51C82">
        <w:rPr>
          <w:rFonts w:eastAsia="MS PGothic"/>
          <w:szCs w:val="20"/>
          <w:vertAlign w:val="superscript"/>
        </w:rPr>
        <w:footnoteReference w:id="51"/>
      </w:r>
      <w:r w:rsidR="00A51C82" w:rsidRPr="00A51C82">
        <w:rPr>
          <w:rFonts w:eastAsia="MS PGothic"/>
          <w:szCs w:val="20"/>
        </w:rPr>
        <w:t>.</w:t>
      </w:r>
    </w:p>
    <w:p w14:paraId="119213D0" w14:textId="7B23360F" w:rsidR="00B85F6B" w:rsidRDefault="00B85F6B" w:rsidP="004C4CA3">
      <w:pPr>
        <w:jc w:val="both"/>
        <w:rPr>
          <w:rFonts w:eastAsia="MS PGothic"/>
          <w:szCs w:val="20"/>
        </w:rPr>
      </w:pPr>
    </w:p>
    <w:p w14:paraId="10DDC4C7" w14:textId="4263B785" w:rsidR="00302A93" w:rsidRDefault="00302A93" w:rsidP="004C4CA3">
      <w:pPr>
        <w:jc w:val="both"/>
        <w:rPr>
          <w:rFonts w:eastAsia="MS PGothic"/>
          <w:szCs w:val="20"/>
        </w:rPr>
      </w:pPr>
      <w:r>
        <w:rPr>
          <w:rFonts w:eastAsia="MS PGothic"/>
          <w:szCs w:val="20"/>
        </w:rPr>
        <w:t>La question est de savoir dans quelle mesure une croissance additionnelle de la région capitale est un bénéfice ou non pour l’ensemble du pays.</w:t>
      </w:r>
    </w:p>
    <w:p w14:paraId="6ED3949C" w14:textId="77777777" w:rsidR="00302A93" w:rsidRPr="00A51C82" w:rsidRDefault="00302A93" w:rsidP="004C4CA3">
      <w:pPr>
        <w:jc w:val="both"/>
        <w:rPr>
          <w:rFonts w:eastAsia="MS PGothic"/>
          <w:szCs w:val="20"/>
        </w:rPr>
      </w:pPr>
    </w:p>
    <w:p w14:paraId="2C0ECEA8" w14:textId="7647487D" w:rsidR="00A51C82" w:rsidRDefault="00293D48" w:rsidP="004C4CA3">
      <w:pPr>
        <w:jc w:val="both"/>
        <w:rPr>
          <w:rFonts w:eastAsia="MS PGothic"/>
          <w:szCs w:val="20"/>
        </w:rPr>
      </w:pPr>
      <w:r>
        <w:rPr>
          <w:rFonts w:eastAsia="MS PGothic"/>
          <w:szCs w:val="20"/>
        </w:rPr>
        <w:t xml:space="preserve">Une thèse couramment répandue serait que la croissance de la région Île-de-France s’effectuerait au détriment de la croissance </w:t>
      </w:r>
      <w:r w:rsidR="00DA5ED4">
        <w:rPr>
          <w:rFonts w:eastAsia="MS PGothic"/>
          <w:szCs w:val="20"/>
        </w:rPr>
        <w:t>du</w:t>
      </w:r>
      <w:r>
        <w:rPr>
          <w:rFonts w:eastAsia="MS PGothic"/>
          <w:szCs w:val="20"/>
        </w:rPr>
        <w:t xml:space="preserve"> reste du territoire national, en considérant l’activité du pays comme une sorte de gâteau à partager entre les régions. C’était un peu la vision sous-jacente à « Paris et le désert français ». </w:t>
      </w:r>
      <w:r w:rsidR="00A51C82" w:rsidRPr="00A51C82">
        <w:rPr>
          <w:rFonts w:eastAsia="MS PGothic"/>
          <w:szCs w:val="20"/>
        </w:rPr>
        <w:t xml:space="preserve">Il est </w:t>
      </w:r>
      <w:r>
        <w:rPr>
          <w:rFonts w:eastAsia="MS PGothic"/>
          <w:szCs w:val="20"/>
        </w:rPr>
        <w:t xml:space="preserve">donc </w:t>
      </w:r>
      <w:r w:rsidR="00A51C82" w:rsidRPr="00A51C82">
        <w:rPr>
          <w:rFonts w:eastAsia="MS PGothic"/>
          <w:szCs w:val="20"/>
        </w:rPr>
        <w:t xml:space="preserve">apparu nécessaire de vérifier les implications sur le reste du territoire national de </w:t>
      </w:r>
      <w:r>
        <w:rPr>
          <w:rFonts w:eastAsia="MS PGothic"/>
          <w:szCs w:val="20"/>
        </w:rPr>
        <w:t>la</w:t>
      </w:r>
      <w:r w:rsidR="00A51C82" w:rsidRPr="00A51C82">
        <w:rPr>
          <w:rFonts w:eastAsia="MS PGothic"/>
          <w:szCs w:val="20"/>
        </w:rPr>
        <w:t xml:space="preserve"> croissance importante des emplois induite par le Grand Paris Express et cela d</w:t>
      </w:r>
      <w:r>
        <w:rPr>
          <w:rFonts w:eastAsia="MS PGothic"/>
          <w:szCs w:val="20"/>
        </w:rPr>
        <w:t xml:space="preserve">’une manière rigoureuse et </w:t>
      </w:r>
      <w:r w:rsidR="00A51C82" w:rsidRPr="00A51C82">
        <w:rPr>
          <w:rFonts w:eastAsia="MS PGothic"/>
          <w:szCs w:val="20"/>
        </w:rPr>
        <w:t xml:space="preserve">la plus conforme aux connaissances économiques actuelles. </w:t>
      </w:r>
      <w:r>
        <w:rPr>
          <w:rFonts w:eastAsia="MS PGothic"/>
          <w:szCs w:val="20"/>
        </w:rPr>
        <w:t>C</w:t>
      </w:r>
      <w:r w:rsidR="00A51C82" w:rsidRPr="00A51C82">
        <w:rPr>
          <w:rFonts w:eastAsia="MS PGothic"/>
          <w:szCs w:val="20"/>
        </w:rPr>
        <w:t xml:space="preserve">ette question a été </w:t>
      </w:r>
      <w:r w:rsidRPr="00A51C82">
        <w:rPr>
          <w:rFonts w:eastAsia="MS PGothic"/>
          <w:szCs w:val="20"/>
        </w:rPr>
        <w:t>approch</w:t>
      </w:r>
      <w:r>
        <w:rPr>
          <w:rFonts w:eastAsia="MS PGothic"/>
          <w:szCs w:val="20"/>
        </w:rPr>
        <w:t>é</w:t>
      </w:r>
      <w:r w:rsidRPr="00A51C82">
        <w:rPr>
          <w:rFonts w:eastAsia="MS PGothic"/>
          <w:szCs w:val="20"/>
        </w:rPr>
        <w:t xml:space="preserve">e </w:t>
      </w:r>
      <w:r w:rsidR="00A51C82" w:rsidRPr="00A51C82">
        <w:rPr>
          <w:rFonts w:eastAsia="MS PGothic"/>
          <w:szCs w:val="20"/>
        </w:rPr>
        <w:t>en recourant à deux techniques de modélisation interrégionale indépendantes, le modèle européen Rhomolo mis en œuvre par</w:t>
      </w:r>
      <w:r w:rsidR="00302A93">
        <w:rPr>
          <w:rFonts w:eastAsia="MS PGothic"/>
          <w:szCs w:val="20"/>
        </w:rPr>
        <w:t xml:space="preserve"> ailleurs </w:t>
      </w:r>
      <w:r w:rsidR="00DA5ED4">
        <w:rPr>
          <w:rFonts w:eastAsia="MS PGothic"/>
          <w:szCs w:val="20"/>
        </w:rPr>
        <w:t>p</w:t>
      </w:r>
      <w:r w:rsidR="00302A93">
        <w:rPr>
          <w:rFonts w:eastAsia="MS PGothic"/>
          <w:szCs w:val="20"/>
        </w:rPr>
        <w:t>ar</w:t>
      </w:r>
      <w:r w:rsidR="00A51C82" w:rsidRPr="00A51C82">
        <w:rPr>
          <w:rFonts w:eastAsia="MS PGothic"/>
          <w:szCs w:val="20"/>
        </w:rPr>
        <w:t xml:space="preserve"> l’équipe du Joint Research Centre de la Commission Européenne</w:t>
      </w:r>
      <w:r w:rsidR="00DA5ED4">
        <w:rPr>
          <w:rFonts w:eastAsia="MS PGothic"/>
          <w:szCs w:val="20"/>
        </w:rPr>
        <w:t>,</w:t>
      </w:r>
      <w:r w:rsidR="00A51C82" w:rsidRPr="00A51C82">
        <w:rPr>
          <w:rFonts w:eastAsia="MS PGothic"/>
          <w:szCs w:val="20"/>
        </w:rPr>
        <w:t xml:space="preserve"> et un autre modèle spécifique, le modèle REGINA. </w:t>
      </w:r>
    </w:p>
    <w:p w14:paraId="4F1AD06E" w14:textId="77777777" w:rsidR="00B85F6B" w:rsidRPr="00A51C82" w:rsidRDefault="00B85F6B" w:rsidP="004C4CA3">
      <w:pPr>
        <w:jc w:val="both"/>
        <w:rPr>
          <w:rFonts w:eastAsia="MS PGothic"/>
          <w:szCs w:val="20"/>
        </w:rPr>
      </w:pPr>
    </w:p>
    <w:p w14:paraId="52BAFE27" w14:textId="18A970A2" w:rsidR="00A51C82" w:rsidRPr="00A51C82" w:rsidRDefault="00A51C82" w:rsidP="004C4CA3">
      <w:pPr>
        <w:jc w:val="both"/>
        <w:rPr>
          <w:rFonts w:eastAsia="MS PGothic"/>
          <w:szCs w:val="20"/>
        </w:rPr>
      </w:pPr>
      <w:r w:rsidRPr="00A51C82">
        <w:rPr>
          <w:rFonts w:eastAsia="MS PGothic"/>
          <w:szCs w:val="20"/>
        </w:rPr>
        <w:t>Le modèle Rhomolo</w:t>
      </w:r>
      <w:r w:rsidRPr="00A51C82">
        <w:rPr>
          <w:rFonts w:eastAsia="MS PGothic"/>
          <w:szCs w:val="20"/>
          <w:vertAlign w:val="superscript"/>
        </w:rPr>
        <w:footnoteReference w:id="52"/>
      </w:r>
      <w:r w:rsidRPr="00A51C82">
        <w:rPr>
          <w:rFonts w:eastAsia="MS PGothic"/>
          <w:szCs w:val="20"/>
        </w:rPr>
        <w:t xml:space="preserve"> est un modèle spatial d’équilibre général développé par la Commission européenne ; il permet de simuler l’impact possible de différentes natures de choix de politique économique. Il découpe l’espace européen en 247 régions de l’EU27. Il est conforme à la théorie de la croissance endogène et aux principes de la nouvelle économie géographique, et intègre la préférence pour la variété des consommateurs</w:t>
      </w:r>
      <w:r w:rsidRPr="00A51C82">
        <w:rPr>
          <w:rFonts w:eastAsia="MS PGothic"/>
          <w:szCs w:val="20"/>
          <w:vertAlign w:val="superscript"/>
        </w:rPr>
        <w:footnoteReference w:id="53"/>
      </w:r>
      <w:r w:rsidRPr="00A51C82">
        <w:rPr>
          <w:rFonts w:eastAsia="MS PGothic"/>
          <w:szCs w:val="20"/>
        </w:rPr>
        <w:t> : il explicite donc les rendements croissants et les externalités locales et introduit les coûts de transport et les mouvements de marchandises, de services et de personnes. Ce modèle a été utilisé pour simuler l’impact du Grand Paris Express sur les régions françaises : ses résultats montrent que la mise en service du Grand Paris Express, analysée comme un choc positif sur le système de transports et donc sur la productivité des entreprises de la région Île-de-France, entraîne une hausse assez nette du PIB et de l’emploi dans la région Île-de-France mais également une légère hausse sur l’ensemble du reste du territoire métropolitain</w:t>
      </w:r>
      <w:r w:rsidRPr="00A51C82">
        <w:rPr>
          <w:rFonts w:eastAsia="MS PGothic"/>
          <w:szCs w:val="20"/>
          <w:vertAlign w:val="superscript"/>
        </w:rPr>
        <w:footnoteReference w:id="54"/>
      </w:r>
      <w:r w:rsidRPr="00A51C82">
        <w:rPr>
          <w:rFonts w:eastAsia="MS PGothic"/>
          <w:szCs w:val="20"/>
        </w:rPr>
        <w:t>. La hausse brute du PIB calculée dans le reste du territoire est de 5 à 6% du surcroît de PIB induit dans la région Île-de-France par la réalisation du Grand Paris Express</w:t>
      </w:r>
      <w:r w:rsidRPr="00A51C82">
        <w:rPr>
          <w:rFonts w:eastAsia="MS PGothic"/>
          <w:szCs w:val="20"/>
          <w:vertAlign w:val="superscript"/>
        </w:rPr>
        <w:footnoteReference w:id="55"/>
      </w:r>
      <w:r w:rsidRPr="00A51C82">
        <w:rPr>
          <w:rFonts w:eastAsia="MS PGothic"/>
          <w:szCs w:val="20"/>
        </w:rPr>
        <w:t xml:space="preserve"> ; ce chiffre </w:t>
      </w:r>
      <w:r w:rsidR="00302A93">
        <w:rPr>
          <w:rFonts w:eastAsia="MS PGothic"/>
          <w:szCs w:val="20"/>
        </w:rPr>
        <w:t xml:space="preserve">modeste mais positif </w:t>
      </w:r>
      <w:r w:rsidRPr="00A51C82">
        <w:rPr>
          <w:rFonts w:eastAsia="MS PGothic"/>
          <w:szCs w:val="20"/>
        </w:rPr>
        <w:t xml:space="preserve">est </w:t>
      </w:r>
      <w:r w:rsidR="00302A93">
        <w:rPr>
          <w:rFonts w:eastAsia="MS PGothic"/>
          <w:szCs w:val="20"/>
        </w:rPr>
        <w:t xml:space="preserve">toutefois </w:t>
      </w:r>
      <w:r w:rsidR="007B7BC2" w:rsidRPr="00A51C82">
        <w:rPr>
          <w:rFonts w:eastAsia="MS PGothic"/>
          <w:szCs w:val="20"/>
        </w:rPr>
        <w:t>sous</w:t>
      </w:r>
      <w:r w:rsidR="007B7BC2">
        <w:rPr>
          <w:rFonts w:eastAsia="MS PGothic"/>
          <w:szCs w:val="20"/>
        </w:rPr>
        <w:t>-</w:t>
      </w:r>
      <w:r w:rsidR="007B7BC2" w:rsidRPr="00A51C82">
        <w:rPr>
          <w:rFonts w:eastAsia="MS PGothic"/>
          <w:szCs w:val="20"/>
        </w:rPr>
        <w:t>estimé</w:t>
      </w:r>
      <w:r w:rsidRPr="00A51C82">
        <w:rPr>
          <w:rFonts w:eastAsia="MS PGothic"/>
          <w:szCs w:val="20"/>
        </w:rPr>
        <w:t xml:space="preserve"> </w:t>
      </w:r>
      <w:r w:rsidR="00B85F6B">
        <w:rPr>
          <w:rFonts w:eastAsia="MS PGothic"/>
          <w:szCs w:val="20"/>
        </w:rPr>
        <w:t xml:space="preserve">dans la mesure </w:t>
      </w:r>
      <w:r w:rsidRPr="00A51C82">
        <w:rPr>
          <w:rFonts w:eastAsia="MS PGothic"/>
          <w:szCs w:val="20"/>
        </w:rPr>
        <w:t>où les transferts de revenus significatifs entre la région capitale et la province, qui ne sont pas pri</w:t>
      </w:r>
      <w:r w:rsidR="00B85F6B">
        <w:rPr>
          <w:rFonts w:eastAsia="MS PGothic"/>
          <w:szCs w:val="20"/>
        </w:rPr>
        <w:t>s</w:t>
      </w:r>
      <w:r w:rsidRPr="00A51C82">
        <w:rPr>
          <w:rFonts w:eastAsia="MS PGothic"/>
          <w:szCs w:val="20"/>
        </w:rPr>
        <w:t xml:space="preserve"> en compte dans le modèle RHOMOLO, conduisent à une augmentation de la demande en province, comme le montrent les résultats du modèle REGINA. </w:t>
      </w:r>
    </w:p>
    <w:p w14:paraId="498D9D6F" w14:textId="77777777" w:rsidR="008137EC" w:rsidRDefault="008137EC" w:rsidP="004C4CA3">
      <w:pPr>
        <w:jc w:val="both"/>
        <w:rPr>
          <w:rFonts w:eastAsia="MS PGothic"/>
          <w:szCs w:val="20"/>
        </w:rPr>
      </w:pPr>
    </w:p>
    <w:p w14:paraId="6AB4F11C" w14:textId="1CADD2F9" w:rsidR="00A51C82" w:rsidRPr="00A51C82" w:rsidRDefault="00A51C82" w:rsidP="004C4CA3">
      <w:pPr>
        <w:jc w:val="both"/>
        <w:rPr>
          <w:rFonts w:eastAsia="MS PGothic"/>
          <w:szCs w:val="20"/>
        </w:rPr>
      </w:pPr>
      <w:r w:rsidRPr="00B03A09">
        <w:rPr>
          <w:rFonts w:eastAsia="MS PGothic"/>
          <w:szCs w:val="20"/>
        </w:rPr>
        <w:t>Le modèle REGINA</w:t>
      </w:r>
      <w:r w:rsidRPr="00B03A09">
        <w:rPr>
          <w:rFonts w:eastAsia="MS PGothic"/>
          <w:szCs w:val="20"/>
          <w:vertAlign w:val="superscript"/>
        </w:rPr>
        <w:footnoteReference w:id="56"/>
      </w:r>
      <w:r w:rsidRPr="00B03A09">
        <w:rPr>
          <w:rFonts w:eastAsia="MS PGothic"/>
          <w:szCs w:val="20"/>
        </w:rPr>
        <w:t xml:space="preserve"> (régional-national) est un modèle d’équilibre général étroitement décalqué du modèle DELTA utilisé en Angleterre</w:t>
      </w:r>
      <w:r w:rsidRPr="00B03A09">
        <w:rPr>
          <w:rFonts w:eastAsia="MS PGothic"/>
          <w:szCs w:val="20"/>
          <w:vertAlign w:val="superscript"/>
        </w:rPr>
        <w:footnoteReference w:id="57"/>
      </w:r>
      <w:r w:rsidRPr="00B03A09">
        <w:rPr>
          <w:rFonts w:eastAsia="MS PGothic"/>
          <w:szCs w:val="20"/>
        </w:rPr>
        <w:t xml:space="preserve">, qui intègre bien les effets de l’accessibilité sur la localisation </w:t>
      </w:r>
      <w:r w:rsidRPr="00B03A09">
        <w:rPr>
          <w:rFonts w:eastAsia="MS PGothic"/>
          <w:szCs w:val="20"/>
        </w:rPr>
        <w:lastRenderedPageBreak/>
        <w:t xml:space="preserve">de l’emploi et des populations, mais qui, contrairement au modèle Rhomolo, </w:t>
      </w:r>
      <w:r w:rsidR="00B85F6B" w:rsidRPr="00B03A09">
        <w:rPr>
          <w:rFonts w:eastAsia="MS PGothic"/>
          <w:szCs w:val="20"/>
        </w:rPr>
        <w:t>ne tient</w:t>
      </w:r>
      <w:r w:rsidRPr="00B03A09">
        <w:rPr>
          <w:rFonts w:eastAsia="MS PGothic"/>
          <w:szCs w:val="20"/>
        </w:rPr>
        <w:t xml:space="preserve"> pas </w:t>
      </w:r>
      <w:r w:rsidR="00B85F6B" w:rsidRPr="00B03A09">
        <w:rPr>
          <w:rFonts w:eastAsia="MS PGothic"/>
          <w:szCs w:val="20"/>
        </w:rPr>
        <w:t xml:space="preserve">compte des </w:t>
      </w:r>
      <w:r w:rsidRPr="00B03A09">
        <w:rPr>
          <w:rFonts w:eastAsia="MS PGothic"/>
          <w:szCs w:val="20"/>
        </w:rPr>
        <w:t xml:space="preserve">mécanismes de la croissance des territoires, </w:t>
      </w:r>
      <w:r w:rsidR="00CC1C14" w:rsidRPr="00B03A09">
        <w:rPr>
          <w:rFonts w:eastAsia="MS PGothic"/>
          <w:szCs w:val="20"/>
        </w:rPr>
        <w:t xml:space="preserve">des </w:t>
      </w:r>
      <w:r w:rsidRPr="00B03A09">
        <w:rPr>
          <w:rFonts w:eastAsia="MS PGothic"/>
          <w:szCs w:val="20"/>
        </w:rPr>
        <w:t xml:space="preserve">forces d’agglomération et de diffusion de l’innovation et du capital humain sur le reste du territoire et a donc tendance à sous-estimer l’impact cumulatif des investissements et de la polarisation territoriale, </w:t>
      </w:r>
      <w:r w:rsidR="00DA5ED4">
        <w:rPr>
          <w:rFonts w:eastAsia="MS PGothic"/>
          <w:szCs w:val="20"/>
        </w:rPr>
        <w:t xml:space="preserve">et </w:t>
      </w:r>
      <w:r w:rsidRPr="00B03A09">
        <w:rPr>
          <w:rFonts w:eastAsia="MS PGothic"/>
          <w:szCs w:val="20"/>
        </w:rPr>
        <w:t xml:space="preserve">ses effets sur la croissance et la productivité, </w:t>
      </w:r>
      <w:r w:rsidR="00DA5ED4">
        <w:rPr>
          <w:rFonts w:eastAsia="MS PGothic"/>
          <w:szCs w:val="20"/>
        </w:rPr>
        <w:t xml:space="preserve"> </w:t>
      </w:r>
      <w:r w:rsidRPr="00B03A09">
        <w:rPr>
          <w:rFonts w:eastAsia="MS PGothic"/>
          <w:szCs w:val="20"/>
        </w:rPr>
        <w:t xml:space="preserve">probablement d’une manière significative. C’est un modèle qui se limite aux mécanismes de caractère keynésien dans un cadre d’équilibre général, en introduisant un lien entre amélioration de l’accessibilité et croissance relative de l’emploi. Ce modèle est cependant intéressant pour analyser </w:t>
      </w:r>
      <w:r w:rsidR="00CC1C14" w:rsidRPr="00B03A09">
        <w:rPr>
          <w:rFonts w:eastAsia="MS PGothic"/>
          <w:szCs w:val="20"/>
        </w:rPr>
        <w:t xml:space="preserve">l’hypothèse </w:t>
      </w:r>
      <w:r w:rsidRPr="00B03A09">
        <w:rPr>
          <w:rFonts w:eastAsia="MS PGothic"/>
          <w:szCs w:val="20"/>
        </w:rPr>
        <w:t>d’un éventuel « partage d’un gâteau national » même s’il ne tient pas compte de la manière dont celui-ci s’agrandit du fait de la dynamique propre des activités à l’intérieur des territoires. En l’absence des mécanismes redistributifs en œuvre dans le pays entre la région Île-de-France et le reste du territoire, un choc d’offre exogène de 50</w:t>
      </w:r>
      <w:r w:rsidR="0084080B">
        <w:rPr>
          <w:rFonts w:eastAsia="MS PGothic"/>
          <w:szCs w:val="20"/>
        </w:rPr>
        <w:t> </w:t>
      </w:r>
      <w:r w:rsidRPr="00B03A09">
        <w:rPr>
          <w:rFonts w:eastAsia="MS PGothic"/>
          <w:szCs w:val="20"/>
        </w:rPr>
        <w:t xml:space="preserve">000 emplois (hypothèse </w:t>
      </w:r>
      <w:r w:rsidR="00DA5ED4">
        <w:rPr>
          <w:rFonts w:eastAsia="MS PGothic"/>
          <w:szCs w:val="20"/>
        </w:rPr>
        <w:t xml:space="preserve">la plus basse </w:t>
      </w:r>
      <w:r w:rsidRPr="00B03A09">
        <w:rPr>
          <w:rFonts w:eastAsia="MS PGothic"/>
          <w:szCs w:val="20"/>
        </w:rPr>
        <w:t xml:space="preserve">faite sur le nombre des emplois internationalement mobiles créés ou sauvegardés grâce à l’arrivée du Grand Paris Express) </w:t>
      </w:r>
      <w:r w:rsidR="00CC1C14" w:rsidRPr="00B03A09">
        <w:rPr>
          <w:rFonts w:eastAsia="MS PGothic"/>
          <w:szCs w:val="20"/>
        </w:rPr>
        <w:t xml:space="preserve">entraînerait </w:t>
      </w:r>
      <w:r w:rsidRPr="00B03A09">
        <w:rPr>
          <w:rFonts w:eastAsia="MS PGothic"/>
          <w:szCs w:val="20"/>
        </w:rPr>
        <w:t xml:space="preserve">une </w:t>
      </w:r>
      <w:r w:rsidR="00CC1C14" w:rsidRPr="00B03A09">
        <w:rPr>
          <w:rFonts w:eastAsia="MS PGothic"/>
          <w:szCs w:val="20"/>
        </w:rPr>
        <w:t xml:space="preserve">hausse </w:t>
      </w:r>
      <w:r w:rsidRPr="00B03A09">
        <w:rPr>
          <w:rFonts w:eastAsia="MS PGothic"/>
          <w:szCs w:val="20"/>
        </w:rPr>
        <w:t>additionnelle du PIB annuel de la région Île-de-France de 18 milliards d’euros et</w:t>
      </w:r>
      <w:r w:rsidR="001770A8" w:rsidRPr="00B03A09">
        <w:rPr>
          <w:rFonts w:eastAsia="MS PGothic"/>
          <w:szCs w:val="20"/>
        </w:rPr>
        <w:t xml:space="preserve"> une hausse</w:t>
      </w:r>
      <w:r w:rsidRPr="00B03A09">
        <w:rPr>
          <w:rFonts w:eastAsia="MS PGothic"/>
          <w:szCs w:val="20"/>
        </w:rPr>
        <w:t xml:space="preserve"> de l’emploi de 150</w:t>
      </w:r>
      <w:r w:rsidR="0084080B">
        <w:rPr>
          <w:rFonts w:eastAsia="MS PGothic"/>
          <w:szCs w:val="20"/>
        </w:rPr>
        <w:t> </w:t>
      </w:r>
      <w:r w:rsidRPr="00B03A09">
        <w:rPr>
          <w:rFonts w:eastAsia="MS PGothic"/>
          <w:szCs w:val="20"/>
        </w:rPr>
        <w:t>000 à l’horizon 2030 (compte tenu des emplois présentiels induits par l’augmentation de 50</w:t>
      </w:r>
      <w:r w:rsidR="0084080B">
        <w:rPr>
          <w:rFonts w:eastAsia="MS PGothic"/>
          <w:szCs w:val="20"/>
        </w:rPr>
        <w:t> </w:t>
      </w:r>
      <w:r w:rsidRPr="00B03A09">
        <w:rPr>
          <w:rFonts w:eastAsia="MS PGothic"/>
          <w:szCs w:val="20"/>
        </w:rPr>
        <w:t xml:space="preserve">000 « de base »). Les mécanismes redistributifs en œuvre aujourd’hui entre la région Île-de-France et le reste du territoire </w:t>
      </w:r>
      <w:r w:rsidR="00B03A09" w:rsidRPr="00B03A09">
        <w:rPr>
          <w:rFonts w:eastAsia="MS PGothic"/>
          <w:szCs w:val="20"/>
        </w:rPr>
        <w:t>réduisent la</w:t>
      </w:r>
      <w:r w:rsidR="001770A8" w:rsidRPr="00B03A09">
        <w:rPr>
          <w:rFonts w:eastAsia="MS PGothic"/>
          <w:szCs w:val="20"/>
        </w:rPr>
        <w:t xml:space="preserve"> hausse additionnelle de </w:t>
      </w:r>
      <w:r w:rsidRPr="00B03A09">
        <w:rPr>
          <w:rFonts w:eastAsia="MS PGothic"/>
          <w:szCs w:val="20"/>
        </w:rPr>
        <w:t>la croissance de la région capitale à 15 milliards pour le PIB et à 125</w:t>
      </w:r>
      <w:r w:rsidR="0084080B">
        <w:rPr>
          <w:rFonts w:eastAsia="MS PGothic"/>
          <w:szCs w:val="20"/>
        </w:rPr>
        <w:t> </w:t>
      </w:r>
      <w:r w:rsidRPr="00B03A09">
        <w:rPr>
          <w:rFonts w:eastAsia="MS PGothic"/>
          <w:szCs w:val="20"/>
        </w:rPr>
        <w:t xml:space="preserve">000 emplois environ, et sont à l’origine d’un profit non négligeable pour le reste du territoire national. </w:t>
      </w:r>
    </w:p>
    <w:p w14:paraId="3A92C24C" w14:textId="77777777" w:rsidR="00B85F6B" w:rsidRDefault="00B85F6B" w:rsidP="004C4CA3">
      <w:pPr>
        <w:jc w:val="both"/>
        <w:rPr>
          <w:rFonts w:eastAsia="MS PGothic"/>
          <w:szCs w:val="20"/>
        </w:rPr>
      </w:pPr>
    </w:p>
    <w:p w14:paraId="2B34B281" w14:textId="77777777" w:rsidR="00A51C82" w:rsidRPr="00A51C82" w:rsidRDefault="00A51C82" w:rsidP="004C4CA3">
      <w:pPr>
        <w:jc w:val="both"/>
        <w:rPr>
          <w:rFonts w:eastAsia="MS PGothic"/>
          <w:szCs w:val="20"/>
        </w:rPr>
      </w:pPr>
      <w:r w:rsidRPr="00A51C82">
        <w:rPr>
          <w:rFonts w:eastAsia="MS PGothic"/>
          <w:szCs w:val="20"/>
        </w:rPr>
        <w:t>Cela montre bien que l’emploi en province profite de l’arrivée du Grand Paris Express. Ces chiffres de retombées sur le reste du territoire national calculés par ces modèles seraient plus élevés si on savait intégrer dans les modèles les nombreux effets d’offre indiqués plus haut. Ainsi, on peut conclure que l’effet d’un choc de croissance dans la région Île-de-France est positif, contrairement à une antienne largement répandue.</w:t>
      </w:r>
    </w:p>
    <w:p w14:paraId="1FB0D0FD" w14:textId="77777777" w:rsidR="00B85F6B" w:rsidRDefault="00B85F6B" w:rsidP="004C4CA3">
      <w:pPr>
        <w:jc w:val="both"/>
        <w:rPr>
          <w:b/>
          <w:bCs/>
          <w:szCs w:val="20"/>
        </w:rPr>
      </w:pPr>
    </w:p>
    <w:p w14:paraId="5D4E3062" w14:textId="6FECD483" w:rsidR="00A51C82" w:rsidRDefault="00A51C82" w:rsidP="004C4CA3">
      <w:pPr>
        <w:jc w:val="both"/>
        <w:rPr>
          <w:b/>
          <w:bCs/>
          <w:szCs w:val="20"/>
        </w:rPr>
      </w:pPr>
      <w:r w:rsidRPr="00A51C82">
        <w:rPr>
          <w:b/>
          <w:bCs/>
          <w:szCs w:val="20"/>
        </w:rPr>
        <w:t xml:space="preserve">Les recherches engagées par la Société du Grand Paris sur ces différentes questions ont donc permis de confirmer cette donnée d’une création </w:t>
      </w:r>
      <w:r w:rsidR="00302A93">
        <w:rPr>
          <w:b/>
          <w:bCs/>
          <w:szCs w:val="20"/>
        </w:rPr>
        <w:t xml:space="preserve">minimum </w:t>
      </w:r>
      <w:r w:rsidRPr="00A51C82">
        <w:rPr>
          <w:b/>
          <w:bCs/>
          <w:szCs w:val="20"/>
        </w:rPr>
        <w:t>de 115</w:t>
      </w:r>
      <w:r w:rsidR="0084080B">
        <w:rPr>
          <w:b/>
          <w:bCs/>
          <w:szCs w:val="20"/>
        </w:rPr>
        <w:t> </w:t>
      </w:r>
      <w:r w:rsidRPr="00A51C82">
        <w:rPr>
          <w:b/>
          <w:bCs/>
          <w:szCs w:val="20"/>
        </w:rPr>
        <w:t xml:space="preserve">000 emplois nets pour le pays et même de la faire considérer désormais comme </w:t>
      </w:r>
      <w:r w:rsidR="00B03A09">
        <w:rPr>
          <w:b/>
          <w:bCs/>
          <w:szCs w:val="20"/>
        </w:rPr>
        <w:t xml:space="preserve">une </w:t>
      </w:r>
      <w:r w:rsidRPr="00A51C82">
        <w:rPr>
          <w:b/>
          <w:bCs/>
          <w:szCs w:val="20"/>
        </w:rPr>
        <w:t xml:space="preserve">hypothèse </w:t>
      </w:r>
      <w:r w:rsidR="00B03A09">
        <w:rPr>
          <w:b/>
          <w:bCs/>
          <w:szCs w:val="20"/>
        </w:rPr>
        <w:t xml:space="preserve">plutôt </w:t>
      </w:r>
      <w:r w:rsidRPr="00A51C82">
        <w:rPr>
          <w:b/>
          <w:bCs/>
          <w:szCs w:val="20"/>
        </w:rPr>
        <w:t xml:space="preserve">basse de la croissance des emplois induite à long terme par la réalisation du Grand Paris Express, comme le souligne l’avis exprimé en septembre 2017 </w:t>
      </w:r>
      <w:r w:rsidR="00050549">
        <w:rPr>
          <w:b/>
          <w:bCs/>
          <w:szCs w:val="20"/>
        </w:rPr>
        <w:t xml:space="preserve">par le Conseil scientifique de la </w:t>
      </w:r>
      <w:r w:rsidR="00050549" w:rsidRPr="00050549">
        <w:rPr>
          <w:b/>
          <w:bCs/>
          <w:szCs w:val="20"/>
        </w:rPr>
        <w:t>Société du Grand Paris</w:t>
      </w:r>
      <w:r w:rsidR="00050549">
        <w:rPr>
          <w:b/>
          <w:bCs/>
          <w:szCs w:val="20"/>
        </w:rPr>
        <w:t xml:space="preserve"> </w:t>
      </w:r>
      <w:r w:rsidRPr="00A51C82">
        <w:rPr>
          <w:b/>
          <w:bCs/>
          <w:szCs w:val="20"/>
        </w:rPr>
        <w:t xml:space="preserve">et dont la conclusion a été reprise dans l’encadré ci-dessous.  </w:t>
      </w:r>
    </w:p>
    <w:p w14:paraId="1BA2FB77" w14:textId="77777777" w:rsidR="00B85F6B" w:rsidRPr="00A51C82" w:rsidRDefault="00B85F6B" w:rsidP="004C4CA3">
      <w:pPr>
        <w:jc w:val="both"/>
        <w:rPr>
          <w:bCs/>
          <w:szCs w:val="20"/>
        </w:rPr>
      </w:pPr>
    </w:p>
    <w:p w14:paraId="0E21CD4D" w14:textId="6BA1869F" w:rsidR="00437505" w:rsidRDefault="00B03A09" w:rsidP="00437505">
      <w:pPr>
        <w:tabs>
          <w:tab w:val="left" w:pos="0"/>
        </w:tabs>
        <w:spacing w:after="60"/>
        <w:jc w:val="both"/>
      </w:pPr>
      <w:r>
        <w:rPr>
          <w:b/>
          <w:bCs/>
          <w:szCs w:val="20"/>
        </w:rPr>
        <w:t>L’o</w:t>
      </w:r>
      <w:r w:rsidR="00A51C82" w:rsidRPr="00A51C82">
        <w:rPr>
          <w:b/>
          <w:bCs/>
          <w:szCs w:val="20"/>
        </w:rPr>
        <w:t xml:space="preserve">ption haute </w:t>
      </w:r>
      <w:r w:rsidR="00A51C82" w:rsidRPr="00A51C82">
        <w:rPr>
          <w:bCs/>
          <w:szCs w:val="20"/>
        </w:rPr>
        <w:t>correspond à une croissance supplémentaire, à horizon 2030, de 315</w:t>
      </w:r>
      <w:r w:rsidR="0084080B">
        <w:rPr>
          <w:bCs/>
          <w:szCs w:val="20"/>
        </w:rPr>
        <w:t> </w:t>
      </w:r>
      <w:r w:rsidR="00A51C82" w:rsidRPr="00A51C82">
        <w:rPr>
          <w:bCs/>
          <w:szCs w:val="20"/>
        </w:rPr>
        <w:t xml:space="preserve">000 emplois </w:t>
      </w:r>
      <w:r>
        <w:rPr>
          <w:bCs/>
          <w:szCs w:val="20"/>
        </w:rPr>
        <w:t>au lieu de 115</w:t>
      </w:r>
      <w:r w:rsidR="0084080B">
        <w:rPr>
          <w:bCs/>
          <w:szCs w:val="20"/>
        </w:rPr>
        <w:t> </w:t>
      </w:r>
      <w:r>
        <w:rPr>
          <w:bCs/>
          <w:szCs w:val="20"/>
        </w:rPr>
        <w:t>000 emplois dans l’option basse</w:t>
      </w:r>
      <w:r w:rsidR="00A51C82" w:rsidRPr="00A51C82">
        <w:rPr>
          <w:bCs/>
          <w:szCs w:val="20"/>
        </w:rPr>
        <w:t>. Cette hypothèse avait été considérée en 2012 comme « nettement optimiste » par le Conseil scientifique de la Société du Grand Paris</w:t>
      </w:r>
      <w:r>
        <w:rPr>
          <w:bCs/>
          <w:szCs w:val="20"/>
        </w:rPr>
        <w:t>, mais il convient de souligner que les recherches économiques effectuées à la demande de la Société du Grand Paris donnent un certain crédit à cette hypothèse</w:t>
      </w:r>
      <w:r w:rsidR="00A51C82" w:rsidRPr="00A51C82">
        <w:rPr>
          <w:bCs/>
          <w:szCs w:val="20"/>
        </w:rPr>
        <w:t>.</w:t>
      </w:r>
      <w:r w:rsidR="00437505" w:rsidRPr="00437505">
        <w:t xml:space="preserve"> </w:t>
      </w:r>
    </w:p>
    <w:p w14:paraId="0C92434E" w14:textId="42F207FD" w:rsidR="00437505" w:rsidRDefault="00437505" w:rsidP="00437505">
      <w:pPr>
        <w:tabs>
          <w:tab w:val="left" w:pos="0"/>
        </w:tabs>
        <w:spacing w:after="60"/>
        <w:jc w:val="both"/>
      </w:pPr>
    </w:p>
    <w:p w14:paraId="5A294934" w14:textId="7CEA36FD" w:rsidR="00437505" w:rsidRDefault="00437505" w:rsidP="00437505">
      <w:pPr>
        <w:tabs>
          <w:tab w:val="left" w:pos="0"/>
        </w:tabs>
        <w:spacing w:after="60"/>
        <w:jc w:val="both"/>
      </w:pPr>
    </w:p>
    <w:p w14:paraId="404C85B7" w14:textId="52B2966B" w:rsidR="00437505" w:rsidRDefault="00437505" w:rsidP="00437505">
      <w:pPr>
        <w:tabs>
          <w:tab w:val="left" w:pos="0"/>
        </w:tabs>
        <w:spacing w:after="60"/>
        <w:jc w:val="both"/>
      </w:pPr>
    </w:p>
    <w:p w14:paraId="28417804" w14:textId="72A5EF91" w:rsidR="00437505" w:rsidRDefault="00437505" w:rsidP="00437505">
      <w:pPr>
        <w:tabs>
          <w:tab w:val="left" w:pos="0"/>
        </w:tabs>
        <w:spacing w:after="60"/>
        <w:jc w:val="both"/>
      </w:pPr>
    </w:p>
    <w:p w14:paraId="62E47DC4" w14:textId="72B9BE36" w:rsidR="00437505" w:rsidRDefault="00437505" w:rsidP="00437505">
      <w:pPr>
        <w:tabs>
          <w:tab w:val="left" w:pos="0"/>
        </w:tabs>
        <w:spacing w:after="60"/>
        <w:jc w:val="both"/>
      </w:pPr>
    </w:p>
    <w:p w14:paraId="317BF26B" w14:textId="7B0FB421" w:rsidR="00437505" w:rsidRDefault="00437505" w:rsidP="00437505">
      <w:pPr>
        <w:tabs>
          <w:tab w:val="left" w:pos="0"/>
        </w:tabs>
        <w:spacing w:after="60"/>
        <w:jc w:val="both"/>
      </w:pPr>
    </w:p>
    <w:p w14:paraId="247E5E36" w14:textId="1EF0F9C9" w:rsidR="00437505" w:rsidRDefault="00437505" w:rsidP="00437505">
      <w:pPr>
        <w:tabs>
          <w:tab w:val="left" w:pos="0"/>
        </w:tabs>
        <w:spacing w:after="60"/>
        <w:jc w:val="both"/>
      </w:pPr>
    </w:p>
    <w:p w14:paraId="1DAB6864" w14:textId="53D08C09" w:rsidR="00437505" w:rsidRDefault="00437505" w:rsidP="00437505">
      <w:pPr>
        <w:tabs>
          <w:tab w:val="left" w:pos="0"/>
        </w:tabs>
        <w:spacing w:after="60"/>
        <w:jc w:val="both"/>
      </w:pPr>
    </w:p>
    <w:p w14:paraId="02990898" w14:textId="3B756138" w:rsidR="00437505" w:rsidRDefault="00A13130" w:rsidP="00437505">
      <w:pPr>
        <w:tabs>
          <w:tab w:val="left" w:pos="0"/>
        </w:tabs>
        <w:spacing w:after="60"/>
        <w:jc w:val="both"/>
      </w:pPr>
      <w:r>
        <w:br w:type="column"/>
      </w:r>
    </w:p>
    <w:p w14:paraId="745521E9" w14:textId="77777777" w:rsidR="00A51C82" w:rsidRPr="00A51C82" w:rsidRDefault="00A51C82" w:rsidP="000F7BCF">
      <w:pPr>
        <w:pBdr>
          <w:top w:val="single" w:sz="8" w:space="1" w:color="931638"/>
          <w:left w:val="single" w:sz="8" w:space="4" w:color="931638"/>
          <w:bottom w:val="single" w:sz="8" w:space="1" w:color="931638"/>
          <w:right w:val="single" w:sz="8" w:space="4" w:color="931638"/>
        </w:pBdr>
        <w:shd w:val="clear" w:color="auto" w:fill="E6D8C3"/>
        <w:ind w:left="284"/>
        <w:rPr>
          <w:b/>
        </w:rPr>
      </w:pPr>
      <w:r w:rsidRPr="00A51C82">
        <w:rPr>
          <w:b/>
        </w:rPr>
        <w:t>Avis du Conseil scientifique de la Société du Grand Paris sur l’évaluation socio-économique :</w:t>
      </w:r>
    </w:p>
    <w:p w14:paraId="0102ED3F"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pPr>
    </w:p>
    <w:p w14:paraId="68543844"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pPr>
      <w:r w:rsidRPr="00A51C82">
        <w:t xml:space="preserve">La création par la Société du Grand Paris d’un Conseil scientifique international et indépendant est une première en France. La Société du Grand Paris a anticipé ainsi dès le début de l’année 2011 sur l'article 17 de la loi de programmation des finances publiques du 31 décembre 2012 et son décret d’application n°2013-1211 du 23 décembre 2013 relatif à la procédure d’évaluation des investissements publics, qui prévoit que les projets d’investissement dont le financement par l’Etat excède un certain seuil fassent l’objet d’une contre-expertise obligatoire indépendante (voir ci-avant). </w:t>
      </w:r>
    </w:p>
    <w:p w14:paraId="01FF7342"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pPr>
    </w:p>
    <w:p w14:paraId="40DC94D8" w14:textId="281A0771"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pPr>
      <w:r w:rsidRPr="00A51C82">
        <w:rPr>
          <w:b/>
        </w:rPr>
        <w:t>Le Conseil scientifique avait rendu un premier avis en décembre 2012</w:t>
      </w:r>
      <w:r w:rsidRPr="00A51C82">
        <w:t xml:space="preserve"> sur l’évaluation des avantages économiques du programme Grand Paris Express, initialement calculés dans le cadre du dossier d’enquête publique relatif au tronçon Pont de Sèvres – Noisy-Champs, et qui ont ét</w:t>
      </w:r>
      <w:r w:rsidR="009808C6">
        <w:t xml:space="preserve">é </w:t>
      </w:r>
      <w:r w:rsidRPr="00A51C82">
        <w:t xml:space="preserve">repris dans les différents dossiers présentés à l’appui des dossiers d’utilité publique présentés </w:t>
      </w:r>
      <w:r w:rsidR="00E51F05">
        <w:t>entre 2013 et 2016</w:t>
      </w:r>
      <w:r w:rsidRPr="00A51C82">
        <w:t>. Il avait d’ailleurs déjà signalé que le calcul des avantages de transports dits « classiques » était « </w:t>
      </w:r>
      <w:r w:rsidRPr="00A51C82">
        <w:rPr>
          <w:i/>
        </w:rPr>
        <w:t>fondé sur les résultats d’un modèle de trafic qui sous-estime et valorise les trafics en situation de projet pour plusieurs raisons</w:t>
      </w:r>
      <w:r w:rsidRPr="00A51C82">
        <w:t xml:space="preserve"> » et conclu en résumé que :  </w:t>
      </w:r>
    </w:p>
    <w:p w14:paraId="6946FDCE"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709" w:hanging="425"/>
        <w:jc w:val="both"/>
        <w:rPr>
          <w:b/>
        </w:rPr>
      </w:pPr>
      <w:r w:rsidRPr="00A51C82">
        <w:rPr>
          <w:b/>
        </w:rPr>
        <w:t>-</w:t>
      </w:r>
      <w:r w:rsidRPr="00A51C82">
        <w:rPr>
          <w:b/>
        </w:rPr>
        <w:tab/>
        <w:t>le scénario tendanciel dans lequel le métro n’aurait aucun effet sur l’emploi total de la région pourrait apparaître comme un scénario pessimiste ;</w:t>
      </w:r>
    </w:p>
    <w:p w14:paraId="6383B1C8" w14:textId="2EB6644B"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709" w:hanging="425"/>
        <w:jc w:val="both"/>
        <w:rPr>
          <w:b/>
        </w:rPr>
      </w:pPr>
      <w:r w:rsidRPr="00A51C82">
        <w:rPr>
          <w:b/>
        </w:rPr>
        <w:t>-</w:t>
      </w:r>
      <w:r w:rsidRPr="00A51C82">
        <w:rPr>
          <w:b/>
        </w:rPr>
        <w:tab/>
        <w:t xml:space="preserve">le scénario central </w:t>
      </w:r>
      <w:r w:rsidR="00DA5ED4">
        <w:rPr>
          <w:b/>
        </w:rPr>
        <w:t>de 115</w:t>
      </w:r>
      <w:r w:rsidR="0084080B">
        <w:rPr>
          <w:b/>
        </w:rPr>
        <w:t> </w:t>
      </w:r>
      <w:r w:rsidR="00DA5ED4">
        <w:rPr>
          <w:b/>
        </w:rPr>
        <w:t xml:space="preserve">000 emplois supplémentaires induits </w:t>
      </w:r>
      <w:r w:rsidRPr="00A51C82">
        <w:rPr>
          <w:b/>
        </w:rPr>
        <w:t>semble raisonnable dans son analyse et ses conclusions chiffrées ;</w:t>
      </w:r>
    </w:p>
    <w:p w14:paraId="4E483FB7" w14:textId="767405F9"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709" w:hanging="425"/>
        <w:jc w:val="both"/>
        <w:rPr>
          <w:b/>
        </w:rPr>
      </w:pPr>
      <w:r w:rsidRPr="00A51C82">
        <w:rPr>
          <w:b/>
        </w:rPr>
        <w:t>-</w:t>
      </w:r>
      <w:r w:rsidRPr="00A51C82">
        <w:rPr>
          <w:b/>
        </w:rPr>
        <w:tab/>
        <w:t>quant au scénario haut</w:t>
      </w:r>
      <w:r w:rsidR="00DA5ED4" w:rsidRPr="00DA5ED4">
        <w:t xml:space="preserve"> </w:t>
      </w:r>
      <w:r w:rsidR="00DA5ED4" w:rsidRPr="00DA5ED4">
        <w:rPr>
          <w:b/>
        </w:rPr>
        <w:t xml:space="preserve">de </w:t>
      </w:r>
      <w:r w:rsidR="00DA5ED4">
        <w:rPr>
          <w:b/>
        </w:rPr>
        <w:t>3</w:t>
      </w:r>
      <w:r w:rsidR="00DA5ED4" w:rsidRPr="00DA5ED4">
        <w:rPr>
          <w:b/>
        </w:rPr>
        <w:t>15</w:t>
      </w:r>
      <w:r w:rsidR="0084080B">
        <w:rPr>
          <w:b/>
        </w:rPr>
        <w:t> </w:t>
      </w:r>
      <w:r w:rsidR="00DA5ED4" w:rsidRPr="00DA5ED4">
        <w:rPr>
          <w:b/>
        </w:rPr>
        <w:t>000 emplois supplémentaires induits</w:t>
      </w:r>
      <w:r w:rsidRPr="00A51C82">
        <w:rPr>
          <w:b/>
        </w:rPr>
        <w:t>, il correspond à une vue que l’on ne peut que considérer comme nettement optimiste en l’état actuel et qui en tout cas nécessite la convergence d’initiatives publiques favorables à sa réalisation.</w:t>
      </w:r>
    </w:p>
    <w:p w14:paraId="44C12533"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pPr>
    </w:p>
    <w:p w14:paraId="2A0CC846" w14:textId="099C4CB3"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Sur la base des travaux de recherche ayant débouché entre 2016 et 2017</w:t>
      </w:r>
      <w:r w:rsidRPr="00A51C82">
        <w:rPr>
          <w:b/>
          <w:szCs w:val="20"/>
          <w:lang w:eastAsia="fr-FR"/>
        </w:rPr>
        <w:t>, le conseil scientifique a formulé un nouvel avis délibéré et rendu en septembre 2017</w:t>
      </w:r>
      <w:r w:rsidRPr="00A51C82">
        <w:rPr>
          <w:szCs w:val="20"/>
          <w:lang w:eastAsia="fr-FR"/>
        </w:rPr>
        <w:t>. La conclusion de cet avis est la suivante :</w:t>
      </w:r>
    </w:p>
    <w:p w14:paraId="1058C35A" w14:textId="30E4C46B"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 xml:space="preserve">« Le Conseil scientifique, dans la continuité de son approche en ce domaine, s’est attaché à s’assurer que l’actualisation de l’évaluation du projet reflétait l’état de l’art de l’économie géographique et des transports, les effets non-conventionnels étant  estimés prudemment, autant que possible sur la base d’estimations spécifiques plutôt que par « transfert » d’estimations réalisées pour des projets étrangers comparables ; mais sans négliger des mécanismes importants  de la mécanique de la croissance urbaine (cf. rapports de la Banque mondiale et de l’OCDE sur le sujet ou encore, par exemple la note du CAE (2015), P. Askenazy et P. Martin, « Promouvoir l’égalité des chances à travers le territoire »). </w:t>
      </w:r>
    </w:p>
    <w:p w14:paraId="326768C2" w14:textId="534FF810"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 xml:space="preserve">Tout d’abord, il note que les effets traditionnels (valorisation des effets transports, régularité, confort) ont augmenté de 3 Milliards d’Euro, cet accroissement est bien justifié par l’analyse de la modélisation des trafics et de ses failles, effectuée par M Gaudry, J Pavaux et D Révillon ; les spécialistes des transports peuvent même considérer que l’écart est probablement sous-estimé. </w:t>
      </w:r>
    </w:p>
    <w:p w14:paraId="35EF921D" w14:textId="3DEC6AAF"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 xml:space="preserve">L’augmentation du poste « Gains environnementaux et urbains » est justifié par l’inclusion de résultats provisoires d’une étude lancée par </w:t>
      </w:r>
      <w:r w:rsidR="003C5AAF">
        <w:rPr>
          <w:szCs w:val="20"/>
          <w:lang w:eastAsia="fr-FR"/>
        </w:rPr>
        <w:t>la SGP</w:t>
      </w:r>
      <w:r w:rsidRPr="00A51C82">
        <w:rPr>
          <w:szCs w:val="20"/>
          <w:lang w:eastAsia="fr-FR"/>
        </w:rPr>
        <w:t xml:space="preserve"> sur le co</w:t>
      </w:r>
      <w:r w:rsidR="003C5AAF">
        <w:rPr>
          <w:szCs w:val="20"/>
          <w:lang w:eastAsia="fr-FR"/>
        </w:rPr>
        <w:t>û</w:t>
      </w:r>
      <w:r w:rsidRPr="00A51C82">
        <w:rPr>
          <w:szCs w:val="20"/>
          <w:lang w:eastAsia="fr-FR"/>
        </w:rPr>
        <w:t>t des services publics et l’élasticité de ce co</w:t>
      </w:r>
      <w:r w:rsidR="003C5AAF">
        <w:rPr>
          <w:szCs w:val="20"/>
          <w:lang w:eastAsia="fr-FR"/>
        </w:rPr>
        <w:t>û</w:t>
      </w:r>
      <w:r w:rsidRPr="00A51C82">
        <w:rPr>
          <w:szCs w:val="20"/>
          <w:lang w:eastAsia="fr-FR"/>
        </w:rPr>
        <w:t xml:space="preserve">t à la densité. </w:t>
      </w:r>
    </w:p>
    <w:p w14:paraId="42C54391"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 xml:space="preserve">En ce qui concerne les effets d’agglomération, la modification par rapport à 2012 tient à l’inclusion de nouvelles études tenant compte de la différenciation des effets selon la catégorie socio-professionnelle et à l’intégration d’effets d’agglomération « dynamiques ». Le Conseil Scientifique note que ces effets d’agglomération tels que calculés dans les travaux de Combes et Lafourcade sont essentiellement liés au changement de densité (la densité est le facteur explicatif principal des relations économétriques sur lesquelles se base l’évaluation) ; selon cette vision, qui cherche à écarter tout double compte et tout biais d’endogénéité,  les effets d’agglomération sont cependant nuls s’il n’y a pas de changement dans les localisations, ce qui peut conduire à des résultats paradoxaux (la chute du mur de Berlin n’a pas changé les effets d’agglomération, au moins tant qu’il n’y a pas eu de relocalisations), et à une sous-estimation probable de ces effets. </w:t>
      </w:r>
    </w:p>
    <w:p w14:paraId="24BDF422"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p>
    <w:p w14:paraId="264B89C1"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lastRenderedPageBreak/>
        <w:t>Une approche alternative des effets d’agglomération est fondée sur l’accessibilité ou le potentiel de marché. C’est la voie suivie par de nombreuses études étrangères et on peut considérer que l’accessibilité est un vecteur plus exact de ces effets. Le Conseil Scientifique pense donc que des évaluations fondées sur l’accessibilité devraient être également menées. Cependant, il n’est pas exclu que des doubles comptes existent alors entre les effets d’agglomération d’une part, les effets directs transport et les effets sur l’emploi d’autre part. Il serait bon d’approfondir ce problème.</w:t>
      </w:r>
    </w:p>
    <w:p w14:paraId="3AF07CF1"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p>
    <w:p w14:paraId="36F5FC7F"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 xml:space="preserve">Le poste « Valorisation des nouveaux emplois » augmente sensiblement. Le chiffre auquel on aboutit est le produit de trois facteurs. D’abord le montant total des emplois créés ; la SGP le prend égal à 115 000 ; ce chiffre correspond à l’hypothèse moyenne de l’étude précédente et il apparait à juste titre maintenant comme une hypothèse de référence, même plutôt basse. Ensuite, le fait qu’il s’agisse d’emplois nets et non d’un transfert en provenance de la province ; la SGP s’appuie pour cela sur les résultats déjà mentionnés d’études en cours lancées par la SGP et portant sur une modélisation au niveau national (modèles Rhomolo et Delta), d’où il ressort que la réalisation du projet entraine en province, non pas une réduction de l’activité et de l’emploi, mais au contraire une légère augmentation. Enfin la SGP utilise une valorisation de l’emploi créé de 10 000 Euros, correspondant aux économies unitaires en termes d’aide aux chômeurs réalisées avec les créations d’emplois, soit le 1/10 du PIB moyen par emploi en Île-de-France. </w:t>
      </w:r>
    </w:p>
    <w:p w14:paraId="15E470E7"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p>
    <w:p w14:paraId="77CBFC72"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Le Conseil Scientifique, au vu des recherches qu’il a examinées, considère que le chiffre retenu pour le nombre d’emplois créés structurellement constitue un ordre de grandeur solide, et que la proportion d’emplois nets nouveaux dans cet ensemble est assez forte.</w:t>
      </w:r>
    </w:p>
    <w:p w14:paraId="67A099E6"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p>
    <w:p w14:paraId="173CE965"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 xml:space="preserve"> Enfin, si la valorisation des emplois créés semble assez raisonnable, notamment si on la compare à une autre valorisation, le coin fiscal, qui est de l’ordre de 40% du salaire, il n’en reste pas moins que sur ce point délicat, les références disponibles demeurent fragiles. Le Conseil recommande de lancer des études pour préciser ce point.  </w:t>
      </w:r>
    </w:p>
    <w:p w14:paraId="16D27D31"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p>
    <w:p w14:paraId="24198ECE"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Par ailleurs, la SGP a présenté une décomposition des avantages selon les sections du projet ; le problème théorique correspondant est redoutable, et reste aujourd’hui sans réponse solide. La méthode utilisée par la SGP consiste à décomposer les avantages non transports en proportion des gains généralisés d’accessibilité (calculés à population et emplois invariables et donc n’intégrant pas la valeur particulière de tronçons conditionnant la croissance et la densification des zones de développement les plus fortes de la région) comme elle l’avait fait dans son évaluation de 2012 mais à introduire une correction pour tenir compte des effets structurants particuliers de certaines lignes. Le conseil n’a pas d’objection à cette procédure raisonnable.</w:t>
      </w:r>
    </w:p>
    <w:p w14:paraId="03882BB0"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p>
    <w:p w14:paraId="1A00B0EB" w14:textId="360C79FE" w:rsid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 xml:space="preserve">Si l’on dépasse cette analyse poste à poste pour émettre un jugement d’ensemble,  il apparait au Conseil que l’effet du GPE sur l’emploi est de plus en plus sûrement établi et a probablement été sous-évalué dans les premières études ; il faut d’ailleurs signaler que ce dont on parle ici n’est pas un emploi du type « keynésien » résultant de l’exécution des travaux de chantier, comme ceux que l’on peut rencontrer à chaque fois qu’on réalise des travaux publics, mais bien des emplois à long terme induits par le  GPE et issus des bénéfices qu’il permettra par une meilleure accessibilité et ses conséquences sur le marché du travail et sur le marché foncier. </w:t>
      </w:r>
    </w:p>
    <w:p w14:paraId="17B0E316" w14:textId="77777777" w:rsidR="00437505" w:rsidRPr="00A51C82" w:rsidRDefault="00437505"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p>
    <w:p w14:paraId="278FE0C5" w14:textId="5C161705" w:rsid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A cet égard, le Conseil renouvelle ses recommandations concernant les conditions de succès et d’optimisation du programme, notamment par la politique foncière et de logement, qui doit permettre la construction d’un nombre suffisant de logements neufs ; le chiffre de 70</w:t>
      </w:r>
      <w:r w:rsidR="0084080B">
        <w:rPr>
          <w:szCs w:val="20"/>
          <w:lang w:eastAsia="fr-FR"/>
        </w:rPr>
        <w:t> </w:t>
      </w:r>
      <w:r w:rsidRPr="00A51C82">
        <w:rPr>
          <w:szCs w:val="20"/>
          <w:lang w:eastAsia="fr-FR"/>
        </w:rPr>
        <w:t xml:space="preserve">000 logements par an, souvent cité comme objectif, est à ce point de vue une référence indispensable. Les effets transports ont été sous-évalués, et les chiffres présentés dans l’étude récente sont probablement encore sous-estimés. Quant aux effets d’agglomération, ils sont de mieux en mieux connus grâce aux travaux lancés par la SGP ; mais il reste encore des réflexions à mener pour passer des </w:t>
      </w:r>
      <w:r w:rsidRPr="00A51C82">
        <w:rPr>
          <w:szCs w:val="20"/>
          <w:lang w:eastAsia="fr-FR"/>
        </w:rPr>
        <w:t>résultats de la recherche à leur utilisation dans l’évaluation du projet, pour bien intégrer les effets associés à l’amélioration de l’accessibilité et sans doubles comptes.</w:t>
      </w:r>
    </w:p>
    <w:p w14:paraId="6AA3DA10" w14:textId="77777777" w:rsidR="00437505" w:rsidRPr="00A51C82" w:rsidRDefault="00437505"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p>
    <w:p w14:paraId="55AE9E49"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r w:rsidRPr="00A51C82">
        <w:rPr>
          <w:szCs w:val="20"/>
          <w:lang w:eastAsia="fr-FR"/>
        </w:rPr>
        <w:t>Dans l’ensemble, l’augmentation des avantages socio-économiques enregistrée par rapport à l’évaluation antérieure reflète largement l’amélioration, qui a été significative, des connaissances sur le sujet. Les chiffrages présentés par la SGP donnent un ordre de grandeur raisonnable au regard de l’impact à attendre du projet du Grand Paris Express. »</w:t>
      </w:r>
    </w:p>
    <w:p w14:paraId="26FB439E" w14:textId="77777777" w:rsidR="00A51C82" w:rsidRPr="00A51C82"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szCs w:val="20"/>
          <w:lang w:eastAsia="fr-FR"/>
        </w:rPr>
      </w:pPr>
    </w:p>
    <w:p w14:paraId="105DC9DC" w14:textId="5BF671F3" w:rsidR="00A51C82" w:rsidRPr="002E07B7" w:rsidRDefault="00A51C82" w:rsidP="004C4CA3">
      <w:pPr>
        <w:pBdr>
          <w:top w:val="single" w:sz="8" w:space="1" w:color="931638"/>
          <w:left w:val="single" w:sz="8" w:space="4" w:color="931638"/>
          <w:bottom w:val="single" w:sz="8" w:space="1" w:color="931638"/>
          <w:right w:val="single" w:sz="8" w:space="4" w:color="931638"/>
        </w:pBdr>
        <w:shd w:val="clear" w:color="auto" w:fill="E6D8C3"/>
        <w:ind w:left="284"/>
        <w:jc w:val="both"/>
        <w:rPr>
          <w:b/>
          <w:bCs/>
        </w:rPr>
      </w:pPr>
      <w:r w:rsidRPr="002E07B7">
        <w:rPr>
          <w:b/>
          <w:bCs/>
          <w:szCs w:val="20"/>
          <w:lang w:eastAsia="fr-FR"/>
        </w:rPr>
        <w:t>Ce sont ces chiffrages qui ont servi de base à l</w:t>
      </w:r>
      <w:r w:rsidR="00437505" w:rsidRPr="002E07B7">
        <w:rPr>
          <w:b/>
          <w:bCs/>
          <w:szCs w:val="20"/>
          <w:lang w:eastAsia="fr-FR"/>
        </w:rPr>
        <w:t>a détermination actuelle</w:t>
      </w:r>
      <w:r w:rsidRPr="002E07B7">
        <w:rPr>
          <w:b/>
          <w:bCs/>
          <w:szCs w:val="20"/>
          <w:lang w:eastAsia="fr-FR"/>
        </w:rPr>
        <w:t xml:space="preserve"> des bénéfices socioéconomiques du Grand Paris Express.</w:t>
      </w:r>
    </w:p>
    <w:p w14:paraId="4B62D42A" w14:textId="77777777" w:rsidR="00A13130" w:rsidRDefault="00A13130" w:rsidP="00437505">
      <w:pPr>
        <w:tabs>
          <w:tab w:val="left" w:pos="0"/>
        </w:tabs>
        <w:spacing w:after="60"/>
        <w:jc w:val="both"/>
      </w:pPr>
    </w:p>
    <w:p w14:paraId="0275945C" w14:textId="4F780BA0" w:rsidR="00437505" w:rsidRDefault="00437505" w:rsidP="00437505">
      <w:pPr>
        <w:tabs>
          <w:tab w:val="left" w:pos="0"/>
        </w:tabs>
        <w:spacing w:after="60"/>
        <w:jc w:val="both"/>
      </w:pPr>
      <w:r>
        <w:t>Dans l’ensemble, la chaîne de modélisation utilisée pour l’élaboration des prévisions détaillées utiles pour le calcul des bénéfices du Grand Paris Express est la suivante :</w:t>
      </w:r>
    </w:p>
    <w:p w14:paraId="73C9379B" w14:textId="77777777" w:rsidR="00437505" w:rsidRDefault="00437505" w:rsidP="00437505">
      <w:pPr>
        <w:tabs>
          <w:tab w:val="left" w:pos="0"/>
        </w:tabs>
        <w:spacing w:after="60"/>
        <w:jc w:val="both"/>
      </w:pPr>
    </w:p>
    <w:p w14:paraId="09671945" w14:textId="77777777" w:rsidR="00437505" w:rsidRDefault="00437505" w:rsidP="0083506E">
      <w:pPr>
        <w:pStyle w:val="Paragraphedeliste"/>
        <w:numPr>
          <w:ilvl w:val="0"/>
          <w:numId w:val="4"/>
        </w:numPr>
        <w:tabs>
          <w:tab w:val="left" w:pos="0"/>
        </w:tabs>
        <w:spacing w:after="60"/>
        <w:jc w:val="both"/>
      </w:pPr>
      <w:r>
        <w:t>En premier lieu établissement des prévisions globales à l’échelle de la région Île de France de la population et de l’emploi aux différents horizons nécessaires (2025, 2030 et 2035), s’appuyant sur les projections démographiques de l’INSEE, sur les projections tendancielles d’emploi et sur différentes hypothèses croissance additionnelle de la population et des emplois (tenant compte de la croissance additionnelle des emplois induite par la réalisation de l’infrastructure) ;</w:t>
      </w:r>
    </w:p>
    <w:p w14:paraId="7915BF01" w14:textId="65A1BDCD" w:rsidR="00A51C82" w:rsidRDefault="00437505" w:rsidP="0083506E">
      <w:pPr>
        <w:pStyle w:val="Paragraphedeliste"/>
        <w:numPr>
          <w:ilvl w:val="0"/>
          <w:numId w:val="4"/>
        </w:numPr>
        <w:tabs>
          <w:tab w:val="left" w:pos="0"/>
        </w:tabs>
        <w:spacing w:after="60"/>
        <w:jc w:val="both"/>
      </w:pPr>
      <w:r>
        <w:t>Déclinaison territoriale (à l’échelle de la commune ou de l’arrondissement à l’intérieur de Paris intra-muros) de ces prévisions de population et de l’emploi sur la base des informations disponibles sur les perspectives d’aménagement local connues à la date de la prévision, modifiées par la DRIEA pour tenir compte de l’attractivité à long terme des territoires du fait de l’amélioration de leur accessibilité relative, à l’intérieur du cadre de cohérence quantitative fourni par les prévisions du modèle Urbansim. Ce travail permet d’établir les prévisions de population et d’emploi nécessaires au fonctionnement des modèles de trafic ;</w:t>
      </w:r>
    </w:p>
    <w:p w14:paraId="1E1DCD5C" w14:textId="5E375811" w:rsidR="00B03A09" w:rsidRPr="00B03A09" w:rsidRDefault="00B92B58" w:rsidP="0083506E">
      <w:pPr>
        <w:pStyle w:val="Paragraphedeliste"/>
        <w:numPr>
          <w:ilvl w:val="0"/>
          <w:numId w:val="4"/>
        </w:numPr>
        <w:tabs>
          <w:tab w:val="left" w:pos="0"/>
        </w:tabs>
        <w:spacing w:after="60"/>
        <w:jc w:val="both"/>
        <w:rPr>
          <w:color w:val="FF0000"/>
          <w:sz w:val="22"/>
        </w:rPr>
      </w:pPr>
      <w:r>
        <w:t xml:space="preserve">Simulations détaillées de trafic effectuées grâce </w:t>
      </w:r>
      <w:r w:rsidR="004F5CC8">
        <w:t>au</w:t>
      </w:r>
      <w:r>
        <w:t xml:space="preserve"> modèle MODUS-</w:t>
      </w:r>
      <w:r w:rsidR="00B03A09">
        <w:t>3</w:t>
      </w:r>
      <w:r>
        <w:t xml:space="preserve"> de la DRIEA</w:t>
      </w:r>
      <w:r w:rsidR="003C5AAF">
        <w:t>.</w:t>
      </w:r>
      <w:r w:rsidR="00B03A09">
        <w:t xml:space="preserve"> </w:t>
      </w:r>
    </w:p>
    <w:p w14:paraId="08ACCFED" w14:textId="255E0707" w:rsidR="00B92B58" w:rsidRDefault="00B92B58" w:rsidP="00B92B58">
      <w:pPr>
        <w:tabs>
          <w:tab w:val="left" w:pos="0"/>
        </w:tabs>
        <w:spacing w:after="60"/>
        <w:jc w:val="both"/>
      </w:pPr>
    </w:p>
    <w:p w14:paraId="23404F84" w14:textId="148E85C4" w:rsidR="00B92B58" w:rsidRDefault="00B92B58" w:rsidP="00B92B58">
      <w:pPr>
        <w:tabs>
          <w:tab w:val="left" w:pos="0"/>
        </w:tabs>
        <w:spacing w:after="60"/>
        <w:jc w:val="both"/>
      </w:pPr>
      <w:r>
        <w:t xml:space="preserve">Dans l’idéal, cette chaîne de modélisation </w:t>
      </w:r>
      <w:r w:rsidR="00DA5ED4">
        <w:t>dev</w:t>
      </w:r>
      <w:r w:rsidR="004D33CF">
        <w:t>rai</w:t>
      </w:r>
      <w:r>
        <w:t xml:space="preserve">t être intégrée dans un modèle d’ensemble. Cependant, en l’état actuel des connaissances, </w:t>
      </w:r>
      <w:r w:rsidR="00830B24">
        <w:t xml:space="preserve">un tel modèle intégré n’est pas </w:t>
      </w:r>
      <w:r w:rsidR="004412E1">
        <w:t>envisagea</w:t>
      </w:r>
      <w:r w:rsidR="00830B24">
        <w:t>ble</w:t>
      </w:r>
      <w:r w:rsidR="003C5AAF">
        <w:t>. Les</w:t>
      </w:r>
      <w:r w:rsidR="00830B24">
        <w:t xml:space="preserve"> capacités informatiques </w:t>
      </w:r>
      <w:r w:rsidR="003C5AAF">
        <w:t xml:space="preserve">actuelles </w:t>
      </w:r>
      <w:r w:rsidR="004412E1">
        <w:t xml:space="preserve">ne le permettent pas et </w:t>
      </w:r>
      <w:r w:rsidR="00830B24">
        <w:t xml:space="preserve">obligent aujourd’hui à faire un arbitrage sur le degré de détail géographique très fin requis par les prévisions de trafic et compte tenu de ce que la complexité des modèles LUTI dont la robustesse n’est pas encore suffisante à une échelle géographique très détaillée pour pouvoir servir directement dans les prévisions de trafic sans précautions. Les rares modèles intégrés existants dans le monde (dont certains ont d’ailleurs été mobilisés à titre expérimental par la Société du Grand Paris) ne sont pas suffisamment éprouvés et l’interprétation et l’utilisation de leurs résultats soulève de nombreuses questions aussi bien théoriques que pratiques comme l’a montré un rapport établi </w:t>
      </w:r>
      <w:r w:rsidR="004D33CF">
        <w:t>pour le compte de la Société du Grand Paris</w:t>
      </w:r>
      <w:r w:rsidR="004D33CF">
        <w:rPr>
          <w:rStyle w:val="Appelnotedebasdep"/>
        </w:rPr>
        <w:footnoteReference w:id="58"/>
      </w:r>
      <w:r w:rsidR="004D33CF">
        <w:t>. Les progrès en cours portent plus aujourd’hui sur les modèles de trafic et sur le modèle Urbansim pris séparément que sur l’éventuelle intégration de la chaîne de modélisation.</w:t>
      </w:r>
    </w:p>
    <w:p w14:paraId="2D7617CE" w14:textId="267C0C42" w:rsidR="00650E28" w:rsidRDefault="00650E28" w:rsidP="004C4CA3">
      <w:pPr>
        <w:tabs>
          <w:tab w:val="left" w:pos="0"/>
        </w:tabs>
        <w:spacing w:after="60"/>
        <w:jc w:val="both"/>
      </w:pPr>
    </w:p>
    <w:p w14:paraId="7FEF1252" w14:textId="119EC589" w:rsidR="00650E28" w:rsidRDefault="00650E28" w:rsidP="004C4CA3">
      <w:pPr>
        <w:tabs>
          <w:tab w:val="left" w:pos="0"/>
        </w:tabs>
        <w:spacing w:after="60"/>
        <w:jc w:val="both"/>
      </w:pPr>
    </w:p>
    <w:p w14:paraId="130CC20F" w14:textId="6B7D7025" w:rsidR="00650E28" w:rsidRDefault="00650E28" w:rsidP="004C4CA3">
      <w:pPr>
        <w:tabs>
          <w:tab w:val="left" w:pos="0"/>
        </w:tabs>
        <w:spacing w:after="60"/>
        <w:jc w:val="both"/>
      </w:pPr>
    </w:p>
    <w:p w14:paraId="46442C35" w14:textId="4060D554" w:rsidR="00650E28" w:rsidRDefault="00650E28" w:rsidP="004C4CA3">
      <w:pPr>
        <w:tabs>
          <w:tab w:val="left" w:pos="0"/>
        </w:tabs>
        <w:spacing w:after="60"/>
        <w:jc w:val="both"/>
      </w:pPr>
    </w:p>
    <w:p w14:paraId="5DE4DCD1" w14:textId="2FF82DF2" w:rsidR="00650E28" w:rsidRDefault="00650E28" w:rsidP="004C4CA3">
      <w:pPr>
        <w:tabs>
          <w:tab w:val="left" w:pos="0"/>
        </w:tabs>
        <w:spacing w:after="60"/>
        <w:jc w:val="both"/>
      </w:pPr>
    </w:p>
    <w:p w14:paraId="5F076598" w14:textId="39D15967" w:rsidR="00650E28" w:rsidRDefault="00650E28" w:rsidP="004C4CA3">
      <w:pPr>
        <w:tabs>
          <w:tab w:val="left" w:pos="0"/>
        </w:tabs>
        <w:spacing w:after="60"/>
        <w:jc w:val="both"/>
      </w:pPr>
    </w:p>
    <w:p w14:paraId="587B1F75" w14:textId="77777777" w:rsidR="006A3E38" w:rsidRPr="00A51C82" w:rsidRDefault="006A3E38" w:rsidP="004C4CA3">
      <w:pPr>
        <w:tabs>
          <w:tab w:val="left" w:pos="0"/>
        </w:tabs>
        <w:spacing w:after="60"/>
        <w:jc w:val="both"/>
        <w:rPr>
          <w:b/>
          <w:bCs/>
          <w:sz w:val="22"/>
          <w:szCs w:val="22"/>
        </w:rPr>
        <w:sectPr w:rsidR="006A3E38" w:rsidRPr="00A51C82" w:rsidSect="00822CCC">
          <w:pgSz w:w="23818" w:h="16838" w:orient="landscape"/>
          <w:pgMar w:top="1418" w:right="1418" w:bottom="1418" w:left="1418" w:header="709" w:footer="709" w:gutter="0"/>
          <w:cols w:num="2" w:space="708"/>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96"/>
        <w:gridCol w:w="7880"/>
      </w:tblGrid>
      <w:tr w:rsidR="00D27428" w:rsidRPr="00A51C82" w14:paraId="42A88DE7" w14:textId="77777777" w:rsidTr="00D36AD4">
        <w:trPr>
          <w:trHeight w:val="421"/>
          <w:jc w:val="center"/>
        </w:trPr>
        <w:tc>
          <w:tcPr>
            <w:tcW w:w="15776" w:type="dxa"/>
            <w:gridSpan w:val="2"/>
            <w:tcBorders>
              <w:bottom w:val="single" w:sz="4" w:space="0" w:color="auto"/>
            </w:tcBorders>
            <w:shd w:val="clear" w:color="auto" w:fill="E6D8C3"/>
            <w:vAlign w:val="center"/>
          </w:tcPr>
          <w:p w14:paraId="418912F1" w14:textId="527C1AA8" w:rsidR="00D27428" w:rsidRPr="00A51C82" w:rsidRDefault="00D27428" w:rsidP="000F7BCF">
            <w:pPr>
              <w:jc w:val="center"/>
              <w:rPr>
                <w:b/>
                <w:iCs/>
                <w:sz w:val="22"/>
                <w:szCs w:val="22"/>
              </w:rPr>
            </w:pPr>
            <w:r w:rsidRPr="00A51C82">
              <w:rPr>
                <w:b/>
                <w:iCs/>
                <w:sz w:val="22"/>
                <w:szCs w:val="22"/>
              </w:rPr>
              <w:t>Evolution de la population et de l’emploi entre 2005 et 2030 : hypothèses de modélisation</w:t>
            </w:r>
          </w:p>
        </w:tc>
      </w:tr>
      <w:tr w:rsidR="00E053EC" w:rsidRPr="00A51C82" w14:paraId="66FFBE09" w14:textId="77777777" w:rsidTr="00D36AD4">
        <w:trPr>
          <w:trHeight w:val="421"/>
          <w:jc w:val="center"/>
        </w:trPr>
        <w:tc>
          <w:tcPr>
            <w:tcW w:w="7896" w:type="dxa"/>
            <w:shd w:val="clear" w:color="auto" w:fill="E6D8C3"/>
          </w:tcPr>
          <w:p w14:paraId="44C2346A" w14:textId="77777777" w:rsidR="00D27428" w:rsidRPr="00A51C82" w:rsidRDefault="00D27428" w:rsidP="000F7BCF">
            <w:pPr>
              <w:jc w:val="center"/>
              <w:rPr>
                <w:b/>
                <w:i/>
                <w:iCs/>
                <w:szCs w:val="20"/>
              </w:rPr>
            </w:pPr>
            <w:r w:rsidRPr="00A51C82">
              <w:rPr>
                <w:b/>
                <w:i/>
                <w:iCs/>
                <w:szCs w:val="20"/>
              </w:rPr>
              <w:lastRenderedPageBreak/>
              <w:t>Evolution 2005-2030 du nombre d’habitants par commune</w:t>
            </w:r>
          </w:p>
          <w:p w14:paraId="6961ABF6" w14:textId="77DB54B0" w:rsidR="00D27428" w:rsidRPr="00A51C82" w:rsidRDefault="00D27428" w:rsidP="000F7BCF">
            <w:pPr>
              <w:jc w:val="center"/>
              <w:rPr>
                <w:b/>
                <w:i/>
                <w:iCs/>
                <w:color w:val="931638"/>
                <w:szCs w:val="20"/>
              </w:rPr>
            </w:pPr>
            <w:r w:rsidRPr="00A51C82">
              <w:rPr>
                <w:b/>
                <w:i/>
                <w:iCs/>
                <w:color w:val="931638"/>
                <w:szCs w:val="20"/>
              </w:rPr>
              <w:t xml:space="preserve">Option </w:t>
            </w:r>
            <w:r>
              <w:rPr>
                <w:b/>
                <w:i/>
                <w:iCs/>
                <w:color w:val="931638"/>
                <w:szCs w:val="20"/>
              </w:rPr>
              <w:t>bass</w:t>
            </w:r>
            <w:r w:rsidRPr="00A51C82">
              <w:rPr>
                <w:b/>
                <w:i/>
                <w:iCs/>
                <w:color w:val="931638"/>
                <w:szCs w:val="20"/>
              </w:rPr>
              <w:t xml:space="preserve">e (S1) </w:t>
            </w:r>
          </w:p>
        </w:tc>
        <w:tc>
          <w:tcPr>
            <w:tcW w:w="7880" w:type="dxa"/>
            <w:shd w:val="clear" w:color="auto" w:fill="E6D8C3"/>
          </w:tcPr>
          <w:p w14:paraId="630EDF6C" w14:textId="77777777" w:rsidR="00D27428" w:rsidRPr="00A51C82" w:rsidRDefault="00D27428" w:rsidP="000F7BCF">
            <w:pPr>
              <w:jc w:val="center"/>
              <w:rPr>
                <w:b/>
                <w:i/>
                <w:iCs/>
                <w:szCs w:val="20"/>
              </w:rPr>
            </w:pPr>
            <w:r w:rsidRPr="00A51C82">
              <w:rPr>
                <w:b/>
                <w:i/>
                <w:iCs/>
                <w:szCs w:val="20"/>
              </w:rPr>
              <w:t>Evolution 2005-2030 du nombre d’habitants par commune</w:t>
            </w:r>
          </w:p>
          <w:p w14:paraId="4C9E1105" w14:textId="4E255A3B" w:rsidR="00D27428" w:rsidRPr="00A51C82" w:rsidRDefault="00D27428" w:rsidP="000F7BCF">
            <w:pPr>
              <w:jc w:val="center"/>
              <w:rPr>
                <w:b/>
                <w:i/>
                <w:iCs/>
                <w:color w:val="931638"/>
                <w:szCs w:val="20"/>
              </w:rPr>
            </w:pPr>
            <w:r w:rsidRPr="00A51C82">
              <w:rPr>
                <w:b/>
                <w:i/>
                <w:iCs/>
                <w:color w:val="931638"/>
                <w:szCs w:val="20"/>
              </w:rPr>
              <w:t xml:space="preserve">Option </w:t>
            </w:r>
            <w:r w:rsidR="00B03A09">
              <w:rPr>
                <w:b/>
                <w:i/>
                <w:iCs/>
                <w:color w:val="931638"/>
                <w:szCs w:val="20"/>
              </w:rPr>
              <w:t>de référence</w:t>
            </w:r>
            <w:r w:rsidR="00D40E9A">
              <w:rPr>
                <w:b/>
                <w:i/>
                <w:iCs/>
                <w:color w:val="931638"/>
                <w:szCs w:val="20"/>
              </w:rPr>
              <w:t xml:space="preserve"> tendancielle</w:t>
            </w:r>
          </w:p>
        </w:tc>
      </w:tr>
      <w:tr w:rsidR="002E5F1F" w:rsidRPr="00A51C82" w14:paraId="0ED8162A" w14:textId="77777777" w:rsidTr="00D36AD4">
        <w:trPr>
          <w:trHeight w:val="5367"/>
          <w:jc w:val="center"/>
        </w:trPr>
        <w:tc>
          <w:tcPr>
            <w:tcW w:w="7896" w:type="dxa"/>
            <w:tcBorders>
              <w:bottom w:val="single" w:sz="4" w:space="0" w:color="auto"/>
            </w:tcBorders>
            <w:shd w:val="clear" w:color="auto" w:fill="auto"/>
          </w:tcPr>
          <w:p w14:paraId="0007FD5C" w14:textId="35CDE629" w:rsidR="00D27428" w:rsidRPr="00A51C82" w:rsidRDefault="002E5F1F" w:rsidP="004C4CA3">
            <w:pPr>
              <w:jc w:val="both"/>
              <w:rPr>
                <w:i/>
                <w:iCs/>
                <w:szCs w:val="20"/>
              </w:rPr>
            </w:pPr>
            <w:r w:rsidRPr="002E5F1F">
              <w:rPr>
                <w:i/>
                <w:iCs/>
                <w:noProof/>
                <w:szCs w:val="20"/>
              </w:rPr>
              <w:drawing>
                <wp:inline distT="0" distB="0" distL="0" distR="0" wp14:anchorId="5B851025" wp14:editId="2E547638">
                  <wp:extent cx="4773116" cy="3498111"/>
                  <wp:effectExtent l="0" t="0" r="8890" b="762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06057" cy="3522253"/>
                          </a:xfrm>
                          <a:prstGeom prst="rect">
                            <a:avLst/>
                          </a:prstGeom>
                          <a:noFill/>
                          <a:ln>
                            <a:noFill/>
                          </a:ln>
                        </pic:spPr>
                      </pic:pic>
                    </a:graphicData>
                  </a:graphic>
                </wp:inline>
              </w:drawing>
            </w:r>
          </w:p>
        </w:tc>
        <w:tc>
          <w:tcPr>
            <w:tcW w:w="7880" w:type="dxa"/>
            <w:tcBorders>
              <w:bottom w:val="single" w:sz="4" w:space="0" w:color="auto"/>
            </w:tcBorders>
            <w:shd w:val="clear" w:color="auto" w:fill="auto"/>
          </w:tcPr>
          <w:p w14:paraId="4D8F55B6" w14:textId="51BB1607" w:rsidR="00D27428" w:rsidRPr="00A51C82" w:rsidRDefault="002E5F1F" w:rsidP="004C4CA3">
            <w:pPr>
              <w:jc w:val="both"/>
              <w:rPr>
                <w:i/>
                <w:iCs/>
                <w:szCs w:val="20"/>
              </w:rPr>
            </w:pPr>
            <w:r w:rsidRPr="002E5F1F">
              <w:rPr>
                <w:i/>
                <w:iCs/>
                <w:noProof/>
                <w:szCs w:val="20"/>
              </w:rPr>
              <w:drawing>
                <wp:inline distT="0" distB="0" distL="0" distR="0" wp14:anchorId="638D5C32" wp14:editId="4F7A9282">
                  <wp:extent cx="4741444" cy="3476846"/>
                  <wp:effectExtent l="0" t="0" r="254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78015" cy="3503663"/>
                          </a:xfrm>
                          <a:prstGeom prst="rect">
                            <a:avLst/>
                          </a:prstGeom>
                          <a:noFill/>
                          <a:ln>
                            <a:noFill/>
                          </a:ln>
                        </pic:spPr>
                      </pic:pic>
                    </a:graphicData>
                  </a:graphic>
                </wp:inline>
              </w:drawing>
            </w:r>
          </w:p>
        </w:tc>
      </w:tr>
      <w:tr w:rsidR="00E053EC" w:rsidRPr="00A51C82" w14:paraId="6C88A1DA" w14:textId="77777777" w:rsidTr="00D36AD4">
        <w:trPr>
          <w:trHeight w:val="460"/>
          <w:jc w:val="center"/>
        </w:trPr>
        <w:tc>
          <w:tcPr>
            <w:tcW w:w="7896" w:type="dxa"/>
            <w:shd w:val="clear" w:color="auto" w:fill="E6D8C3"/>
          </w:tcPr>
          <w:p w14:paraId="327F99DF" w14:textId="77777777" w:rsidR="00D27428" w:rsidRPr="00A51C82" w:rsidRDefault="00D27428" w:rsidP="000F7BCF">
            <w:pPr>
              <w:jc w:val="center"/>
              <w:rPr>
                <w:b/>
                <w:i/>
                <w:iCs/>
                <w:szCs w:val="20"/>
              </w:rPr>
            </w:pPr>
            <w:r w:rsidRPr="00A51C82">
              <w:rPr>
                <w:b/>
                <w:i/>
                <w:iCs/>
                <w:szCs w:val="20"/>
              </w:rPr>
              <w:t>Evolution 2005-2030 du nombre d’emplois par commune</w:t>
            </w:r>
          </w:p>
          <w:p w14:paraId="643EC40B" w14:textId="318F17D3" w:rsidR="00D27428" w:rsidRPr="00A51C82" w:rsidRDefault="00D27428" w:rsidP="000F7BCF">
            <w:pPr>
              <w:jc w:val="center"/>
              <w:rPr>
                <w:b/>
                <w:i/>
                <w:iCs/>
                <w:szCs w:val="20"/>
              </w:rPr>
            </w:pPr>
            <w:r w:rsidRPr="00A51C82">
              <w:rPr>
                <w:b/>
                <w:i/>
                <w:iCs/>
                <w:color w:val="931638"/>
                <w:szCs w:val="20"/>
              </w:rPr>
              <w:t xml:space="preserve">Option </w:t>
            </w:r>
            <w:r>
              <w:rPr>
                <w:b/>
                <w:i/>
                <w:iCs/>
                <w:color w:val="931638"/>
                <w:szCs w:val="20"/>
              </w:rPr>
              <w:t>basse</w:t>
            </w:r>
            <w:r w:rsidRPr="00A51C82">
              <w:rPr>
                <w:b/>
                <w:i/>
                <w:iCs/>
                <w:color w:val="931638"/>
                <w:szCs w:val="20"/>
              </w:rPr>
              <w:t xml:space="preserve"> (S1) </w:t>
            </w:r>
          </w:p>
        </w:tc>
        <w:tc>
          <w:tcPr>
            <w:tcW w:w="7880" w:type="dxa"/>
            <w:shd w:val="clear" w:color="auto" w:fill="E6D8C3"/>
          </w:tcPr>
          <w:p w14:paraId="56F3D780" w14:textId="77777777" w:rsidR="00D27428" w:rsidRPr="00A51C82" w:rsidRDefault="00D27428" w:rsidP="000F7BCF">
            <w:pPr>
              <w:jc w:val="center"/>
              <w:rPr>
                <w:b/>
                <w:i/>
                <w:iCs/>
                <w:szCs w:val="20"/>
              </w:rPr>
            </w:pPr>
            <w:r w:rsidRPr="00A51C82">
              <w:rPr>
                <w:b/>
                <w:i/>
                <w:iCs/>
                <w:szCs w:val="20"/>
              </w:rPr>
              <w:t>Evolution 2005-2030 du nombre d’emplois par commune</w:t>
            </w:r>
          </w:p>
          <w:p w14:paraId="639F2CDA" w14:textId="43D13DE4" w:rsidR="00D27428" w:rsidRPr="00A51C82" w:rsidRDefault="00D27428" w:rsidP="000F7BCF">
            <w:pPr>
              <w:jc w:val="center"/>
              <w:rPr>
                <w:b/>
                <w:i/>
                <w:iCs/>
                <w:szCs w:val="20"/>
              </w:rPr>
            </w:pPr>
            <w:r w:rsidRPr="00A51C82">
              <w:rPr>
                <w:b/>
                <w:i/>
                <w:iCs/>
                <w:color w:val="931638"/>
                <w:szCs w:val="20"/>
              </w:rPr>
              <w:t xml:space="preserve">Option </w:t>
            </w:r>
            <w:r w:rsidR="00B03A09">
              <w:rPr>
                <w:b/>
                <w:i/>
                <w:iCs/>
                <w:color w:val="931638"/>
                <w:szCs w:val="20"/>
              </w:rPr>
              <w:t>de référence</w:t>
            </w:r>
            <w:r w:rsidR="00D40E9A">
              <w:rPr>
                <w:b/>
                <w:i/>
                <w:iCs/>
                <w:color w:val="931638"/>
                <w:szCs w:val="20"/>
              </w:rPr>
              <w:t xml:space="preserve"> tendancielle </w:t>
            </w:r>
          </w:p>
        </w:tc>
      </w:tr>
      <w:tr w:rsidR="002E5F1F" w:rsidRPr="00A51C82" w14:paraId="7C80C1D0" w14:textId="77777777" w:rsidTr="00D36AD4">
        <w:trPr>
          <w:trHeight w:val="5386"/>
          <w:jc w:val="center"/>
        </w:trPr>
        <w:tc>
          <w:tcPr>
            <w:tcW w:w="7896" w:type="dxa"/>
            <w:shd w:val="clear" w:color="auto" w:fill="auto"/>
          </w:tcPr>
          <w:p w14:paraId="7375AE0C" w14:textId="6DDA03DC" w:rsidR="00D27428" w:rsidRPr="00A51C82" w:rsidRDefault="002E5F1F" w:rsidP="004C4CA3">
            <w:pPr>
              <w:jc w:val="both"/>
              <w:rPr>
                <w:i/>
                <w:iCs/>
                <w:szCs w:val="20"/>
              </w:rPr>
            </w:pPr>
            <w:r w:rsidRPr="000F5568">
              <w:rPr>
                <w:noProof/>
              </w:rPr>
              <w:drawing>
                <wp:inline distT="0" distB="0" distL="0" distR="0" wp14:anchorId="5FD304DB" wp14:editId="159F3B1B">
                  <wp:extent cx="4868159" cy="3668233"/>
                  <wp:effectExtent l="0" t="0" r="8890" b="889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05831" cy="3696620"/>
                          </a:xfrm>
                          <a:prstGeom prst="rect">
                            <a:avLst/>
                          </a:prstGeom>
                          <a:noFill/>
                          <a:ln>
                            <a:noFill/>
                          </a:ln>
                        </pic:spPr>
                      </pic:pic>
                    </a:graphicData>
                  </a:graphic>
                </wp:inline>
              </w:drawing>
            </w:r>
          </w:p>
        </w:tc>
        <w:tc>
          <w:tcPr>
            <w:tcW w:w="7880" w:type="dxa"/>
            <w:shd w:val="clear" w:color="auto" w:fill="auto"/>
          </w:tcPr>
          <w:p w14:paraId="04A30197" w14:textId="22AE37F0" w:rsidR="00D27428" w:rsidRPr="00A51C82" w:rsidRDefault="00D11F7C" w:rsidP="004C4CA3">
            <w:pPr>
              <w:jc w:val="both"/>
              <w:rPr>
                <w:i/>
                <w:iCs/>
                <w:szCs w:val="20"/>
              </w:rPr>
            </w:pPr>
            <w:r w:rsidRPr="000F5568">
              <w:rPr>
                <w:noProof/>
              </w:rPr>
              <w:drawing>
                <wp:inline distT="0" distB="0" distL="0" distR="0" wp14:anchorId="10A4C43D" wp14:editId="3111BBFA">
                  <wp:extent cx="4740229" cy="3646968"/>
                  <wp:effectExtent l="0" t="0" r="381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10465" cy="3701005"/>
                          </a:xfrm>
                          <a:prstGeom prst="rect">
                            <a:avLst/>
                          </a:prstGeom>
                          <a:noFill/>
                          <a:ln>
                            <a:noFill/>
                          </a:ln>
                        </pic:spPr>
                      </pic:pic>
                    </a:graphicData>
                  </a:graphic>
                </wp:inline>
              </w:drawing>
            </w:r>
          </w:p>
        </w:tc>
      </w:tr>
    </w:tbl>
    <w:p w14:paraId="4D5959B2" w14:textId="77777777" w:rsidR="00D36AD4" w:rsidRDefault="00D36AD4" w:rsidP="004C4CA3">
      <w:pPr>
        <w:jc w:val="both"/>
        <w:rPr>
          <w:i/>
          <w:iCs/>
          <w:szCs w:val="20"/>
        </w:rPr>
      </w:pPr>
    </w:p>
    <w:p w14:paraId="49E4C6AF" w14:textId="66790FA0" w:rsidR="00B85F6B" w:rsidRDefault="00E053EC" w:rsidP="004C4CA3">
      <w:pPr>
        <w:jc w:val="both"/>
        <w:rPr>
          <w:i/>
          <w:iCs/>
          <w:szCs w:val="20"/>
        </w:rPr>
      </w:pPr>
      <w:r>
        <w:rPr>
          <w:i/>
          <w:iCs/>
          <w:szCs w:val="20"/>
        </w:rPr>
        <w:t xml:space="preserve">Source : Urbansim et SETEC ; </w:t>
      </w:r>
      <w:r w:rsidR="00A51C82" w:rsidRPr="00A51C82">
        <w:rPr>
          <w:i/>
          <w:iCs/>
          <w:szCs w:val="20"/>
        </w:rPr>
        <w:t>Les cadrages socio-démographiques présentés ici ont été établis pour apprécier les effets globaux des options contrastées de croissance et de répartition de la population et des emplois dans la région d’Île-de-France. Ils ont été utilisés à des fins de modélisation et ne doivent être considérés qu’à titre indicatif s’agissant des projections de croissance territoriale à l’échelle communale.</w:t>
      </w:r>
    </w:p>
    <w:p w14:paraId="4FBCD5AD" w14:textId="1A5E213F" w:rsidR="00DA5ED4" w:rsidRDefault="00DA5ED4" w:rsidP="004C4CA3">
      <w:pPr>
        <w:jc w:val="both"/>
        <w:rPr>
          <w:i/>
          <w:iCs/>
          <w:szCs w:val="20"/>
        </w:rPr>
      </w:pPr>
    </w:p>
    <w:p w14:paraId="1ACF5FF2" w14:textId="77777777" w:rsidR="00A51C82" w:rsidRPr="00A51C82" w:rsidRDefault="00A51C82" w:rsidP="004C4CA3">
      <w:pPr>
        <w:jc w:val="both"/>
        <w:rPr>
          <w:i/>
          <w:iCs/>
          <w:szCs w:val="20"/>
        </w:rPr>
        <w:sectPr w:rsidR="00A51C82" w:rsidRPr="00A51C82" w:rsidSect="00822CCC">
          <w:type w:val="continuous"/>
          <w:pgSz w:w="23818" w:h="16838" w:orient="landscape"/>
          <w:pgMar w:top="1418" w:right="1418" w:bottom="1418" w:left="1418" w:header="709" w:footer="709" w:gutter="0"/>
          <w:cols w:space="708"/>
        </w:sectPr>
      </w:pPr>
    </w:p>
    <w:p w14:paraId="20A085B5" w14:textId="77777777" w:rsidR="00150A72" w:rsidRDefault="00150A72" w:rsidP="00412C10">
      <w:pPr>
        <w:pStyle w:val="Titre3"/>
        <w:numPr>
          <w:ilvl w:val="3"/>
          <w:numId w:val="33"/>
        </w:numPr>
      </w:pPr>
      <w:bookmarkStart w:id="113" w:name="_Toc46917076"/>
      <w:bookmarkStart w:id="114" w:name="_Toc63352147"/>
      <w:bookmarkStart w:id="115" w:name="_Toc406757051"/>
      <w:r w:rsidRPr="00150A72">
        <w:lastRenderedPageBreak/>
        <w:t>Les résultats</w:t>
      </w:r>
      <w:bookmarkEnd w:id="113"/>
      <w:bookmarkEnd w:id="114"/>
      <w:r w:rsidRPr="00150A72">
        <w:t xml:space="preserve"> </w:t>
      </w:r>
    </w:p>
    <w:p w14:paraId="49362C79" w14:textId="77777777" w:rsidR="00150A72" w:rsidRPr="00150A72" w:rsidRDefault="00150A72" w:rsidP="00150A72">
      <w:pPr>
        <w:keepNext/>
        <w:keepLines/>
        <w:spacing w:before="200"/>
        <w:jc w:val="both"/>
        <w:outlineLvl w:val="3"/>
        <w:rPr>
          <w:rFonts w:eastAsia="Times New Roman"/>
          <w:bCs/>
          <w:i/>
          <w:iCs/>
          <w:color w:val="931638"/>
          <w:szCs w:val="20"/>
        </w:rPr>
      </w:pPr>
      <w:r w:rsidRPr="00150A72">
        <w:rPr>
          <w:rFonts w:eastAsia="Times New Roman"/>
          <w:bCs/>
          <w:i/>
          <w:iCs/>
          <w:color w:val="931638"/>
          <w:szCs w:val="20"/>
        </w:rPr>
        <w:t>Le bien-être des usagers des transports</w:t>
      </w:r>
    </w:p>
    <w:p w14:paraId="3E54EEE1" w14:textId="77777777" w:rsidR="00150A72" w:rsidRPr="00150A72" w:rsidRDefault="00150A72" w:rsidP="00150A72">
      <w:pPr>
        <w:jc w:val="both"/>
        <w:rPr>
          <w:szCs w:val="20"/>
        </w:rPr>
      </w:pPr>
    </w:p>
    <w:p w14:paraId="5B5D0E2B" w14:textId="77777777" w:rsidR="00150A72" w:rsidRPr="00150A72" w:rsidRDefault="00150A72" w:rsidP="00150A72">
      <w:pPr>
        <w:jc w:val="both"/>
        <w:rPr>
          <w:szCs w:val="20"/>
        </w:rPr>
      </w:pPr>
      <w:r w:rsidRPr="00150A72">
        <w:rPr>
          <w:szCs w:val="20"/>
        </w:rPr>
        <w:t xml:space="preserve">La monétisation des gains d’accessibilité a été faite sur la base des résultats fournis par le modèle MODUS de la DRIEA et en appliquant les valeurs tutélaires nationales prévues par les textes, pour les </w:t>
      </w:r>
      <w:r w:rsidRPr="00150A72">
        <w:rPr>
          <w:b/>
          <w:szCs w:val="20"/>
        </w:rPr>
        <w:t>gains de temps</w:t>
      </w:r>
      <w:r w:rsidRPr="00150A72">
        <w:rPr>
          <w:szCs w:val="20"/>
        </w:rPr>
        <w:t xml:space="preserve"> réalisés par les différentes catégories d’usagers. </w:t>
      </w:r>
    </w:p>
    <w:p w14:paraId="1BF57F0F" w14:textId="77777777" w:rsidR="00150A72" w:rsidRPr="00150A72" w:rsidRDefault="00150A72" w:rsidP="00150A72">
      <w:pPr>
        <w:jc w:val="both"/>
        <w:rPr>
          <w:szCs w:val="20"/>
        </w:rPr>
      </w:pPr>
    </w:p>
    <w:p w14:paraId="34182A75" w14:textId="7885CC6C" w:rsidR="00150A72" w:rsidRPr="00150A72" w:rsidRDefault="00150A72" w:rsidP="00150A72">
      <w:pPr>
        <w:jc w:val="both"/>
        <w:rPr>
          <w:rFonts w:eastAsia="Calibri"/>
          <w:szCs w:val="20"/>
        </w:rPr>
      </w:pPr>
      <w:r w:rsidRPr="00150A72">
        <w:rPr>
          <w:szCs w:val="20"/>
        </w:rPr>
        <w:t xml:space="preserve">L’analyse a également proposé une évaluation des gains de bien-être liés à la réduction de la congestion dans les transports en commun et à l’amélioration de la régularité, directement par l’introduction d’un réseau automatique de fort cadencement, et indirectement par les effets sur la régularité de l’allègement de la charge sur les autres lignes. Cette </w:t>
      </w:r>
      <w:r w:rsidRPr="00150A72">
        <w:rPr>
          <w:rFonts w:eastAsia="Calibri"/>
          <w:szCs w:val="20"/>
        </w:rPr>
        <w:t xml:space="preserve">analyse </w:t>
      </w:r>
      <w:r w:rsidR="005E3737">
        <w:rPr>
          <w:rFonts w:eastAsia="Calibri"/>
          <w:szCs w:val="20"/>
        </w:rPr>
        <w:t xml:space="preserve">indirecte </w:t>
      </w:r>
      <w:r w:rsidRPr="00150A72">
        <w:rPr>
          <w:rFonts w:eastAsia="Calibri"/>
          <w:szCs w:val="20"/>
        </w:rPr>
        <w:t xml:space="preserve">a porté uniquement sur les cinq lignes de RER. L’approche est donc limitative, dans la mesure où elle n’évalue pas les effets positifs de la réalisation du projet Grand Paris Express sur </w:t>
      </w:r>
      <w:r w:rsidR="005E3737">
        <w:rPr>
          <w:rFonts w:eastAsia="Calibri"/>
          <w:szCs w:val="20"/>
        </w:rPr>
        <w:t>certaines</w:t>
      </w:r>
      <w:r w:rsidRPr="00150A72">
        <w:rPr>
          <w:rFonts w:eastAsia="Calibri"/>
          <w:szCs w:val="20"/>
        </w:rPr>
        <w:t xml:space="preserve"> lignes de métro</w:t>
      </w:r>
      <w:r w:rsidR="005E3737">
        <w:rPr>
          <w:rFonts w:eastAsia="Calibri"/>
          <w:szCs w:val="20"/>
        </w:rPr>
        <w:t xml:space="preserve"> fortement impactées par la mise en service du GPE comme on peut le voir sur la carte de gauche de la page 33</w:t>
      </w:r>
      <w:r w:rsidRPr="00150A72">
        <w:rPr>
          <w:rFonts w:eastAsia="Calibri"/>
          <w:szCs w:val="20"/>
        </w:rPr>
        <w:t xml:space="preserve">. </w:t>
      </w:r>
    </w:p>
    <w:p w14:paraId="1E219356" w14:textId="77777777" w:rsidR="00150A72" w:rsidRPr="00150A72" w:rsidRDefault="00150A72" w:rsidP="00150A72">
      <w:pPr>
        <w:jc w:val="both"/>
        <w:rPr>
          <w:rFonts w:eastAsia="Calibri"/>
          <w:szCs w:val="20"/>
        </w:rPr>
      </w:pPr>
    </w:p>
    <w:p w14:paraId="091E1300" w14:textId="77777777" w:rsidR="00150A72" w:rsidRPr="00150A72" w:rsidRDefault="00150A72" w:rsidP="00150A72">
      <w:pPr>
        <w:jc w:val="both"/>
        <w:rPr>
          <w:rFonts w:eastAsia="Calibri"/>
          <w:szCs w:val="20"/>
        </w:rPr>
      </w:pPr>
      <w:r w:rsidRPr="00150A72">
        <w:rPr>
          <w:rFonts w:eastAsia="Calibri"/>
          <w:szCs w:val="20"/>
        </w:rPr>
        <w:t>L’analyse prend par ailleurs en compte les actions et les projets lancés en vue d’améliorer la capacité et la robustesse d’exploitation du réseau existant, qui sont intégrés à la situation de référence sans Grand Paris Express au travers d’hypothèses en matière de capacité des matériels roulants (mise en service de trains de plus grande capacité sur certaines lignes) et en matière de régularité (augmentation de la proportion de trains arrivant à l’heure).</w:t>
      </w:r>
    </w:p>
    <w:p w14:paraId="61CBA8C9" w14:textId="77777777" w:rsidR="00150A72" w:rsidRPr="00150A72" w:rsidRDefault="00150A72" w:rsidP="00150A72">
      <w:pPr>
        <w:jc w:val="both"/>
        <w:rPr>
          <w:rFonts w:eastAsia="Calibri"/>
          <w:szCs w:val="20"/>
        </w:rPr>
      </w:pPr>
    </w:p>
    <w:p w14:paraId="5D17134A" w14:textId="77777777" w:rsidR="00150A72" w:rsidRPr="00150A72" w:rsidRDefault="00150A72" w:rsidP="00150A72">
      <w:pPr>
        <w:jc w:val="both"/>
        <w:rPr>
          <w:rFonts w:eastAsia="Calibri"/>
          <w:szCs w:val="20"/>
        </w:rPr>
      </w:pPr>
      <w:bookmarkStart w:id="116" w:name="_Hlk64128260"/>
      <w:r w:rsidRPr="00150A72">
        <w:rPr>
          <w:rFonts w:eastAsia="Calibri"/>
          <w:szCs w:val="20"/>
        </w:rPr>
        <w:t>Les gains associés à l’</w:t>
      </w:r>
      <w:r w:rsidRPr="00150A72">
        <w:rPr>
          <w:rFonts w:eastAsia="Calibri"/>
          <w:b/>
          <w:szCs w:val="20"/>
        </w:rPr>
        <w:t>amélioration de la régularité</w:t>
      </w:r>
      <w:r w:rsidRPr="00150A72">
        <w:rPr>
          <w:rFonts w:eastAsia="Calibri"/>
          <w:szCs w:val="20"/>
        </w:rPr>
        <w:t xml:space="preserve"> comportent deux éléments :</w:t>
      </w:r>
    </w:p>
    <w:p w14:paraId="594BE9C7" w14:textId="77777777" w:rsidR="00150A72" w:rsidRPr="00150A72" w:rsidRDefault="00150A72" w:rsidP="00150A72">
      <w:pPr>
        <w:jc w:val="both"/>
        <w:rPr>
          <w:rFonts w:eastAsia="Calibri"/>
          <w:szCs w:val="20"/>
        </w:rPr>
      </w:pPr>
    </w:p>
    <w:p w14:paraId="3AB3A587" w14:textId="769A50D2" w:rsidR="003E6937" w:rsidRPr="009D5F14" w:rsidRDefault="00150A72" w:rsidP="003E6937">
      <w:pPr>
        <w:jc w:val="both"/>
        <w:rPr>
          <w:rFonts w:cs="Arial"/>
          <w:bCs/>
          <w:iCs/>
          <w:color w:val="00B050"/>
        </w:rPr>
      </w:pPr>
      <w:r w:rsidRPr="00150A72">
        <w:rPr>
          <w:rFonts w:eastAsia="Calibri"/>
          <w:szCs w:val="20"/>
        </w:rPr>
        <w:t xml:space="preserve">La première composante concerne le transfert de passagers depuis les lignes de RER vers </w:t>
      </w:r>
      <w:r w:rsidR="005E3737">
        <w:rPr>
          <w:rFonts w:eastAsia="Calibri"/>
          <w:szCs w:val="20"/>
        </w:rPr>
        <w:t>un</w:t>
      </w:r>
      <w:r w:rsidRPr="00150A72">
        <w:rPr>
          <w:rFonts w:eastAsia="Calibri"/>
          <w:szCs w:val="20"/>
        </w:rPr>
        <w:t xml:space="preserve"> nouveau métro automatique et très régulier. Cet effet se calcule à partir de la variation de la fréquentation totale des lignes, et bénéficie aux voyageurs qui changent d’itinéraire pour emprunter le métro automatique.  </w:t>
      </w:r>
      <w:r w:rsidR="003E6937" w:rsidRPr="009D5F14">
        <w:rPr>
          <w:rFonts w:cs="Arial"/>
          <w:bCs/>
          <w:iCs/>
          <w:color w:val="00B050"/>
        </w:rPr>
        <w:t xml:space="preserve">Sur les lignes RER, la définition de l’indicateur de régularité de IdFM, </w:t>
      </w:r>
      <w:r w:rsidR="003E6937">
        <w:rPr>
          <w:rFonts w:cs="Arial"/>
          <w:bCs/>
          <w:iCs/>
          <w:color w:val="00B050"/>
        </w:rPr>
        <w:t xml:space="preserve">est </w:t>
      </w:r>
      <w:r w:rsidR="003E6937" w:rsidRPr="009D5F14">
        <w:rPr>
          <w:rFonts w:cs="Arial"/>
          <w:bCs/>
          <w:iCs/>
          <w:color w:val="00B050"/>
        </w:rPr>
        <w:t>« le pourcentage de voyageurs arrivant à l’heure ou avec un retard de moins de 5 minutes à leur gare de destination, sur l’ensemble de la ligne, pendant toute la journée ». Pour les lignes RER existantes, l’hypothèse de régularité retenue est l’objectif assigné aux exploitants pour l’année 2019. Pour le métro du Grand Paris, supposé très performant à l’image de la ligne 14 d’aujourd’hui, une hypothèse de régularité pour les calculs a été fixée à 98%. Le nombre de voyageurs concernés par le</w:t>
      </w:r>
      <w:r w:rsidR="003E6937">
        <w:rPr>
          <w:rFonts w:cs="Arial"/>
          <w:bCs/>
          <w:iCs/>
          <w:color w:val="00B050"/>
        </w:rPr>
        <w:t>s</w:t>
      </w:r>
      <w:r w:rsidR="003E6937" w:rsidRPr="009D5F14">
        <w:rPr>
          <w:rFonts w:cs="Arial"/>
          <w:bCs/>
          <w:iCs/>
          <w:color w:val="00B050"/>
        </w:rPr>
        <w:t xml:space="preserve"> gain</w:t>
      </w:r>
      <w:r w:rsidR="003E6937">
        <w:rPr>
          <w:rFonts w:cs="Arial"/>
          <w:bCs/>
          <w:iCs/>
          <w:color w:val="00B050"/>
        </w:rPr>
        <w:t>s</w:t>
      </w:r>
      <w:r w:rsidR="003E6937" w:rsidRPr="009D5F14">
        <w:rPr>
          <w:rFonts w:cs="Arial"/>
          <w:bCs/>
          <w:iCs/>
          <w:color w:val="00B050"/>
        </w:rPr>
        <w:t xml:space="preserve"> de régularité est calculé comme la diminution du nombre de voyageurs sur les lignes RER, le nombre de voyageurs sur des lignes à relativement faible régularité diminuant au profit de lignes à forte régularité.</w:t>
      </w:r>
    </w:p>
    <w:p w14:paraId="50F531C7" w14:textId="77777777" w:rsidR="00150A72" w:rsidRPr="00150A72" w:rsidRDefault="00150A72" w:rsidP="00505717">
      <w:pPr>
        <w:ind w:left="454"/>
        <w:jc w:val="both"/>
        <w:rPr>
          <w:rFonts w:eastAsia="Calibri"/>
          <w:szCs w:val="20"/>
        </w:rPr>
      </w:pPr>
    </w:p>
    <w:p w14:paraId="7F65D65E" w14:textId="39A0EBCC" w:rsidR="003E6937" w:rsidRDefault="00150A72" w:rsidP="003E6937">
      <w:pPr>
        <w:jc w:val="both"/>
        <w:rPr>
          <w:rFonts w:cs="Arial"/>
          <w:bCs/>
          <w:iCs/>
          <w:color w:val="00B050"/>
        </w:rPr>
      </w:pPr>
      <w:r w:rsidRPr="00150A72">
        <w:rPr>
          <w:rFonts w:eastAsia="Calibri"/>
          <w:szCs w:val="20"/>
        </w:rPr>
        <w:t xml:space="preserve">La deuxième composante du gain de régularité est celle associée à la diminution de la charge maximale sur les lignes de RER entre </w:t>
      </w:r>
      <w:r w:rsidR="00E603CE">
        <w:rPr>
          <w:rFonts w:eastAsia="Calibri"/>
          <w:szCs w:val="20"/>
        </w:rPr>
        <w:t xml:space="preserve">la </w:t>
      </w:r>
      <w:r w:rsidRPr="00150A72">
        <w:rPr>
          <w:rFonts w:eastAsia="Calibri"/>
          <w:szCs w:val="20"/>
        </w:rPr>
        <w:t xml:space="preserve">situation de référence et </w:t>
      </w:r>
      <w:r w:rsidR="00E603CE">
        <w:rPr>
          <w:rFonts w:eastAsia="Calibri"/>
          <w:szCs w:val="20"/>
        </w:rPr>
        <w:t xml:space="preserve">la </w:t>
      </w:r>
      <w:r w:rsidRPr="00150A72">
        <w:rPr>
          <w:rFonts w:eastAsia="Calibri"/>
          <w:szCs w:val="20"/>
        </w:rPr>
        <w:t xml:space="preserve">situation de projet. On a considéré que les allègements de charge attendus contribuaient à une amélioration supplémentaire de la régularité de ces lignes par rapport à la situation de référence, avec des hypothèses conservatrices tenant compte à la fois de l’ampleur de cet allègement pour chacune des lignes (seuil de pertinence fixé à 5% d’allègement au moins) et du niveau objectif de régularité de chaque ligne. Cet effet bénéficie aux voyageurs qui utilisent les lignes de RER. </w:t>
      </w:r>
      <w:r w:rsidR="003E6937" w:rsidRPr="009D5F14">
        <w:rPr>
          <w:rFonts w:cs="Arial"/>
          <w:bCs/>
          <w:iCs/>
          <w:color w:val="00B050"/>
          <w:lang w:val="fr-BE"/>
        </w:rPr>
        <w:t xml:space="preserve">Les </w:t>
      </w:r>
      <w:r w:rsidR="003E6937" w:rsidRPr="009D5F14">
        <w:rPr>
          <w:rFonts w:cs="Arial"/>
          <w:bCs/>
          <w:iCs/>
          <w:color w:val="00B050"/>
        </w:rPr>
        <w:t>prévisions</w:t>
      </w:r>
      <w:r w:rsidR="003E6937" w:rsidRPr="009D5F14">
        <w:rPr>
          <w:rFonts w:cs="Arial"/>
          <w:bCs/>
          <w:iCs/>
          <w:color w:val="00B050"/>
          <w:lang w:val="fr-BE"/>
        </w:rPr>
        <w:t xml:space="preserve"> de trafic à l’horizon 2030 montrent que les tronçons les plus chargés des lignes de RER </w:t>
      </w:r>
      <w:r w:rsidR="0092016E">
        <w:rPr>
          <w:rFonts w:cs="Arial"/>
          <w:bCs/>
          <w:iCs/>
          <w:color w:val="00B050"/>
          <w:lang w:val="fr-BE"/>
        </w:rPr>
        <w:t>pe</w:t>
      </w:r>
      <w:r w:rsidR="003E6937" w:rsidRPr="009D5F14">
        <w:rPr>
          <w:rFonts w:cs="Arial"/>
          <w:bCs/>
          <w:iCs/>
          <w:color w:val="00B050"/>
          <w:lang w:val="fr-BE"/>
        </w:rPr>
        <w:t>uvent voir leur charge diminuer de manière substantielle avec la mise en service du métro du Grand Paris (jusqu’à 2</w:t>
      </w:r>
      <w:r w:rsidR="003E6937">
        <w:rPr>
          <w:rFonts w:cs="Arial"/>
          <w:bCs/>
          <w:iCs/>
          <w:color w:val="00B050"/>
          <w:lang w:val="fr-BE"/>
        </w:rPr>
        <w:t>6</w:t>
      </w:r>
      <w:r w:rsidR="003E6937" w:rsidRPr="009D5F14">
        <w:rPr>
          <w:rFonts w:cs="Arial"/>
          <w:bCs/>
          <w:iCs/>
          <w:color w:val="00B050"/>
          <w:lang w:val="fr-BE"/>
        </w:rPr>
        <w:t>% de la charge de référence</w:t>
      </w:r>
      <w:r w:rsidR="003E6937">
        <w:rPr>
          <w:rFonts w:cs="Arial"/>
          <w:bCs/>
          <w:iCs/>
          <w:color w:val="00B050"/>
          <w:lang w:val="fr-BE"/>
        </w:rPr>
        <w:t xml:space="preserve"> – voir la page 35 de ce document</w:t>
      </w:r>
      <w:r w:rsidR="003E6937" w:rsidRPr="009D5F14">
        <w:rPr>
          <w:rFonts w:cs="Arial"/>
          <w:bCs/>
          <w:iCs/>
          <w:color w:val="00B050"/>
          <w:lang w:val="fr-BE"/>
        </w:rPr>
        <w:t xml:space="preserve">). Il est donc pertinent de considérer que cela facilitera </w:t>
      </w:r>
      <w:r w:rsidR="0092016E">
        <w:rPr>
          <w:rFonts w:cs="Arial"/>
          <w:bCs/>
          <w:iCs/>
          <w:color w:val="00B050"/>
          <w:lang w:val="fr-BE"/>
        </w:rPr>
        <w:t xml:space="preserve">les montées et les descentes </w:t>
      </w:r>
      <w:r w:rsidR="003E6937" w:rsidRPr="009D5F14">
        <w:rPr>
          <w:rFonts w:cs="Arial"/>
          <w:bCs/>
          <w:iCs/>
          <w:color w:val="00B050"/>
          <w:lang w:val="fr-BE"/>
        </w:rPr>
        <w:t xml:space="preserve">des voyageurs, améliorant ainsi la régularité. </w:t>
      </w:r>
      <w:r w:rsidR="003E6937" w:rsidRPr="009D5F14">
        <w:rPr>
          <w:rFonts w:cs="Arial"/>
          <w:bCs/>
          <w:iCs/>
          <w:color w:val="00B050"/>
        </w:rPr>
        <w:t>Il a été supposé que pour les lignes de RER la régularité s’améliorait de 1% si les objectifs d’IDFM étaient inférieurs à 95% pour cette ligne et que la décharge du tronçon le plus chargé était supérieure à 10%, de 0.5% si les objectifs d’IDFM étaient inférieurs à 95% pour cette ligne et que la décharge du tronçon le plus chargé était supérieure à 5% mais inférieure à 10%, de 0% autrement.</w:t>
      </w:r>
      <w:r w:rsidR="003E6937" w:rsidRPr="003E6937">
        <w:rPr>
          <w:rFonts w:cs="Arial"/>
          <w:bCs/>
          <w:iCs/>
          <w:color w:val="00B050"/>
        </w:rPr>
        <w:t xml:space="preserve"> </w:t>
      </w:r>
    </w:p>
    <w:p w14:paraId="5A5EC479" w14:textId="77777777" w:rsidR="003E6937" w:rsidRDefault="003E6937" w:rsidP="003E6937">
      <w:pPr>
        <w:jc w:val="both"/>
        <w:rPr>
          <w:rFonts w:cs="Arial"/>
          <w:bCs/>
          <w:iCs/>
          <w:color w:val="00B050"/>
        </w:rPr>
      </w:pPr>
    </w:p>
    <w:p w14:paraId="3EFC391B" w14:textId="3DE7112F" w:rsidR="003E6937" w:rsidRPr="009D5F14" w:rsidRDefault="003E6937" w:rsidP="003E6937">
      <w:pPr>
        <w:jc w:val="both"/>
        <w:rPr>
          <w:rFonts w:cs="Arial"/>
          <w:bCs/>
          <w:iCs/>
          <w:color w:val="00B050"/>
        </w:rPr>
      </w:pPr>
      <w:r w:rsidRPr="009D5F14">
        <w:rPr>
          <w:rFonts w:cs="Arial"/>
          <w:bCs/>
          <w:iCs/>
          <w:color w:val="00B050"/>
        </w:rPr>
        <w:t xml:space="preserve">Conformément aux préconisations de la note technique </w:t>
      </w:r>
      <w:r w:rsidR="0092016E">
        <w:rPr>
          <w:rFonts w:cs="Arial"/>
          <w:bCs/>
          <w:iCs/>
          <w:color w:val="00B050"/>
        </w:rPr>
        <w:t xml:space="preserve">annexée à l’instruction </w:t>
      </w:r>
      <w:r w:rsidRPr="009D5F14">
        <w:rPr>
          <w:rFonts w:cs="Arial"/>
          <w:bCs/>
          <w:iCs/>
          <w:color w:val="00B050"/>
        </w:rPr>
        <w:t xml:space="preserve">du 27 juin 2014, la valorisation d’une amélioration de 1% de la régularité est de 1,24 minute lorsque la régularité de la ligne est supérieure à 85%. Si la régularité est inférieure à 85%, une amélioration de 1% de la régularité est valorisée comme un gain de 1,1 minute. </w:t>
      </w:r>
    </w:p>
    <w:p w14:paraId="69837B14" w14:textId="6D2796D3" w:rsidR="00150A72" w:rsidRPr="003E6937" w:rsidRDefault="00150A72" w:rsidP="003E6937">
      <w:pPr>
        <w:jc w:val="both"/>
        <w:rPr>
          <w:rFonts w:cs="Arial"/>
          <w:bCs/>
          <w:iCs/>
          <w:color w:val="00B050"/>
        </w:rPr>
      </w:pPr>
    </w:p>
    <w:p w14:paraId="7C0183B9" w14:textId="29F0FB50" w:rsidR="00150A72" w:rsidRDefault="00150A72" w:rsidP="00150A72">
      <w:pPr>
        <w:jc w:val="both"/>
        <w:rPr>
          <w:rFonts w:eastAsia="Calibri"/>
          <w:szCs w:val="20"/>
        </w:rPr>
      </w:pPr>
      <w:r w:rsidRPr="00150A72">
        <w:rPr>
          <w:rFonts w:eastAsia="Calibri"/>
          <w:szCs w:val="20"/>
        </w:rPr>
        <w:t xml:space="preserve">S’agissant du </w:t>
      </w:r>
      <w:r w:rsidRPr="00150A72">
        <w:rPr>
          <w:rFonts w:eastAsia="Calibri"/>
          <w:b/>
          <w:szCs w:val="20"/>
        </w:rPr>
        <w:t>confort</w:t>
      </w:r>
      <w:r w:rsidRPr="00150A72">
        <w:rPr>
          <w:rFonts w:eastAsia="Calibri"/>
          <w:szCs w:val="20"/>
        </w:rPr>
        <w:t>, le nombre de voyageurs et le temps passé à bord des trains en situation d’inconfort, avec et sans réalisation du projet, ont été calculés en comparant charge prévisionnelle et capacité de transport offerte pour chaque section de ligne. Le gain de confort a ensuite été valorisé en prenant en compte les coefficients de pénalisation recommandés par l’instruction de juin 2014 sur le temps passé à bord des trains en situation d’inconfort.</w:t>
      </w:r>
      <w:r w:rsidR="003E6937" w:rsidRPr="003E6937">
        <w:rPr>
          <w:rFonts w:cs="Arial"/>
          <w:color w:val="00B050"/>
        </w:rPr>
        <w:t xml:space="preserve"> </w:t>
      </w:r>
      <w:r w:rsidR="003E6937" w:rsidRPr="00F25EA0">
        <w:rPr>
          <w:rFonts w:cs="Arial"/>
          <w:color w:val="00B050"/>
        </w:rPr>
        <w:t xml:space="preserve">Selon les préconisations de la </w:t>
      </w:r>
      <w:r w:rsidR="003E6937" w:rsidRPr="00F25EA0">
        <w:rPr>
          <w:rFonts w:cs="Arial"/>
          <w:color w:val="00B050"/>
          <w:lang w:val="fr-BE"/>
        </w:rPr>
        <w:t>note technique du 3 mai 2019</w:t>
      </w:r>
      <w:r w:rsidR="0092016E" w:rsidRPr="0092016E">
        <w:t xml:space="preserve"> </w:t>
      </w:r>
      <w:r w:rsidR="0092016E" w:rsidRPr="0092016E">
        <w:rPr>
          <w:rFonts w:cs="Arial"/>
          <w:color w:val="00B050"/>
          <w:lang w:val="fr-BE"/>
        </w:rPr>
        <w:t>annexée à l’instruction du 27 juin 2014</w:t>
      </w:r>
      <w:r w:rsidR="003E6937" w:rsidRPr="00F25EA0">
        <w:rPr>
          <w:rFonts w:cs="Arial"/>
          <w:color w:val="00B050"/>
          <w:lang w:val="fr-BE"/>
        </w:rPr>
        <w:t xml:space="preserve">, </w:t>
      </w:r>
      <w:r w:rsidR="003E6937" w:rsidRPr="00F25EA0">
        <w:rPr>
          <w:rFonts w:cs="Arial"/>
          <w:color w:val="00B050"/>
        </w:rPr>
        <w:t xml:space="preserve">lorsque des places assises restent disponibles, le confort est considéré comme maximal et il n’y a aucune pénalité. Dans le cas contraire, le temps à bord pour les personnes disposant d’une place assise est multiplié par </w:t>
      </w:r>
      <w:r w:rsidR="003E6937" w:rsidRPr="00F25EA0">
        <w:rPr>
          <w:rFonts w:cs="Arial"/>
          <w:i/>
          <w:color w:val="00B050"/>
        </w:rPr>
        <w:t>1+0.08 p</w:t>
      </w:r>
      <w:r w:rsidR="003E6937" w:rsidRPr="00F25EA0">
        <w:rPr>
          <w:rFonts w:cs="Arial"/>
          <w:color w:val="00B050"/>
        </w:rPr>
        <w:t xml:space="preserve"> et celui des personnes devant rester debout est multiplié par </w:t>
      </w:r>
      <w:r w:rsidR="003E6937" w:rsidRPr="00F25EA0">
        <w:rPr>
          <w:rFonts w:cs="Arial"/>
          <w:i/>
          <w:color w:val="00B050"/>
        </w:rPr>
        <w:t>1.25+0.09 p</w:t>
      </w:r>
      <w:r w:rsidR="003E6937" w:rsidRPr="00F25EA0">
        <w:rPr>
          <w:rFonts w:cs="Arial"/>
          <w:color w:val="00B050"/>
        </w:rPr>
        <w:t xml:space="preserve">. La variable </w:t>
      </w:r>
      <w:r w:rsidR="003E6937" w:rsidRPr="00F25EA0">
        <w:rPr>
          <w:rFonts w:cs="Arial"/>
          <w:i/>
          <w:color w:val="00B050"/>
        </w:rPr>
        <w:t xml:space="preserve">p </w:t>
      </w:r>
      <w:r w:rsidR="003E6937" w:rsidRPr="00F25EA0">
        <w:rPr>
          <w:rFonts w:cs="Arial"/>
          <w:color w:val="00B050"/>
        </w:rPr>
        <w:t>représent</w:t>
      </w:r>
      <w:r w:rsidR="003E6937">
        <w:rPr>
          <w:rFonts w:cs="Arial"/>
          <w:color w:val="00B050"/>
        </w:rPr>
        <w:t>ant</w:t>
      </w:r>
      <w:r w:rsidR="003E6937" w:rsidRPr="00F25EA0">
        <w:rPr>
          <w:rFonts w:cs="Arial"/>
          <w:color w:val="00B050"/>
        </w:rPr>
        <w:t xml:space="preserve"> le nombre de passagers debout par m². Le nombre de m² disponibles par rame est obtenu à l’aide de la formule suivante : m² = (capacité totale – nombre de places assises)/4. Les capacités des rames dépendent du type de matériel roulant utilisé et ont été évalué</w:t>
      </w:r>
      <w:r w:rsidR="003E6937">
        <w:rPr>
          <w:rFonts w:cs="Arial"/>
          <w:color w:val="00B050"/>
        </w:rPr>
        <w:t>e</w:t>
      </w:r>
      <w:r w:rsidR="003E6937" w:rsidRPr="00F25EA0">
        <w:rPr>
          <w:rFonts w:cs="Arial"/>
          <w:color w:val="00B050"/>
        </w:rPr>
        <w:t>s ligne par ligne</w:t>
      </w:r>
    </w:p>
    <w:bookmarkEnd w:id="116"/>
    <w:p w14:paraId="60A14881" w14:textId="266767A3" w:rsidR="00543AC5" w:rsidRDefault="00543AC5" w:rsidP="00150A72">
      <w:pPr>
        <w:jc w:val="both"/>
        <w:rPr>
          <w:rFonts w:eastAsia="Calibri"/>
          <w:szCs w:val="20"/>
        </w:rPr>
      </w:pPr>
    </w:p>
    <w:p w14:paraId="3BFFA0FF" w14:textId="03441877" w:rsidR="00150A72" w:rsidRDefault="00150A72" w:rsidP="00150A72">
      <w:pPr>
        <w:jc w:val="both"/>
        <w:rPr>
          <w:szCs w:val="20"/>
        </w:rPr>
      </w:pPr>
      <w:r w:rsidRPr="00150A72">
        <w:rPr>
          <w:szCs w:val="20"/>
        </w:rPr>
        <w:t>Au total, l’ensemble des bénéfices de transport en année pleine</w:t>
      </w:r>
      <w:r w:rsidRPr="00150A72">
        <w:rPr>
          <w:rFonts w:cs="Cambria"/>
          <w:szCs w:val="20"/>
          <w:vertAlign w:val="superscript"/>
          <w:lang w:eastAsia="ar-SA"/>
        </w:rPr>
        <w:footnoteReference w:id="59"/>
      </w:r>
      <w:r w:rsidRPr="00150A72">
        <w:rPr>
          <w:szCs w:val="20"/>
        </w:rPr>
        <w:t xml:space="preserve"> est </w:t>
      </w:r>
      <w:r w:rsidR="00FE747D">
        <w:rPr>
          <w:szCs w:val="20"/>
        </w:rPr>
        <w:t>le suivant</w:t>
      </w:r>
      <w:r w:rsidR="00B66342">
        <w:rPr>
          <w:szCs w:val="20"/>
        </w:rPr>
        <w:t> :</w:t>
      </w:r>
    </w:p>
    <w:p w14:paraId="666B4E7E" w14:textId="77777777" w:rsidR="00B66342" w:rsidRDefault="00B66342" w:rsidP="00150A72">
      <w:pPr>
        <w:jc w:val="both"/>
        <w:rPr>
          <w:szCs w:val="20"/>
        </w:rPr>
      </w:pPr>
    </w:p>
    <w:tbl>
      <w:tblPr>
        <w:tblW w:w="7340" w:type="dxa"/>
        <w:tblCellMar>
          <w:left w:w="70" w:type="dxa"/>
          <w:right w:w="70" w:type="dxa"/>
        </w:tblCellMar>
        <w:tblLook w:val="04A0" w:firstRow="1" w:lastRow="0" w:firstColumn="1" w:lastColumn="0" w:noHBand="0" w:noVBand="1"/>
      </w:tblPr>
      <w:tblGrid>
        <w:gridCol w:w="4120"/>
        <w:gridCol w:w="1660"/>
        <w:gridCol w:w="1560"/>
      </w:tblGrid>
      <w:tr w:rsidR="00B66342" w:rsidRPr="00B66342" w14:paraId="37A0E1AD" w14:textId="77777777" w:rsidTr="00B66342">
        <w:trPr>
          <w:trHeight w:val="170"/>
        </w:trPr>
        <w:tc>
          <w:tcPr>
            <w:tcW w:w="7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699C98DA" w14:textId="77777777" w:rsidR="00B66342" w:rsidRPr="00B66342" w:rsidRDefault="00B66342" w:rsidP="00B66342">
            <w:pPr>
              <w:jc w:val="center"/>
              <w:rPr>
                <w:rFonts w:eastAsia="Times New Roman" w:cs="Calibri"/>
                <w:b/>
                <w:bCs/>
                <w:color w:val="931638"/>
                <w:szCs w:val="20"/>
                <w:lang w:eastAsia="fr-FR"/>
              </w:rPr>
            </w:pPr>
            <w:r w:rsidRPr="00B66342">
              <w:rPr>
                <w:rFonts w:eastAsia="Times New Roman" w:cs="Calibri"/>
                <w:b/>
                <w:bCs/>
                <w:color w:val="931638"/>
                <w:szCs w:val="20"/>
                <w:lang w:eastAsia="fr-FR"/>
              </w:rPr>
              <w:t>Option basse de projet</w:t>
            </w:r>
          </w:p>
        </w:tc>
      </w:tr>
      <w:tr w:rsidR="00B66342" w:rsidRPr="00B66342" w14:paraId="5D78A57C" w14:textId="77777777" w:rsidTr="00B66342">
        <w:trPr>
          <w:trHeight w:val="170"/>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31FE74B4" w14:textId="77777777" w:rsidR="00B66342" w:rsidRPr="00B66342" w:rsidRDefault="00B66342" w:rsidP="00B66342">
            <w:pPr>
              <w:jc w:val="both"/>
              <w:rPr>
                <w:rFonts w:eastAsia="Times New Roman" w:cs="Calibri"/>
                <w:i/>
                <w:iCs/>
                <w:color w:val="000000"/>
                <w:szCs w:val="20"/>
                <w:lang w:eastAsia="fr-FR"/>
              </w:rPr>
            </w:pPr>
            <w:r w:rsidRPr="00B66342">
              <w:rPr>
                <w:rFonts w:eastAsia="Times New Roman" w:cs="Calibri"/>
                <w:i/>
                <w:iCs/>
                <w:color w:val="000000"/>
                <w:szCs w:val="20"/>
                <w:lang w:eastAsia="fr-FR"/>
              </w:rPr>
              <w:t>Avantages en milliards d’euros</w:t>
            </w:r>
          </w:p>
        </w:tc>
        <w:tc>
          <w:tcPr>
            <w:tcW w:w="1660" w:type="dxa"/>
            <w:tcBorders>
              <w:top w:val="nil"/>
              <w:left w:val="nil"/>
              <w:bottom w:val="single" w:sz="8" w:space="0" w:color="auto"/>
              <w:right w:val="single" w:sz="8" w:space="0" w:color="auto"/>
            </w:tcBorders>
            <w:shd w:val="clear" w:color="auto" w:fill="auto"/>
            <w:vAlign w:val="center"/>
            <w:hideMark/>
          </w:tcPr>
          <w:p w14:paraId="09CFE27A" w14:textId="77777777" w:rsidR="00B66342" w:rsidRPr="00B66342" w:rsidRDefault="00B66342" w:rsidP="00B66342">
            <w:pPr>
              <w:jc w:val="center"/>
              <w:rPr>
                <w:rFonts w:eastAsia="Times New Roman" w:cs="Calibri"/>
                <w:color w:val="000000"/>
                <w:szCs w:val="20"/>
                <w:lang w:eastAsia="fr-FR"/>
              </w:rPr>
            </w:pPr>
            <w:r w:rsidRPr="00B66342">
              <w:rPr>
                <w:rFonts w:eastAsia="Times New Roman" w:cs="Calibri"/>
                <w:color w:val="000000"/>
                <w:szCs w:val="20"/>
                <w:lang w:eastAsia="fr-FR"/>
              </w:rPr>
              <w:t>Euros 2010</w:t>
            </w:r>
          </w:p>
        </w:tc>
        <w:tc>
          <w:tcPr>
            <w:tcW w:w="1560" w:type="dxa"/>
            <w:tcBorders>
              <w:top w:val="nil"/>
              <w:left w:val="nil"/>
              <w:bottom w:val="single" w:sz="8" w:space="0" w:color="auto"/>
              <w:right w:val="single" w:sz="8" w:space="0" w:color="auto"/>
            </w:tcBorders>
            <w:shd w:val="clear" w:color="auto" w:fill="auto"/>
            <w:vAlign w:val="center"/>
            <w:hideMark/>
          </w:tcPr>
          <w:p w14:paraId="073027EF" w14:textId="77777777" w:rsidR="00B66342" w:rsidRPr="00B66342" w:rsidRDefault="00B66342" w:rsidP="00B66342">
            <w:pPr>
              <w:jc w:val="center"/>
              <w:rPr>
                <w:rFonts w:eastAsia="Times New Roman" w:cs="Calibri"/>
                <w:color w:val="000000"/>
                <w:szCs w:val="20"/>
                <w:lang w:eastAsia="fr-FR"/>
              </w:rPr>
            </w:pPr>
            <w:r w:rsidRPr="00B66342">
              <w:rPr>
                <w:rFonts w:eastAsia="Times New Roman" w:cs="Calibri"/>
                <w:color w:val="000000"/>
                <w:szCs w:val="20"/>
                <w:lang w:eastAsia="fr-FR"/>
              </w:rPr>
              <w:t>Euros 2015</w:t>
            </w:r>
          </w:p>
        </w:tc>
      </w:tr>
      <w:tr w:rsidR="00B66342" w:rsidRPr="00B66342" w14:paraId="623AF1F6" w14:textId="77777777" w:rsidTr="00B66342">
        <w:trPr>
          <w:trHeight w:val="170"/>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78715F95" w14:textId="77777777" w:rsidR="00B66342" w:rsidRPr="00B66342" w:rsidRDefault="00B66342" w:rsidP="00B66342">
            <w:pPr>
              <w:jc w:val="both"/>
              <w:rPr>
                <w:rFonts w:eastAsia="Times New Roman" w:cs="Calibri"/>
                <w:color w:val="931638"/>
                <w:szCs w:val="20"/>
                <w:lang w:eastAsia="fr-FR"/>
              </w:rPr>
            </w:pPr>
            <w:r w:rsidRPr="00B66342">
              <w:rPr>
                <w:rFonts w:eastAsia="Times New Roman" w:cs="Calibri"/>
                <w:color w:val="931638"/>
                <w:szCs w:val="20"/>
                <w:lang w:eastAsia="fr-FR"/>
              </w:rPr>
              <w:t>Valorisation des effets transports</w:t>
            </w:r>
          </w:p>
        </w:tc>
        <w:tc>
          <w:tcPr>
            <w:tcW w:w="1660" w:type="dxa"/>
            <w:tcBorders>
              <w:top w:val="nil"/>
              <w:left w:val="nil"/>
              <w:bottom w:val="single" w:sz="8" w:space="0" w:color="auto"/>
              <w:right w:val="single" w:sz="8" w:space="0" w:color="auto"/>
            </w:tcBorders>
            <w:shd w:val="clear" w:color="auto" w:fill="auto"/>
            <w:vAlign w:val="center"/>
            <w:hideMark/>
          </w:tcPr>
          <w:p w14:paraId="306CD9A8"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13,67</w:t>
            </w:r>
          </w:p>
        </w:tc>
        <w:tc>
          <w:tcPr>
            <w:tcW w:w="1560" w:type="dxa"/>
            <w:tcBorders>
              <w:top w:val="nil"/>
              <w:left w:val="nil"/>
              <w:bottom w:val="single" w:sz="8" w:space="0" w:color="auto"/>
              <w:right w:val="single" w:sz="8" w:space="0" w:color="auto"/>
            </w:tcBorders>
            <w:shd w:val="clear" w:color="auto" w:fill="auto"/>
            <w:vAlign w:val="center"/>
            <w:hideMark/>
          </w:tcPr>
          <w:p w14:paraId="5AE6C5B1"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14,44</w:t>
            </w:r>
          </w:p>
        </w:tc>
      </w:tr>
      <w:tr w:rsidR="00B66342" w:rsidRPr="00B66342" w14:paraId="68E1EA25" w14:textId="77777777" w:rsidTr="00B66342">
        <w:trPr>
          <w:trHeight w:val="170"/>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0A616255" w14:textId="77777777" w:rsidR="00B66342" w:rsidRPr="00B66342" w:rsidRDefault="00B66342" w:rsidP="00B66342">
            <w:pPr>
              <w:jc w:val="both"/>
              <w:rPr>
                <w:rFonts w:eastAsia="Times New Roman" w:cs="Calibri"/>
                <w:color w:val="931638"/>
                <w:szCs w:val="20"/>
                <w:lang w:eastAsia="fr-FR"/>
              </w:rPr>
            </w:pPr>
            <w:r w:rsidRPr="00B66342">
              <w:rPr>
                <w:rFonts w:eastAsia="Times New Roman" w:cs="Calibri"/>
                <w:color w:val="931638"/>
                <w:szCs w:val="20"/>
                <w:lang w:eastAsia="fr-FR"/>
              </w:rPr>
              <w:t>Régularité</w:t>
            </w:r>
          </w:p>
        </w:tc>
        <w:tc>
          <w:tcPr>
            <w:tcW w:w="1660" w:type="dxa"/>
            <w:tcBorders>
              <w:top w:val="nil"/>
              <w:left w:val="nil"/>
              <w:bottom w:val="single" w:sz="8" w:space="0" w:color="auto"/>
              <w:right w:val="single" w:sz="8" w:space="0" w:color="auto"/>
            </w:tcBorders>
            <w:shd w:val="clear" w:color="auto" w:fill="auto"/>
            <w:vAlign w:val="center"/>
            <w:hideMark/>
          </w:tcPr>
          <w:p w14:paraId="550602F0"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4,25</w:t>
            </w:r>
          </w:p>
        </w:tc>
        <w:tc>
          <w:tcPr>
            <w:tcW w:w="1560" w:type="dxa"/>
            <w:tcBorders>
              <w:top w:val="nil"/>
              <w:left w:val="nil"/>
              <w:bottom w:val="single" w:sz="8" w:space="0" w:color="auto"/>
              <w:right w:val="single" w:sz="8" w:space="0" w:color="auto"/>
            </w:tcBorders>
            <w:shd w:val="clear" w:color="auto" w:fill="auto"/>
            <w:vAlign w:val="center"/>
            <w:hideMark/>
          </w:tcPr>
          <w:p w14:paraId="62AB8388"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4,48</w:t>
            </w:r>
          </w:p>
        </w:tc>
      </w:tr>
      <w:tr w:rsidR="00B66342" w:rsidRPr="00B66342" w14:paraId="2E14ABD8" w14:textId="77777777" w:rsidTr="00B66342">
        <w:trPr>
          <w:trHeight w:val="170"/>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3DE0834E" w14:textId="77777777" w:rsidR="00B66342" w:rsidRPr="00B66342" w:rsidRDefault="00B66342" w:rsidP="00B66342">
            <w:pPr>
              <w:jc w:val="both"/>
              <w:rPr>
                <w:rFonts w:eastAsia="Times New Roman" w:cs="Calibri"/>
                <w:color w:val="931638"/>
                <w:szCs w:val="20"/>
                <w:lang w:eastAsia="fr-FR"/>
              </w:rPr>
            </w:pPr>
            <w:r w:rsidRPr="00B66342">
              <w:rPr>
                <w:rFonts w:eastAsia="Times New Roman" w:cs="Calibri"/>
                <w:color w:val="931638"/>
                <w:szCs w:val="20"/>
                <w:lang w:eastAsia="fr-FR"/>
              </w:rPr>
              <w:t>Confort</w:t>
            </w:r>
          </w:p>
        </w:tc>
        <w:tc>
          <w:tcPr>
            <w:tcW w:w="1660" w:type="dxa"/>
            <w:tcBorders>
              <w:top w:val="nil"/>
              <w:left w:val="nil"/>
              <w:bottom w:val="single" w:sz="8" w:space="0" w:color="auto"/>
              <w:right w:val="single" w:sz="8" w:space="0" w:color="auto"/>
            </w:tcBorders>
            <w:shd w:val="clear" w:color="auto" w:fill="auto"/>
            <w:vAlign w:val="center"/>
            <w:hideMark/>
          </w:tcPr>
          <w:p w14:paraId="691A1675"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3,47</w:t>
            </w:r>
          </w:p>
        </w:tc>
        <w:tc>
          <w:tcPr>
            <w:tcW w:w="1560" w:type="dxa"/>
            <w:tcBorders>
              <w:top w:val="nil"/>
              <w:left w:val="nil"/>
              <w:bottom w:val="single" w:sz="8" w:space="0" w:color="auto"/>
              <w:right w:val="single" w:sz="8" w:space="0" w:color="auto"/>
            </w:tcBorders>
            <w:shd w:val="clear" w:color="auto" w:fill="auto"/>
            <w:vAlign w:val="center"/>
            <w:hideMark/>
          </w:tcPr>
          <w:p w14:paraId="28DC7F84"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3,66</w:t>
            </w:r>
          </w:p>
        </w:tc>
      </w:tr>
    </w:tbl>
    <w:p w14:paraId="32DFF64D" w14:textId="77777777" w:rsidR="006D1CCE" w:rsidRDefault="006D1CCE" w:rsidP="00150A72">
      <w:pPr>
        <w:jc w:val="both"/>
        <w:rPr>
          <w:szCs w:val="20"/>
        </w:rPr>
      </w:pPr>
    </w:p>
    <w:p w14:paraId="54F8BE70" w14:textId="77777777" w:rsidR="006D1CCE" w:rsidRDefault="006D1CCE" w:rsidP="00150A72">
      <w:pPr>
        <w:jc w:val="both"/>
        <w:rPr>
          <w:szCs w:val="20"/>
        </w:rPr>
      </w:pPr>
    </w:p>
    <w:p w14:paraId="1523B261" w14:textId="1D4B1043" w:rsidR="00150A72" w:rsidRPr="00505717" w:rsidRDefault="00150A72" w:rsidP="00150A72">
      <w:pPr>
        <w:jc w:val="both"/>
        <w:rPr>
          <w:szCs w:val="20"/>
        </w:rPr>
      </w:pPr>
      <w:r w:rsidRPr="00505717">
        <w:rPr>
          <w:szCs w:val="20"/>
        </w:rPr>
        <w:t xml:space="preserve">L’analyse des gains d’accessibilité </w:t>
      </w:r>
      <w:r w:rsidR="00546CE8" w:rsidRPr="00505717">
        <w:rPr>
          <w:szCs w:val="20"/>
        </w:rPr>
        <w:t xml:space="preserve">intègre </w:t>
      </w:r>
      <w:r w:rsidRPr="00505717">
        <w:rPr>
          <w:szCs w:val="20"/>
        </w:rPr>
        <w:t xml:space="preserve">le calendrier précis des mises en services prévues par </w:t>
      </w:r>
      <w:r w:rsidR="007B7BC2" w:rsidRPr="00505717">
        <w:rPr>
          <w:szCs w:val="20"/>
        </w:rPr>
        <w:t>les décisions</w:t>
      </w:r>
      <w:r w:rsidRPr="00505717">
        <w:rPr>
          <w:szCs w:val="20"/>
        </w:rPr>
        <w:t xml:space="preserve"> du Gouvernement. Il convient de noter qu’à ce stade, les </w:t>
      </w:r>
      <w:r w:rsidR="007454A8" w:rsidRPr="00505717">
        <w:rPr>
          <w:szCs w:val="20"/>
        </w:rPr>
        <w:t xml:space="preserve">nouvelles </w:t>
      </w:r>
      <w:r w:rsidRPr="00505717">
        <w:rPr>
          <w:szCs w:val="20"/>
        </w:rPr>
        <w:t xml:space="preserve">prévisions de trafic ont été réalisées avec un calibrage de l’outil de modélisation fondé sur les résultats de l’Enquête Globale Transport de </w:t>
      </w:r>
      <w:r w:rsidR="007454A8" w:rsidRPr="00505717">
        <w:rPr>
          <w:szCs w:val="20"/>
        </w:rPr>
        <w:t>2010</w:t>
      </w:r>
      <w:r w:rsidRPr="00505717">
        <w:rPr>
          <w:szCs w:val="20"/>
        </w:rPr>
        <w:t xml:space="preserve"> </w:t>
      </w:r>
      <w:r w:rsidR="007454A8" w:rsidRPr="00505717">
        <w:rPr>
          <w:szCs w:val="20"/>
        </w:rPr>
        <w:t xml:space="preserve">laquelle a révélé une très forte attractivité des transports en commun depuis 2001 avec une hausse du trafic </w:t>
      </w:r>
      <w:r w:rsidR="00546CE8" w:rsidRPr="00505717">
        <w:rPr>
          <w:szCs w:val="20"/>
        </w:rPr>
        <w:t xml:space="preserve">TC de 22% (Voir plus haut </w:t>
      </w:r>
      <w:r w:rsidR="00CC032A">
        <w:rPr>
          <w:szCs w:val="20"/>
        </w:rPr>
        <w:t>page 28</w:t>
      </w:r>
      <w:r w:rsidR="00546CE8" w:rsidRPr="00505717">
        <w:rPr>
          <w:szCs w:val="20"/>
        </w:rPr>
        <w:t>). Dans les estimations antérieures, l</w:t>
      </w:r>
      <w:r w:rsidRPr="00505717">
        <w:rPr>
          <w:szCs w:val="20"/>
        </w:rPr>
        <w:t xml:space="preserve">a valorisation des effets transports ne comprenait pas non plus, faute de données suffisantes, les gains de bien-être induits par une augmentation des choix effectifs offerts aux usagers. </w:t>
      </w:r>
    </w:p>
    <w:p w14:paraId="5D750D54" w14:textId="77777777" w:rsidR="00503AE0" w:rsidRPr="00304C03" w:rsidRDefault="00503AE0" w:rsidP="00150A72">
      <w:pPr>
        <w:keepNext/>
        <w:keepLines/>
        <w:spacing w:before="200"/>
        <w:jc w:val="both"/>
        <w:outlineLvl w:val="3"/>
        <w:rPr>
          <w:color w:val="00B050"/>
          <w:szCs w:val="20"/>
        </w:rPr>
      </w:pPr>
      <w:bookmarkStart w:id="117" w:name="_Hlk43384207"/>
      <w:r w:rsidRPr="00304C03">
        <w:rPr>
          <w:color w:val="00B050"/>
          <w:szCs w:val="20"/>
        </w:rPr>
        <w:t>MODUS-3, en tant que modèle statique, ne modélise pas la congestion, tant pour la voiture particulière (VP) que les transports collectifs (TC). Ainsi, seule la saturation des réseaux de transport sous l'effet d'une demande supérieure à l'offre est prise en compte dans la recherche d'itinéraire. En outre, l'allongement des temps de parcours en VP sous l'effet de cette saturation opère une rétroaction sur le choix modal, dont la sensibilité a été renforcée par rapport aux versions antérieures du modèle.</w:t>
      </w:r>
    </w:p>
    <w:p w14:paraId="7C8169CF" w14:textId="11E01C4B" w:rsidR="00150A72" w:rsidRPr="00150A72" w:rsidRDefault="00150A72" w:rsidP="00150A72">
      <w:pPr>
        <w:keepNext/>
        <w:keepLines/>
        <w:spacing w:before="200"/>
        <w:jc w:val="both"/>
        <w:outlineLvl w:val="3"/>
        <w:rPr>
          <w:rFonts w:eastAsia="Times New Roman"/>
          <w:bCs/>
          <w:i/>
          <w:iCs/>
          <w:color w:val="931638"/>
          <w:szCs w:val="20"/>
        </w:rPr>
      </w:pPr>
      <w:bookmarkStart w:id="118" w:name="_Hlk63348712"/>
      <w:r w:rsidRPr="00150A72">
        <w:rPr>
          <w:rFonts w:eastAsia="Times New Roman"/>
          <w:bCs/>
          <w:i/>
          <w:iCs/>
          <w:color w:val="931638"/>
          <w:szCs w:val="20"/>
        </w:rPr>
        <w:t>L</w:t>
      </w:r>
      <w:r w:rsidR="00503AE0">
        <w:rPr>
          <w:rFonts w:eastAsia="Times New Roman"/>
          <w:bCs/>
          <w:i/>
          <w:iCs/>
          <w:color w:val="931638"/>
          <w:szCs w:val="20"/>
        </w:rPr>
        <w:t>es économies de gaz à effets de serre</w:t>
      </w:r>
      <w:r w:rsidRPr="00150A72">
        <w:rPr>
          <w:rFonts w:eastAsia="Times New Roman"/>
          <w:bCs/>
          <w:i/>
          <w:iCs/>
          <w:color w:val="931638"/>
          <w:szCs w:val="20"/>
        </w:rPr>
        <w:t xml:space="preserve"> </w:t>
      </w:r>
      <w:bookmarkEnd w:id="117"/>
    </w:p>
    <w:bookmarkEnd w:id="118"/>
    <w:p w14:paraId="32C4AAB4" w14:textId="77777777" w:rsidR="00505717" w:rsidRPr="000F5160" w:rsidRDefault="00505717" w:rsidP="00150A72">
      <w:pPr>
        <w:jc w:val="both"/>
        <w:rPr>
          <w:color w:val="00B050"/>
          <w:szCs w:val="20"/>
        </w:rPr>
      </w:pPr>
    </w:p>
    <w:p w14:paraId="1D11E4D9" w14:textId="34F5AACF" w:rsidR="000F5160" w:rsidRPr="000F5160" w:rsidRDefault="000F5160" w:rsidP="000F5160">
      <w:pPr>
        <w:jc w:val="both"/>
        <w:rPr>
          <w:color w:val="00B050"/>
          <w:szCs w:val="20"/>
        </w:rPr>
      </w:pPr>
      <w:r w:rsidRPr="000F5160">
        <w:rPr>
          <w:color w:val="00B050"/>
          <w:szCs w:val="20"/>
        </w:rPr>
        <w:t xml:space="preserve">La phase de réalisation du projet du Grand Paris Express entraînera une augmentation des émissions de gaz à effets de serre ; mais dans l’autre sens, la réduction de l’usage de la voiture au profit des transports publics et la réduction de l’étalement urbain qui se produirait en l’absence de l’infrastructure conduiront à une diminution de ces émissions. Le calcul dépend fortement des hypothèses retenues pour la situation de référence. On va monter dans ce paragraphe que l’application littérale des textes réglementaires </w:t>
      </w:r>
      <w:r w:rsidR="003F07F9">
        <w:rPr>
          <w:color w:val="00B050"/>
          <w:szCs w:val="20"/>
        </w:rPr>
        <w:t xml:space="preserve">actuels qui a été </w:t>
      </w:r>
      <w:r w:rsidRPr="000F5160">
        <w:rPr>
          <w:color w:val="00B050"/>
          <w:szCs w:val="20"/>
        </w:rPr>
        <w:t xml:space="preserve">retenue dans ce document d’évaluation </w:t>
      </w:r>
      <w:r w:rsidR="00AC2C55">
        <w:rPr>
          <w:color w:val="00B050"/>
          <w:szCs w:val="20"/>
        </w:rPr>
        <w:t xml:space="preserve">amène </w:t>
      </w:r>
      <w:r w:rsidRPr="000F5160">
        <w:rPr>
          <w:color w:val="00B050"/>
          <w:szCs w:val="20"/>
        </w:rPr>
        <w:t>à minimiser fortement le bilan carbone</w:t>
      </w:r>
      <w:r w:rsidR="00082018">
        <w:rPr>
          <w:color w:val="00B050"/>
          <w:szCs w:val="20"/>
        </w:rPr>
        <w:t xml:space="preserve"> et</w:t>
      </w:r>
      <w:r w:rsidR="0092016E" w:rsidRPr="0092016E">
        <w:rPr>
          <w:color w:val="00B050"/>
          <w:szCs w:val="20"/>
        </w:rPr>
        <w:t xml:space="preserve"> </w:t>
      </w:r>
      <w:r w:rsidR="00AC2C55">
        <w:rPr>
          <w:color w:val="00B050"/>
          <w:szCs w:val="20"/>
        </w:rPr>
        <w:t xml:space="preserve">que les chiffrages auxquels ils aboutissent </w:t>
      </w:r>
      <w:r w:rsidRPr="000F5160">
        <w:rPr>
          <w:color w:val="00B050"/>
          <w:szCs w:val="20"/>
        </w:rPr>
        <w:t xml:space="preserve">sont </w:t>
      </w:r>
      <w:r w:rsidR="003F07F9" w:rsidRPr="000F5160">
        <w:rPr>
          <w:color w:val="00B050"/>
          <w:szCs w:val="20"/>
        </w:rPr>
        <w:t xml:space="preserve">même </w:t>
      </w:r>
      <w:r w:rsidRPr="000F5160">
        <w:rPr>
          <w:color w:val="00B050"/>
          <w:szCs w:val="20"/>
        </w:rPr>
        <w:t xml:space="preserve">contraires aux principes </w:t>
      </w:r>
      <w:r w:rsidR="003F07F9">
        <w:rPr>
          <w:color w:val="00B050"/>
          <w:szCs w:val="20"/>
        </w:rPr>
        <w:t>de la Stratégie Nationale Bas Carbone</w:t>
      </w:r>
      <w:r w:rsidR="00082018">
        <w:rPr>
          <w:color w:val="00B050"/>
          <w:szCs w:val="20"/>
        </w:rPr>
        <w:t>. L</w:t>
      </w:r>
      <w:r w:rsidRPr="000F5160">
        <w:rPr>
          <w:color w:val="00B050"/>
          <w:szCs w:val="20"/>
        </w:rPr>
        <w:t xml:space="preserve">es techniques </w:t>
      </w:r>
      <w:r w:rsidR="003F07F9">
        <w:rPr>
          <w:color w:val="00B050"/>
          <w:szCs w:val="20"/>
        </w:rPr>
        <w:t xml:space="preserve">de calcul </w:t>
      </w:r>
      <w:r w:rsidRPr="000F5160">
        <w:rPr>
          <w:color w:val="00B050"/>
          <w:szCs w:val="20"/>
        </w:rPr>
        <w:t xml:space="preserve">proposées par les textes sont </w:t>
      </w:r>
      <w:r w:rsidR="00AC2C55">
        <w:rPr>
          <w:color w:val="00B050"/>
          <w:szCs w:val="20"/>
        </w:rPr>
        <w:t xml:space="preserve">en effet </w:t>
      </w:r>
      <w:r w:rsidRPr="000F5160">
        <w:rPr>
          <w:color w:val="00B050"/>
          <w:szCs w:val="20"/>
        </w:rPr>
        <w:t xml:space="preserve">sujettes à des fortes objections méthodologiques. Il convient donc, pour éclairer le débat </w:t>
      </w:r>
      <w:r w:rsidRPr="000F5160">
        <w:rPr>
          <w:color w:val="00B050"/>
          <w:szCs w:val="20"/>
        </w:rPr>
        <w:lastRenderedPageBreak/>
        <w:t>et l’opinion publique sur la réalité de l’impact carbone du Grand Paris Express, au-delà des calculs conventionnels retenus dans cette évaluation</w:t>
      </w:r>
      <w:r w:rsidR="00AC2C55">
        <w:rPr>
          <w:color w:val="00B050"/>
          <w:szCs w:val="20"/>
        </w:rPr>
        <w:t xml:space="preserve"> qui se doit de respecter les textes en vigueur pour le calcul de la Valeur Ajoutée Nette du projet</w:t>
      </w:r>
      <w:r w:rsidRPr="000F5160">
        <w:rPr>
          <w:color w:val="00B050"/>
          <w:szCs w:val="20"/>
        </w:rPr>
        <w:t xml:space="preserve">, </w:t>
      </w:r>
      <w:r w:rsidR="00AC2C55">
        <w:rPr>
          <w:color w:val="00B050"/>
          <w:szCs w:val="20"/>
        </w:rPr>
        <w:t xml:space="preserve">et donc </w:t>
      </w:r>
      <w:r w:rsidRPr="000F5160">
        <w:rPr>
          <w:color w:val="00B050"/>
          <w:szCs w:val="20"/>
        </w:rPr>
        <w:t xml:space="preserve">de présenter des méthodes complémentaires </w:t>
      </w:r>
      <w:r w:rsidR="00AC2C55">
        <w:rPr>
          <w:color w:val="00B050"/>
          <w:szCs w:val="20"/>
        </w:rPr>
        <w:t xml:space="preserve">plus réalistes, </w:t>
      </w:r>
      <w:r w:rsidRPr="000F5160">
        <w:rPr>
          <w:color w:val="00B050"/>
          <w:szCs w:val="20"/>
        </w:rPr>
        <w:t xml:space="preserve">qui montrent au contraire que, conformément aux connaissances actuelles sur les instruments de lutte contre le réchauffement climatique, </w:t>
      </w:r>
      <w:r w:rsidRPr="003F07F9">
        <w:rPr>
          <w:b/>
          <w:bCs/>
          <w:color w:val="00B050"/>
          <w:szCs w:val="20"/>
        </w:rPr>
        <w:t xml:space="preserve">le Grand Paris Express est </w:t>
      </w:r>
      <w:r w:rsidR="003F07F9">
        <w:rPr>
          <w:b/>
          <w:bCs/>
          <w:color w:val="00B050"/>
          <w:szCs w:val="20"/>
        </w:rPr>
        <w:t xml:space="preserve">bien </w:t>
      </w:r>
      <w:r w:rsidRPr="003F07F9">
        <w:rPr>
          <w:b/>
          <w:bCs/>
          <w:color w:val="00B050"/>
          <w:szCs w:val="20"/>
        </w:rPr>
        <w:t>un levier majeur de la réalisation des objectifs de la Stratégie Nationale Bas Carbone</w:t>
      </w:r>
      <w:r w:rsidRPr="000F5160">
        <w:rPr>
          <w:color w:val="00B050"/>
          <w:szCs w:val="20"/>
        </w:rPr>
        <w:t>.</w:t>
      </w:r>
    </w:p>
    <w:p w14:paraId="52852868" w14:textId="77777777" w:rsidR="000F5160" w:rsidRPr="000F5160" w:rsidRDefault="000F5160" w:rsidP="000F5160">
      <w:pPr>
        <w:jc w:val="both"/>
        <w:rPr>
          <w:color w:val="00B050"/>
          <w:szCs w:val="20"/>
        </w:rPr>
      </w:pPr>
    </w:p>
    <w:p w14:paraId="596BF3DF" w14:textId="77777777" w:rsidR="000F5160" w:rsidRPr="000F5160" w:rsidRDefault="000F5160" w:rsidP="000F5160">
      <w:pPr>
        <w:jc w:val="both"/>
        <w:rPr>
          <w:b/>
          <w:bCs/>
          <w:i/>
          <w:iCs/>
          <w:color w:val="00B050"/>
          <w:szCs w:val="20"/>
        </w:rPr>
      </w:pPr>
      <w:r w:rsidRPr="000F5160">
        <w:rPr>
          <w:b/>
          <w:bCs/>
          <w:i/>
          <w:iCs/>
          <w:color w:val="00B050"/>
          <w:szCs w:val="20"/>
        </w:rPr>
        <w:t xml:space="preserve">Hypothèse avec décarbonation totale : application littérale des textes </w:t>
      </w:r>
    </w:p>
    <w:p w14:paraId="1D77A6E7" w14:textId="77777777" w:rsidR="000F5160" w:rsidRPr="000F5160" w:rsidRDefault="000F5160" w:rsidP="000F5160">
      <w:pPr>
        <w:jc w:val="both"/>
        <w:rPr>
          <w:color w:val="00B050"/>
          <w:szCs w:val="20"/>
        </w:rPr>
      </w:pPr>
    </w:p>
    <w:p w14:paraId="124AAD2F" w14:textId="5E474158" w:rsidR="000F5160" w:rsidRPr="000F5160" w:rsidRDefault="000F5160" w:rsidP="000F5160">
      <w:pPr>
        <w:jc w:val="both"/>
        <w:rPr>
          <w:color w:val="00B050"/>
          <w:szCs w:val="20"/>
        </w:rPr>
      </w:pPr>
      <w:bookmarkStart w:id="119" w:name="_Hlk64012390"/>
      <w:r w:rsidRPr="00AC2C55">
        <w:rPr>
          <w:b/>
          <w:bCs/>
          <w:color w:val="00B050"/>
          <w:szCs w:val="20"/>
        </w:rPr>
        <w:t xml:space="preserve">Les textes en vigueur depuis 2019 demandent </w:t>
      </w:r>
      <w:r w:rsidR="000E4E9E" w:rsidRPr="00AC2C55">
        <w:rPr>
          <w:b/>
          <w:bCs/>
          <w:color w:val="00B050"/>
          <w:szCs w:val="20"/>
        </w:rPr>
        <w:t>d’utiliser comme scénario de référence un scénario   AMS</w:t>
      </w:r>
      <w:r w:rsidR="000E4E9E" w:rsidRPr="000E4E9E">
        <w:rPr>
          <w:color w:val="00B050"/>
          <w:szCs w:val="20"/>
        </w:rPr>
        <w:t xml:space="preserve"> (</w:t>
      </w:r>
      <w:r w:rsidR="00DD12B3">
        <w:rPr>
          <w:color w:val="00B050"/>
          <w:szCs w:val="20"/>
        </w:rPr>
        <w:t xml:space="preserve">dit </w:t>
      </w:r>
      <w:r w:rsidR="000E4E9E" w:rsidRPr="000E4E9E">
        <w:rPr>
          <w:color w:val="00B050"/>
          <w:szCs w:val="20"/>
        </w:rPr>
        <w:t xml:space="preserve">avec mesures supplémentaires), </w:t>
      </w:r>
      <w:r w:rsidR="000E4E9E">
        <w:rPr>
          <w:color w:val="00B050"/>
          <w:szCs w:val="20"/>
        </w:rPr>
        <w:t xml:space="preserve">qui est le </w:t>
      </w:r>
      <w:r w:rsidR="000E4E9E" w:rsidRPr="000E4E9E">
        <w:rPr>
          <w:color w:val="00B050"/>
          <w:szCs w:val="20"/>
        </w:rPr>
        <w:t xml:space="preserve">scénario principal de la SNBC, </w:t>
      </w:r>
      <w:r w:rsidR="000E4E9E">
        <w:rPr>
          <w:color w:val="00B050"/>
          <w:szCs w:val="20"/>
        </w:rPr>
        <w:t>« </w:t>
      </w:r>
      <w:r w:rsidR="000E4E9E" w:rsidRPr="000E4E9E">
        <w:rPr>
          <w:color w:val="00B050"/>
          <w:szCs w:val="20"/>
        </w:rPr>
        <w:t>dont</w:t>
      </w:r>
      <w:r w:rsidR="000E4E9E">
        <w:rPr>
          <w:color w:val="00B050"/>
          <w:szCs w:val="20"/>
        </w:rPr>
        <w:t xml:space="preserve"> </w:t>
      </w:r>
      <w:r w:rsidR="000E4E9E" w:rsidRPr="000E4E9E">
        <w:rPr>
          <w:color w:val="00B050"/>
          <w:szCs w:val="20"/>
        </w:rPr>
        <w:t>les hypothèses permettent d’atteindre l’objectif politique d’une neutralité carbone à</w:t>
      </w:r>
      <w:r w:rsidR="000E4E9E">
        <w:rPr>
          <w:color w:val="00B050"/>
          <w:szCs w:val="20"/>
        </w:rPr>
        <w:t xml:space="preserve"> </w:t>
      </w:r>
      <w:r w:rsidR="000E4E9E" w:rsidRPr="000E4E9E">
        <w:rPr>
          <w:color w:val="00B050"/>
          <w:szCs w:val="20"/>
        </w:rPr>
        <w:t>l’horizon 2050, et de diminuer les consommations d’énergie de manière importante et</w:t>
      </w:r>
      <w:r w:rsidR="000E4E9E">
        <w:rPr>
          <w:color w:val="00B050"/>
          <w:szCs w:val="20"/>
        </w:rPr>
        <w:t xml:space="preserve"> </w:t>
      </w:r>
      <w:r w:rsidR="000E4E9E" w:rsidRPr="000E4E9E">
        <w:rPr>
          <w:color w:val="00B050"/>
          <w:szCs w:val="20"/>
        </w:rPr>
        <w:t>durable via l’efficacité énergétique ou des comportements plus sobres</w:t>
      </w:r>
      <w:r w:rsidR="000E4E9E">
        <w:rPr>
          <w:color w:val="00B050"/>
          <w:szCs w:val="20"/>
        </w:rPr>
        <w:t xml:space="preserve"> ». </w:t>
      </w:r>
      <w:r w:rsidR="000E4E9E" w:rsidRPr="000E4E9E">
        <w:rPr>
          <w:color w:val="00B050"/>
          <w:szCs w:val="20"/>
        </w:rPr>
        <w:t>Ce scénario suppose que le secteur des</w:t>
      </w:r>
      <w:r w:rsidR="000E4E9E">
        <w:rPr>
          <w:color w:val="00B050"/>
          <w:szCs w:val="20"/>
        </w:rPr>
        <w:t xml:space="preserve"> </w:t>
      </w:r>
      <w:r w:rsidR="000E4E9E" w:rsidRPr="000E4E9E">
        <w:rPr>
          <w:color w:val="00B050"/>
          <w:szCs w:val="20"/>
        </w:rPr>
        <w:t>transports réussit à faire sa transition écologique</w:t>
      </w:r>
      <w:r w:rsidR="000E4E9E">
        <w:rPr>
          <w:color w:val="00B050"/>
          <w:szCs w:val="20"/>
        </w:rPr>
        <w:t xml:space="preserve">, avec des véhicules automobiles décarbonés.  </w:t>
      </w:r>
    </w:p>
    <w:p w14:paraId="55E29F91" w14:textId="77777777" w:rsidR="000F5160" w:rsidRPr="000F5160" w:rsidRDefault="000F5160" w:rsidP="000F5160">
      <w:pPr>
        <w:jc w:val="both"/>
        <w:rPr>
          <w:color w:val="00B050"/>
          <w:szCs w:val="20"/>
        </w:rPr>
      </w:pPr>
    </w:p>
    <w:p w14:paraId="701CDF0C" w14:textId="7098885C" w:rsidR="000F5160" w:rsidRPr="000F5160" w:rsidRDefault="000E4E9E" w:rsidP="000F5160">
      <w:pPr>
        <w:jc w:val="both"/>
        <w:rPr>
          <w:rFonts w:cs="Arial"/>
          <w:color w:val="00B050"/>
        </w:rPr>
      </w:pPr>
      <w:r>
        <w:rPr>
          <w:rFonts w:cs="Arial"/>
          <w:color w:val="00B050"/>
        </w:rPr>
        <w:t xml:space="preserve">Pour appliquer ces instructions, on a distingué les </w:t>
      </w:r>
      <w:r w:rsidR="000F5160" w:rsidRPr="000F5160">
        <w:rPr>
          <w:rFonts w:cs="Arial"/>
          <w:color w:val="00B050"/>
        </w:rPr>
        <w:t xml:space="preserve">émissions </w:t>
      </w:r>
      <w:r>
        <w:rPr>
          <w:rFonts w:cs="Arial"/>
          <w:color w:val="00B050"/>
        </w:rPr>
        <w:t xml:space="preserve">effectives </w:t>
      </w:r>
      <w:r w:rsidR="000F5160" w:rsidRPr="000F5160">
        <w:rPr>
          <w:rFonts w:cs="Arial"/>
          <w:color w:val="00B050"/>
        </w:rPr>
        <w:t>de CO2 lié</w:t>
      </w:r>
      <w:r>
        <w:rPr>
          <w:rFonts w:cs="Arial"/>
          <w:color w:val="00B050"/>
        </w:rPr>
        <w:t>e</w:t>
      </w:r>
      <w:r w:rsidR="000F5160" w:rsidRPr="000F5160">
        <w:rPr>
          <w:rFonts w:cs="Arial"/>
          <w:color w:val="00B050"/>
        </w:rPr>
        <w:t>s à la construction et à l’exploitation de l’infrastructure (dont </w:t>
      </w:r>
      <w:r w:rsidR="0092016E">
        <w:rPr>
          <w:rFonts w:cs="Arial"/>
          <w:color w:val="00B050"/>
        </w:rPr>
        <w:t xml:space="preserve">les </w:t>
      </w:r>
      <w:r>
        <w:rPr>
          <w:rFonts w:cs="Arial"/>
          <w:color w:val="00B050"/>
        </w:rPr>
        <w:t>é</w:t>
      </w:r>
      <w:r w:rsidR="000F5160" w:rsidRPr="000F5160">
        <w:rPr>
          <w:rFonts w:cs="Arial"/>
          <w:color w:val="00B050"/>
        </w:rPr>
        <w:t xml:space="preserve">tudes/ travaux préalables, </w:t>
      </w:r>
      <w:r w:rsidR="0092016E">
        <w:rPr>
          <w:rFonts w:cs="Arial"/>
          <w:color w:val="00B050"/>
        </w:rPr>
        <w:t xml:space="preserve">la </w:t>
      </w:r>
      <w:r>
        <w:rPr>
          <w:rFonts w:cs="Arial"/>
          <w:color w:val="00B050"/>
        </w:rPr>
        <w:t>c</w:t>
      </w:r>
      <w:r w:rsidR="000F5160" w:rsidRPr="000F5160">
        <w:rPr>
          <w:rFonts w:cs="Arial"/>
          <w:color w:val="00B050"/>
        </w:rPr>
        <w:t>onstruction de l’infrastructure,</w:t>
      </w:r>
      <w:r w:rsidR="0092016E">
        <w:rPr>
          <w:rFonts w:cs="Arial"/>
          <w:color w:val="00B050"/>
        </w:rPr>
        <w:t xml:space="preserve"> le</w:t>
      </w:r>
      <w:r w:rsidR="000F5160" w:rsidRPr="000F5160">
        <w:rPr>
          <w:rFonts w:cs="Arial"/>
          <w:color w:val="00B050"/>
        </w:rPr>
        <w:t xml:space="preserve"> </w:t>
      </w:r>
      <w:r>
        <w:rPr>
          <w:rFonts w:cs="Arial"/>
          <w:color w:val="00B050"/>
        </w:rPr>
        <w:t>f</w:t>
      </w:r>
      <w:r w:rsidR="000F5160" w:rsidRPr="000F5160">
        <w:rPr>
          <w:rFonts w:cs="Arial"/>
          <w:color w:val="00B050"/>
        </w:rPr>
        <w:t>onctionnement de l’infrastructure)</w:t>
      </w:r>
      <w:r>
        <w:rPr>
          <w:rFonts w:cs="Arial"/>
          <w:color w:val="00B050"/>
        </w:rPr>
        <w:t>, calculées directement,</w:t>
      </w:r>
      <w:r w:rsidR="000F5160" w:rsidRPr="000F5160">
        <w:rPr>
          <w:rFonts w:cs="Arial"/>
          <w:color w:val="00B050"/>
        </w:rPr>
        <w:t xml:space="preserve"> et </w:t>
      </w:r>
      <w:r>
        <w:rPr>
          <w:rFonts w:cs="Arial"/>
          <w:color w:val="00B050"/>
        </w:rPr>
        <w:t>les émissions évitées</w:t>
      </w:r>
      <w:r w:rsidR="000F5160" w:rsidRPr="000F5160">
        <w:rPr>
          <w:rFonts w:cs="Arial"/>
          <w:color w:val="00B050"/>
        </w:rPr>
        <w:t xml:space="preserve"> de GES </w:t>
      </w:r>
      <w:r>
        <w:rPr>
          <w:rFonts w:cs="Arial"/>
          <w:color w:val="00B050"/>
        </w:rPr>
        <w:t xml:space="preserve">entraînées par </w:t>
      </w:r>
      <w:r w:rsidRPr="000F5160">
        <w:rPr>
          <w:rFonts w:cs="Arial"/>
          <w:color w:val="00B050"/>
        </w:rPr>
        <w:t xml:space="preserve">la baisse de circulations routières </w:t>
      </w:r>
      <w:r>
        <w:rPr>
          <w:rFonts w:cs="Arial"/>
          <w:color w:val="00B050"/>
        </w:rPr>
        <w:t xml:space="preserve">et </w:t>
      </w:r>
      <w:r w:rsidR="000F5160" w:rsidRPr="000F5160">
        <w:rPr>
          <w:rFonts w:cs="Arial"/>
          <w:color w:val="00B050"/>
        </w:rPr>
        <w:t xml:space="preserve">la réduction de l’étalement urbain et </w:t>
      </w:r>
      <w:r w:rsidR="0092016E">
        <w:rPr>
          <w:rFonts w:cs="Arial"/>
          <w:color w:val="00B050"/>
        </w:rPr>
        <w:t xml:space="preserve">un </w:t>
      </w:r>
      <w:r w:rsidR="000F5160" w:rsidRPr="000F5160">
        <w:rPr>
          <w:rFonts w:cs="Arial"/>
          <w:color w:val="00B050"/>
        </w:rPr>
        <w:t>développement territorial plus compact permis par le GPE.</w:t>
      </w:r>
      <w:r>
        <w:rPr>
          <w:rFonts w:cs="Arial"/>
          <w:color w:val="00B050"/>
        </w:rPr>
        <w:t xml:space="preserve"> </w:t>
      </w:r>
      <w:r w:rsidR="003A3175">
        <w:rPr>
          <w:rFonts w:cs="Arial"/>
          <w:color w:val="00B050"/>
        </w:rPr>
        <w:t xml:space="preserve">Les économies de GES dues au report modal </w:t>
      </w:r>
      <w:r>
        <w:rPr>
          <w:rFonts w:cs="Arial"/>
          <w:color w:val="00B050"/>
        </w:rPr>
        <w:t xml:space="preserve">sont </w:t>
      </w:r>
      <w:r w:rsidR="000F5160" w:rsidRPr="000F5160">
        <w:rPr>
          <w:rFonts w:cs="Arial"/>
          <w:color w:val="00B050"/>
        </w:rPr>
        <w:t>établies à partir de résultats de MODUS à l’horizon 2030. Elles notamment calculées à partir des véhicules.kilomètres évités à travers la prise en compte des valeurs prescrites dans l</w:t>
      </w:r>
      <w:r w:rsidR="00DD12B3">
        <w:rPr>
          <w:rFonts w:cs="Arial"/>
          <w:color w:val="00B050"/>
        </w:rPr>
        <w:t>a</w:t>
      </w:r>
      <w:r w:rsidR="000F5160" w:rsidRPr="000F5160">
        <w:rPr>
          <w:rFonts w:cs="Arial"/>
          <w:color w:val="00B050"/>
        </w:rPr>
        <w:t xml:space="preserve"> fiche outils du 3 mai 2019 (structure du parc roulant, facteurs d’émission des carburants, etc.) et de leur évolution. Les bénéfices de densification ont été calculés sur la base des paramètres existant dans la littérature et des résultats du modèle Urbansim</w:t>
      </w:r>
      <w:r w:rsidR="003A3175">
        <w:rPr>
          <w:rFonts w:cs="Arial"/>
          <w:color w:val="00B050"/>
        </w:rPr>
        <w:t xml:space="preserve"> qui permet d’apprécier la densification de la croissance urbaine induite par la réalisation du Grand Paris Express. </w:t>
      </w:r>
    </w:p>
    <w:p w14:paraId="0362497A" w14:textId="6CA98B95" w:rsidR="00FE747D" w:rsidRDefault="00FE747D" w:rsidP="000F5160">
      <w:pPr>
        <w:jc w:val="both"/>
        <w:rPr>
          <w:rFonts w:cs="Arial"/>
          <w:color w:val="00B050"/>
        </w:rPr>
      </w:pPr>
    </w:p>
    <w:bookmarkEnd w:id="119"/>
    <w:p w14:paraId="5904A579" w14:textId="77777777" w:rsidR="000F5160" w:rsidRPr="00DD12B3" w:rsidRDefault="000F5160" w:rsidP="000F5160">
      <w:pPr>
        <w:rPr>
          <w:rFonts w:cs="Arial"/>
          <w:b/>
          <w:bCs/>
          <w:color w:val="00B050"/>
        </w:rPr>
      </w:pPr>
      <w:r w:rsidRPr="00DD12B3">
        <w:rPr>
          <w:b/>
          <w:bCs/>
          <w:color w:val="00B050"/>
        </w:rPr>
        <w:t>Emissions de CO² induites (+) ou évitées (-) grâce au GPE</w:t>
      </w:r>
    </w:p>
    <w:p w14:paraId="224CFF4E" w14:textId="77777777" w:rsidR="000F5160" w:rsidRPr="000F5160" w:rsidRDefault="000F5160" w:rsidP="000F5160">
      <w:pPr>
        <w:pStyle w:val="Lgende"/>
        <w:numPr>
          <w:ilvl w:val="0"/>
          <w:numId w:val="0"/>
        </w:numPr>
        <w:spacing w:before="0"/>
        <w:ind w:left="360"/>
        <w:jc w:val="left"/>
        <w:rPr>
          <w:rFonts w:cs="Arial"/>
          <w:color w:val="00B050"/>
          <w:sz w:val="22"/>
        </w:rPr>
      </w:pPr>
      <w:r w:rsidRPr="000F5160">
        <w:rPr>
          <w:rFonts w:cs="Arial"/>
          <w:noProof/>
          <w:color w:val="00B050"/>
        </w:rPr>
        <w:drawing>
          <wp:inline distT="0" distB="0" distL="0" distR="0" wp14:anchorId="520FE98C" wp14:editId="477F8397">
            <wp:extent cx="6243554" cy="2590800"/>
            <wp:effectExtent l="0" t="0" r="508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BEBA8EAE-BF5A-486C-A8C5-ECC9F3942E4B}">
                          <a14:imgProps xmlns:a14="http://schemas.microsoft.com/office/drawing/2010/main">
                            <a14:imgLayer r:embed="rId53">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251379" cy="2594047"/>
                    </a:xfrm>
                    <a:prstGeom prst="rect">
                      <a:avLst/>
                    </a:prstGeom>
                    <a:noFill/>
                  </pic:spPr>
                </pic:pic>
              </a:graphicData>
            </a:graphic>
          </wp:inline>
        </w:drawing>
      </w:r>
    </w:p>
    <w:p w14:paraId="7EEB1FD6" w14:textId="77777777" w:rsidR="000F5160" w:rsidRPr="000F5160" w:rsidRDefault="000F5160" w:rsidP="000F5160">
      <w:pPr>
        <w:rPr>
          <w:rFonts w:cs="Arial"/>
          <w:color w:val="00B050"/>
        </w:rPr>
      </w:pPr>
    </w:p>
    <w:p w14:paraId="1D31400B" w14:textId="49BECA1B" w:rsidR="000F5160" w:rsidRPr="000F5160" w:rsidRDefault="000F5160" w:rsidP="000F5160">
      <w:pPr>
        <w:rPr>
          <w:rFonts w:cs="Arial"/>
          <w:color w:val="00B050"/>
        </w:rPr>
      </w:pPr>
      <w:r w:rsidRPr="000F5160">
        <w:rPr>
          <w:rFonts w:cs="Arial"/>
          <w:color w:val="00B050"/>
        </w:rPr>
        <w:t xml:space="preserve">Le tableau ci-dessous récapitule </w:t>
      </w:r>
      <w:r w:rsidR="00DD12B3" w:rsidRPr="000F5160">
        <w:rPr>
          <w:rFonts w:cs="Arial"/>
          <w:color w:val="00B050"/>
        </w:rPr>
        <w:t xml:space="preserve">les émissions induites et évitées </w:t>
      </w:r>
      <w:r w:rsidR="00DD12B3">
        <w:rPr>
          <w:rFonts w:cs="Arial"/>
          <w:color w:val="00B050"/>
        </w:rPr>
        <w:t>par le</w:t>
      </w:r>
      <w:r w:rsidR="00DD12B3" w:rsidRPr="000F5160">
        <w:rPr>
          <w:rFonts w:cs="Arial"/>
          <w:color w:val="00B050"/>
        </w:rPr>
        <w:t xml:space="preserve"> proj</w:t>
      </w:r>
      <w:r w:rsidR="00DD12B3">
        <w:rPr>
          <w:rFonts w:cs="Arial"/>
          <w:color w:val="00B050"/>
        </w:rPr>
        <w:t xml:space="preserve">et, </w:t>
      </w:r>
      <w:r w:rsidRPr="000F5160">
        <w:rPr>
          <w:rFonts w:cs="Arial"/>
          <w:color w:val="00B050"/>
        </w:rPr>
        <w:t xml:space="preserve">par grand type d’effet. </w:t>
      </w:r>
    </w:p>
    <w:p w14:paraId="05729DAC" w14:textId="4E7D6CD8" w:rsidR="000F5160" w:rsidRDefault="000F5160" w:rsidP="000F5160">
      <w:pPr>
        <w:pStyle w:val="Lgende"/>
        <w:numPr>
          <w:ilvl w:val="0"/>
          <w:numId w:val="0"/>
        </w:numPr>
        <w:spacing w:before="0"/>
        <w:ind w:left="360"/>
        <w:jc w:val="left"/>
        <w:rPr>
          <w:color w:val="00B050"/>
        </w:rPr>
      </w:pPr>
    </w:p>
    <w:p w14:paraId="3CC57FD9" w14:textId="7FC67874" w:rsidR="0092016E" w:rsidRDefault="0092016E" w:rsidP="0092016E"/>
    <w:p w14:paraId="7C07E50F" w14:textId="6A705E57" w:rsidR="0092016E" w:rsidRDefault="0092016E" w:rsidP="0092016E"/>
    <w:p w14:paraId="73E00EC3" w14:textId="75A342E7" w:rsidR="00082018" w:rsidRDefault="00082018" w:rsidP="0092016E"/>
    <w:p w14:paraId="134A7FB2" w14:textId="77777777" w:rsidR="00082018" w:rsidRDefault="00082018" w:rsidP="0092016E"/>
    <w:p w14:paraId="66B4E5D7" w14:textId="77777777" w:rsidR="0092016E" w:rsidRPr="0092016E" w:rsidRDefault="0092016E" w:rsidP="0092016E"/>
    <w:p w14:paraId="35CB8BC1" w14:textId="23D12370" w:rsidR="000F5160" w:rsidRPr="00891659" w:rsidRDefault="000F5160" w:rsidP="00F46F9A">
      <w:pPr>
        <w:pStyle w:val="Lgende"/>
        <w:numPr>
          <w:ilvl w:val="0"/>
          <w:numId w:val="0"/>
        </w:numPr>
        <w:spacing w:before="0"/>
        <w:jc w:val="left"/>
        <w:rPr>
          <w:b/>
          <w:bCs w:val="0"/>
          <w:color w:val="00B050"/>
          <w:sz w:val="18"/>
          <w:szCs w:val="18"/>
        </w:rPr>
      </w:pPr>
      <w:r w:rsidRPr="00891659">
        <w:rPr>
          <w:b/>
          <w:bCs w:val="0"/>
          <w:color w:val="00B050"/>
          <w:sz w:val="18"/>
          <w:szCs w:val="18"/>
        </w:rPr>
        <w:t xml:space="preserve">Émissions totales cumulées induites (+) ou évitées (-) grâce au projet aux horizons 2030, et 2050 </w:t>
      </w:r>
    </w:p>
    <w:tbl>
      <w:tblPr>
        <w:tblW w:w="850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03"/>
        <w:gridCol w:w="1701"/>
        <w:gridCol w:w="1701"/>
      </w:tblGrid>
      <w:tr w:rsidR="00F46F9A" w:rsidRPr="00F46F9A" w14:paraId="1EFA17DB" w14:textId="77777777" w:rsidTr="00891659">
        <w:trPr>
          <w:trHeight w:val="170"/>
        </w:trPr>
        <w:tc>
          <w:tcPr>
            <w:tcW w:w="5103" w:type="dxa"/>
            <w:shd w:val="clear" w:color="auto" w:fill="auto"/>
            <w:noWrap/>
            <w:vAlign w:val="center"/>
            <w:hideMark/>
          </w:tcPr>
          <w:p w14:paraId="37B28437" w14:textId="77777777" w:rsidR="00F46F9A" w:rsidRPr="00F46F9A" w:rsidRDefault="00F46F9A" w:rsidP="00891659">
            <w:pPr>
              <w:rPr>
                <w:rFonts w:eastAsia="Times New Roman" w:cs="Calibri"/>
                <w:b/>
                <w:bCs/>
                <w:i/>
                <w:iCs/>
                <w:color w:val="00B050"/>
                <w:szCs w:val="20"/>
                <w:lang w:eastAsia="fr-FR"/>
              </w:rPr>
            </w:pPr>
            <w:r w:rsidRPr="00F46F9A">
              <w:rPr>
                <w:rFonts w:eastAsia="Times New Roman" w:cs="Calibri"/>
                <w:b/>
                <w:bCs/>
                <w:i/>
                <w:iCs/>
                <w:color w:val="00B050"/>
                <w:szCs w:val="20"/>
                <w:lang w:eastAsia="fr-FR"/>
              </w:rPr>
              <w:t>Emissions cumulées (teqCO2)</w:t>
            </w:r>
          </w:p>
        </w:tc>
        <w:tc>
          <w:tcPr>
            <w:tcW w:w="1701" w:type="dxa"/>
            <w:shd w:val="clear" w:color="auto" w:fill="auto"/>
            <w:noWrap/>
            <w:vAlign w:val="center"/>
            <w:hideMark/>
          </w:tcPr>
          <w:p w14:paraId="5686F3C4" w14:textId="77777777" w:rsidR="00F46F9A" w:rsidRPr="00F46F9A" w:rsidRDefault="00F46F9A" w:rsidP="00891659">
            <w:pPr>
              <w:jc w:val="right"/>
              <w:rPr>
                <w:rFonts w:eastAsia="Times New Roman" w:cs="Calibri"/>
                <w:i/>
                <w:iCs/>
                <w:color w:val="00B050"/>
                <w:szCs w:val="20"/>
                <w:lang w:eastAsia="fr-FR"/>
              </w:rPr>
            </w:pPr>
            <w:r w:rsidRPr="00F46F9A">
              <w:rPr>
                <w:rFonts w:eastAsia="Times New Roman" w:cs="Calibri"/>
                <w:i/>
                <w:iCs/>
                <w:color w:val="00B050"/>
                <w:szCs w:val="20"/>
                <w:lang w:eastAsia="fr-FR"/>
              </w:rPr>
              <w:t>jusqu'à 2030</w:t>
            </w:r>
          </w:p>
        </w:tc>
        <w:tc>
          <w:tcPr>
            <w:tcW w:w="1701" w:type="dxa"/>
            <w:shd w:val="clear" w:color="auto" w:fill="auto"/>
            <w:noWrap/>
            <w:vAlign w:val="center"/>
            <w:hideMark/>
          </w:tcPr>
          <w:p w14:paraId="1242927A" w14:textId="77777777" w:rsidR="00F46F9A" w:rsidRPr="00F46F9A" w:rsidRDefault="00F46F9A" w:rsidP="00891659">
            <w:pPr>
              <w:jc w:val="right"/>
              <w:rPr>
                <w:rFonts w:eastAsia="Times New Roman" w:cs="Calibri"/>
                <w:i/>
                <w:iCs/>
                <w:color w:val="00B050"/>
                <w:szCs w:val="20"/>
                <w:lang w:eastAsia="fr-FR"/>
              </w:rPr>
            </w:pPr>
            <w:r w:rsidRPr="00F46F9A">
              <w:rPr>
                <w:rFonts w:eastAsia="Times New Roman" w:cs="Calibri"/>
                <w:i/>
                <w:iCs/>
                <w:color w:val="00B050"/>
                <w:szCs w:val="20"/>
                <w:lang w:eastAsia="fr-FR"/>
              </w:rPr>
              <w:t>jusqu'à 2050</w:t>
            </w:r>
          </w:p>
        </w:tc>
      </w:tr>
      <w:tr w:rsidR="00F46F9A" w:rsidRPr="00F46F9A" w14:paraId="7FB89DE9" w14:textId="77777777" w:rsidTr="00891659">
        <w:trPr>
          <w:trHeight w:val="170"/>
        </w:trPr>
        <w:tc>
          <w:tcPr>
            <w:tcW w:w="5103" w:type="dxa"/>
            <w:shd w:val="clear" w:color="auto" w:fill="auto"/>
            <w:noWrap/>
            <w:vAlign w:val="center"/>
            <w:hideMark/>
          </w:tcPr>
          <w:p w14:paraId="7B71F59C" w14:textId="193D2C36" w:rsidR="00F46F9A" w:rsidRPr="00F46F9A" w:rsidRDefault="00F46F9A" w:rsidP="00891659">
            <w:pPr>
              <w:rPr>
                <w:rFonts w:eastAsia="Times New Roman" w:cs="Calibri"/>
                <w:b/>
                <w:bCs/>
                <w:color w:val="00B050"/>
                <w:szCs w:val="20"/>
                <w:lang w:eastAsia="fr-FR"/>
              </w:rPr>
            </w:pPr>
            <w:r w:rsidRPr="00F46F9A">
              <w:rPr>
                <w:rFonts w:eastAsia="Times New Roman" w:cs="Calibri"/>
                <w:b/>
                <w:bCs/>
                <w:color w:val="00B050"/>
                <w:szCs w:val="20"/>
                <w:lang w:eastAsia="fr-FR"/>
              </w:rPr>
              <w:t>Emissions brutes (chantier</w:t>
            </w:r>
            <w:r w:rsidRPr="00891659">
              <w:rPr>
                <w:rFonts w:eastAsia="Times New Roman" w:cs="Calibri"/>
                <w:b/>
                <w:bCs/>
                <w:color w:val="00B050"/>
                <w:szCs w:val="20"/>
                <w:lang w:eastAsia="fr-FR"/>
              </w:rPr>
              <w:t xml:space="preserve"> et</w:t>
            </w:r>
            <w:r w:rsidRPr="00F46F9A">
              <w:rPr>
                <w:rFonts w:eastAsia="Times New Roman" w:cs="Calibri"/>
                <w:b/>
                <w:bCs/>
                <w:color w:val="00B050"/>
                <w:szCs w:val="20"/>
                <w:lang w:eastAsia="fr-FR"/>
              </w:rPr>
              <w:t xml:space="preserve"> exploitation)</w:t>
            </w:r>
          </w:p>
        </w:tc>
        <w:tc>
          <w:tcPr>
            <w:tcW w:w="1701" w:type="dxa"/>
            <w:shd w:val="clear" w:color="auto" w:fill="auto"/>
            <w:noWrap/>
            <w:vAlign w:val="center"/>
            <w:hideMark/>
          </w:tcPr>
          <w:p w14:paraId="5DE865B2" w14:textId="303BED7A" w:rsidR="00F46F9A" w:rsidRPr="00F46F9A" w:rsidRDefault="00F46F9A" w:rsidP="00891659">
            <w:pPr>
              <w:jc w:val="right"/>
              <w:rPr>
                <w:rFonts w:eastAsia="Times New Roman" w:cs="Calibri"/>
                <w:b/>
                <w:bCs/>
                <w:color w:val="00B050"/>
                <w:szCs w:val="20"/>
                <w:lang w:eastAsia="fr-FR"/>
              </w:rPr>
            </w:pPr>
            <w:r w:rsidRPr="00F46F9A">
              <w:rPr>
                <w:rFonts w:eastAsia="Times New Roman" w:cs="Calibri"/>
                <w:b/>
                <w:bCs/>
                <w:color w:val="00B050"/>
                <w:szCs w:val="20"/>
                <w:lang w:eastAsia="fr-FR"/>
              </w:rPr>
              <w:t xml:space="preserve">    5 723 947 </w:t>
            </w:r>
          </w:p>
        </w:tc>
        <w:tc>
          <w:tcPr>
            <w:tcW w:w="1701" w:type="dxa"/>
            <w:shd w:val="clear" w:color="auto" w:fill="auto"/>
            <w:noWrap/>
            <w:vAlign w:val="center"/>
            <w:hideMark/>
          </w:tcPr>
          <w:p w14:paraId="3792399A" w14:textId="4A70516B" w:rsidR="00F46F9A" w:rsidRPr="00F46F9A" w:rsidRDefault="00F46F9A" w:rsidP="00891659">
            <w:pPr>
              <w:jc w:val="right"/>
              <w:rPr>
                <w:rFonts w:eastAsia="Times New Roman" w:cs="Calibri"/>
                <w:b/>
                <w:bCs/>
                <w:color w:val="00B050"/>
                <w:szCs w:val="20"/>
                <w:lang w:eastAsia="fr-FR"/>
              </w:rPr>
            </w:pPr>
            <w:r w:rsidRPr="00F46F9A">
              <w:rPr>
                <w:rFonts w:eastAsia="Times New Roman" w:cs="Calibri"/>
                <w:b/>
                <w:bCs/>
                <w:color w:val="00B050"/>
                <w:szCs w:val="20"/>
                <w:lang w:eastAsia="fr-FR"/>
              </w:rPr>
              <w:t xml:space="preserve">     6 658 677 </w:t>
            </w:r>
          </w:p>
        </w:tc>
      </w:tr>
      <w:tr w:rsidR="00F46F9A" w:rsidRPr="00F46F9A" w14:paraId="049FCEB5" w14:textId="77777777" w:rsidTr="00891659">
        <w:trPr>
          <w:trHeight w:val="170"/>
        </w:trPr>
        <w:tc>
          <w:tcPr>
            <w:tcW w:w="5103" w:type="dxa"/>
            <w:shd w:val="clear" w:color="auto" w:fill="auto"/>
            <w:noWrap/>
            <w:vAlign w:val="center"/>
            <w:hideMark/>
          </w:tcPr>
          <w:p w14:paraId="688EF318" w14:textId="4442C5F2" w:rsidR="00F46F9A" w:rsidRPr="00F46F9A" w:rsidRDefault="00F46F9A" w:rsidP="00891659">
            <w:pPr>
              <w:rPr>
                <w:rFonts w:eastAsia="Times New Roman" w:cs="Calibri"/>
                <w:b/>
                <w:bCs/>
                <w:color w:val="00B050"/>
                <w:szCs w:val="20"/>
                <w:lang w:eastAsia="fr-FR"/>
              </w:rPr>
            </w:pPr>
            <w:r w:rsidRPr="00F46F9A">
              <w:rPr>
                <w:rFonts w:eastAsia="Times New Roman" w:cs="Calibri"/>
                <w:b/>
                <w:bCs/>
                <w:color w:val="00B050"/>
                <w:szCs w:val="20"/>
                <w:lang w:eastAsia="fr-FR"/>
              </w:rPr>
              <w:t xml:space="preserve">Economies (report modal </w:t>
            </w:r>
            <w:r w:rsidRPr="00891659">
              <w:rPr>
                <w:rFonts w:eastAsia="Times New Roman" w:cs="Calibri"/>
                <w:b/>
                <w:bCs/>
                <w:color w:val="00B050"/>
                <w:szCs w:val="20"/>
                <w:lang w:eastAsia="fr-FR"/>
              </w:rPr>
              <w:t xml:space="preserve">et </w:t>
            </w:r>
            <w:r w:rsidRPr="00F46F9A">
              <w:rPr>
                <w:rFonts w:eastAsia="Times New Roman" w:cs="Calibri"/>
                <w:b/>
                <w:bCs/>
                <w:color w:val="00B050"/>
                <w:szCs w:val="20"/>
                <w:lang w:eastAsia="fr-FR"/>
              </w:rPr>
              <w:t>densification)</w:t>
            </w:r>
          </w:p>
        </w:tc>
        <w:tc>
          <w:tcPr>
            <w:tcW w:w="1701" w:type="dxa"/>
            <w:shd w:val="clear" w:color="auto" w:fill="auto"/>
            <w:noWrap/>
            <w:vAlign w:val="center"/>
            <w:hideMark/>
          </w:tcPr>
          <w:p w14:paraId="4F10DEDF" w14:textId="061235D8" w:rsidR="00F46F9A" w:rsidRPr="0092016E" w:rsidRDefault="00891659" w:rsidP="00891659">
            <w:pPr>
              <w:jc w:val="right"/>
              <w:rPr>
                <w:rFonts w:eastAsia="Times New Roman" w:cs="Calibri"/>
                <w:b/>
                <w:bCs/>
                <w:color w:val="00B050"/>
                <w:szCs w:val="20"/>
                <w:lang w:eastAsia="fr-FR"/>
              </w:rPr>
            </w:pPr>
            <w:r w:rsidRPr="0092016E">
              <w:rPr>
                <w:rFonts w:eastAsia="Times New Roman" w:cs="Calibri"/>
                <w:b/>
                <w:bCs/>
                <w:color w:val="00B050"/>
                <w:szCs w:val="20"/>
                <w:lang w:eastAsia="fr-FR"/>
              </w:rPr>
              <w:t>-</w:t>
            </w:r>
            <w:r w:rsidR="00F46F9A" w:rsidRPr="0092016E">
              <w:rPr>
                <w:rFonts w:eastAsia="Times New Roman" w:cs="Calibri"/>
                <w:b/>
                <w:bCs/>
                <w:color w:val="00B050"/>
                <w:szCs w:val="20"/>
                <w:lang w:eastAsia="fr-FR"/>
              </w:rPr>
              <w:t xml:space="preserve"> 2 906 483 </w:t>
            </w:r>
          </w:p>
        </w:tc>
        <w:tc>
          <w:tcPr>
            <w:tcW w:w="1701" w:type="dxa"/>
            <w:shd w:val="clear" w:color="auto" w:fill="auto"/>
            <w:noWrap/>
            <w:vAlign w:val="center"/>
            <w:hideMark/>
          </w:tcPr>
          <w:p w14:paraId="5542F437" w14:textId="51F05029" w:rsidR="00F46F9A" w:rsidRPr="0092016E" w:rsidRDefault="00891659" w:rsidP="00891659">
            <w:pPr>
              <w:jc w:val="right"/>
              <w:rPr>
                <w:rFonts w:eastAsia="Times New Roman" w:cs="Calibri"/>
                <w:b/>
                <w:bCs/>
                <w:color w:val="00B050"/>
                <w:szCs w:val="20"/>
                <w:lang w:eastAsia="fr-FR"/>
              </w:rPr>
            </w:pPr>
            <w:r w:rsidRPr="0092016E">
              <w:rPr>
                <w:rFonts w:eastAsia="Times New Roman" w:cs="Calibri"/>
                <w:b/>
                <w:bCs/>
                <w:color w:val="00B050"/>
                <w:szCs w:val="20"/>
                <w:lang w:eastAsia="fr-FR"/>
              </w:rPr>
              <w:t>-</w:t>
            </w:r>
            <w:r w:rsidR="00F46F9A" w:rsidRPr="0092016E">
              <w:rPr>
                <w:rFonts w:eastAsia="Times New Roman" w:cs="Calibri"/>
                <w:b/>
                <w:bCs/>
                <w:color w:val="00B050"/>
                <w:szCs w:val="20"/>
                <w:lang w:eastAsia="fr-FR"/>
              </w:rPr>
              <w:t xml:space="preserve"> 6 657 795 </w:t>
            </w:r>
          </w:p>
        </w:tc>
      </w:tr>
      <w:tr w:rsidR="00F46F9A" w:rsidRPr="00F46F9A" w14:paraId="44E23B22" w14:textId="77777777" w:rsidTr="00891659">
        <w:trPr>
          <w:trHeight w:val="170"/>
        </w:trPr>
        <w:tc>
          <w:tcPr>
            <w:tcW w:w="5103" w:type="dxa"/>
            <w:shd w:val="clear" w:color="auto" w:fill="auto"/>
            <w:noWrap/>
            <w:vAlign w:val="center"/>
            <w:hideMark/>
          </w:tcPr>
          <w:p w14:paraId="01C99860" w14:textId="77777777" w:rsidR="00F46F9A" w:rsidRPr="00F46F9A" w:rsidRDefault="00F46F9A" w:rsidP="00891659">
            <w:pPr>
              <w:rPr>
                <w:rFonts w:eastAsia="Times New Roman" w:cs="Calibri"/>
                <w:color w:val="00B050"/>
                <w:szCs w:val="20"/>
                <w:lang w:eastAsia="fr-FR"/>
              </w:rPr>
            </w:pPr>
            <w:r w:rsidRPr="00F46F9A">
              <w:rPr>
                <w:rFonts w:eastAsia="Times New Roman" w:cs="Calibri"/>
                <w:color w:val="00B050"/>
                <w:szCs w:val="20"/>
                <w:lang w:eastAsia="fr-FR"/>
              </w:rPr>
              <w:t>- dont report modal</w:t>
            </w:r>
          </w:p>
        </w:tc>
        <w:tc>
          <w:tcPr>
            <w:tcW w:w="1701" w:type="dxa"/>
            <w:shd w:val="clear" w:color="auto" w:fill="auto"/>
            <w:noWrap/>
            <w:vAlign w:val="center"/>
            <w:hideMark/>
          </w:tcPr>
          <w:p w14:paraId="2DE74B35" w14:textId="03A84EC1" w:rsidR="00F46F9A" w:rsidRPr="00F46F9A" w:rsidRDefault="00F46F9A" w:rsidP="00891659">
            <w:pPr>
              <w:jc w:val="right"/>
              <w:rPr>
                <w:rFonts w:eastAsia="Times New Roman" w:cs="Calibri"/>
                <w:color w:val="00B050"/>
                <w:szCs w:val="20"/>
                <w:lang w:eastAsia="fr-FR"/>
              </w:rPr>
            </w:pPr>
            <w:r w:rsidRPr="00F46F9A">
              <w:rPr>
                <w:rFonts w:eastAsia="Times New Roman" w:cs="Calibri"/>
                <w:color w:val="00B050"/>
                <w:szCs w:val="20"/>
                <w:lang w:eastAsia="fr-FR"/>
              </w:rPr>
              <w:t xml:space="preserve">      </w:t>
            </w:r>
            <w:r w:rsidR="00891659" w:rsidRPr="00891659">
              <w:rPr>
                <w:rFonts w:eastAsia="Times New Roman" w:cs="Calibri"/>
                <w:color w:val="00B050"/>
                <w:szCs w:val="20"/>
                <w:lang w:eastAsia="fr-FR"/>
              </w:rPr>
              <w:t>-</w:t>
            </w:r>
            <w:r w:rsidRPr="00F46F9A">
              <w:rPr>
                <w:rFonts w:eastAsia="Times New Roman" w:cs="Calibri"/>
                <w:color w:val="00B050"/>
                <w:szCs w:val="20"/>
                <w:lang w:eastAsia="fr-FR"/>
              </w:rPr>
              <w:t xml:space="preserve">189 653 </w:t>
            </w:r>
          </w:p>
        </w:tc>
        <w:tc>
          <w:tcPr>
            <w:tcW w:w="1701" w:type="dxa"/>
            <w:shd w:val="clear" w:color="auto" w:fill="auto"/>
            <w:noWrap/>
            <w:vAlign w:val="center"/>
            <w:hideMark/>
          </w:tcPr>
          <w:p w14:paraId="1D3CE9CE" w14:textId="0B400A04" w:rsidR="00F46F9A" w:rsidRPr="00F46F9A" w:rsidRDefault="00F46F9A" w:rsidP="00891659">
            <w:pPr>
              <w:jc w:val="right"/>
              <w:rPr>
                <w:rFonts w:eastAsia="Times New Roman" w:cs="Calibri"/>
                <w:color w:val="00B050"/>
                <w:szCs w:val="20"/>
                <w:lang w:eastAsia="fr-FR"/>
              </w:rPr>
            </w:pPr>
            <w:r w:rsidRPr="00F46F9A">
              <w:rPr>
                <w:rFonts w:eastAsia="Times New Roman" w:cs="Calibri"/>
                <w:color w:val="00B050"/>
                <w:szCs w:val="20"/>
                <w:lang w:eastAsia="fr-FR"/>
              </w:rPr>
              <w:t xml:space="preserve">    </w:t>
            </w:r>
            <w:r w:rsidR="00891659" w:rsidRPr="00891659">
              <w:rPr>
                <w:rFonts w:eastAsia="Times New Roman" w:cs="Calibri"/>
                <w:color w:val="00B050"/>
                <w:szCs w:val="20"/>
                <w:lang w:eastAsia="fr-FR"/>
              </w:rPr>
              <w:t>-</w:t>
            </w:r>
            <w:r w:rsidRPr="00F46F9A">
              <w:rPr>
                <w:rFonts w:eastAsia="Times New Roman" w:cs="Calibri"/>
                <w:color w:val="00B050"/>
                <w:szCs w:val="20"/>
                <w:lang w:eastAsia="fr-FR"/>
              </w:rPr>
              <w:t xml:space="preserve"> 484 319 </w:t>
            </w:r>
          </w:p>
        </w:tc>
      </w:tr>
      <w:tr w:rsidR="00F46F9A" w:rsidRPr="00F46F9A" w14:paraId="454F8ED4" w14:textId="77777777" w:rsidTr="00891659">
        <w:trPr>
          <w:trHeight w:val="170"/>
        </w:trPr>
        <w:tc>
          <w:tcPr>
            <w:tcW w:w="5103" w:type="dxa"/>
            <w:shd w:val="clear" w:color="auto" w:fill="auto"/>
            <w:noWrap/>
            <w:vAlign w:val="center"/>
            <w:hideMark/>
          </w:tcPr>
          <w:p w14:paraId="36036324" w14:textId="77777777" w:rsidR="00F46F9A" w:rsidRPr="00F46F9A" w:rsidRDefault="00F46F9A" w:rsidP="00891659">
            <w:pPr>
              <w:rPr>
                <w:rFonts w:eastAsia="Times New Roman" w:cs="Calibri"/>
                <w:color w:val="00B050"/>
                <w:szCs w:val="20"/>
                <w:lang w:eastAsia="fr-FR"/>
              </w:rPr>
            </w:pPr>
            <w:r w:rsidRPr="00F46F9A">
              <w:rPr>
                <w:rFonts w:eastAsia="Times New Roman" w:cs="Calibri"/>
                <w:color w:val="00B050"/>
                <w:szCs w:val="20"/>
                <w:lang w:eastAsia="fr-FR"/>
              </w:rPr>
              <w:t>- dont densification urbaine</w:t>
            </w:r>
          </w:p>
        </w:tc>
        <w:tc>
          <w:tcPr>
            <w:tcW w:w="1701" w:type="dxa"/>
            <w:shd w:val="clear" w:color="auto" w:fill="auto"/>
            <w:noWrap/>
            <w:vAlign w:val="center"/>
            <w:hideMark/>
          </w:tcPr>
          <w:p w14:paraId="3AFF231C" w14:textId="7848B1CE" w:rsidR="00F46F9A" w:rsidRPr="00F46F9A" w:rsidRDefault="00F46F9A" w:rsidP="00891659">
            <w:pPr>
              <w:jc w:val="right"/>
              <w:rPr>
                <w:rFonts w:eastAsia="Times New Roman" w:cs="Calibri"/>
                <w:color w:val="00B050"/>
                <w:szCs w:val="20"/>
                <w:lang w:eastAsia="fr-FR"/>
              </w:rPr>
            </w:pPr>
            <w:r w:rsidRPr="00F46F9A">
              <w:rPr>
                <w:rFonts w:eastAsia="Times New Roman" w:cs="Calibri"/>
                <w:color w:val="00B050"/>
                <w:szCs w:val="20"/>
                <w:lang w:eastAsia="fr-FR"/>
              </w:rPr>
              <w:t xml:space="preserve">  </w:t>
            </w:r>
            <w:r w:rsidR="00891659" w:rsidRPr="00891659">
              <w:rPr>
                <w:rFonts w:eastAsia="Times New Roman" w:cs="Calibri"/>
                <w:color w:val="00B050"/>
                <w:szCs w:val="20"/>
                <w:lang w:eastAsia="fr-FR"/>
              </w:rPr>
              <w:t>-</w:t>
            </w:r>
            <w:r w:rsidRPr="00F46F9A">
              <w:rPr>
                <w:rFonts w:eastAsia="Times New Roman" w:cs="Calibri"/>
                <w:color w:val="00B050"/>
                <w:szCs w:val="20"/>
                <w:lang w:eastAsia="fr-FR"/>
              </w:rPr>
              <w:t xml:space="preserve"> 2 716 830 </w:t>
            </w:r>
          </w:p>
        </w:tc>
        <w:tc>
          <w:tcPr>
            <w:tcW w:w="1701" w:type="dxa"/>
            <w:shd w:val="clear" w:color="auto" w:fill="auto"/>
            <w:noWrap/>
            <w:vAlign w:val="center"/>
            <w:hideMark/>
          </w:tcPr>
          <w:p w14:paraId="68F2CA80" w14:textId="17DA2812" w:rsidR="00F46F9A" w:rsidRPr="00F46F9A" w:rsidRDefault="00F46F9A" w:rsidP="00891659">
            <w:pPr>
              <w:jc w:val="right"/>
              <w:rPr>
                <w:rFonts w:eastAsia="Times New Roman" w:cs="Calibri"/>
                <w:color w:val="00B050"/>
                <w:szCs w:val="20"/>
                <w:lang w:eastAsia="fr-FR"/>
              </w:rPr>
            </w:pPr>
            <w:r w:rsidRPr="00F46F9A">
              <w:rPr>
                <w:rFonts w:eastAsia="Times New Roman" w:cs="Calibri"/>
                <w:color w:val="00B050"/>
                <w:szCs w:val="20"/>
                <w:lang w:eastAsia="fr-FR"/>
              </w:rPr>
              <w:t xml:space="preserve">  </w:t>
            </w:r>
            <w:r w:rsidR="00891659" w:rsidRPr="00891659">
              <w:rPr>
                <w:rFonts w:eastAsia="Times New Roman" w:cs="Calibri"/>
                <w:color w:val="00B050"/>
                <w:szCs w:val="20"/>
                <w:lang w:eastAsia="fr-FR"/>
              </w:rPr>
              <w:t xml:space="preserve">- </w:t>
            </w:r>
            <w:r w:rsidRPr="00F46F9A">
              <w:rPr>
                <w:rFonts w:eastAsia="Times New Roman" w:cs="Calibri"/>
                <w:color w:val="00B050"/>
                <w:szCs w:val="20"/>
                <w:lang w:eastAsia="fr-FR"/>
              </w:rPr>
              <w:t xml:space="preserve">6 173 475 </w:t>
            </w:r>
          </w:p>
        </w:tc>
      </w:tr>
      <w:tr w:rsidR="00F46F9A" w:rsidRPr="00F46F9A" w14:paraId="644CD56D" w14:textId="77777777" w:rsidTr="00891659">
        <w:trPr>
          <w:trHeight w:val="170"/>
        </w:trPr>
        <w:tc>
          <w:tcPr>
            <w:tcW w:w="5103" w:type="dxa"/>
            <w:shd w:val="clear" w:color="auto" w:fill="auto"/>
            <w:noWrap/>
            <w:vAlign w:val="center"/>
            <w:hideMark/>
          </w:tcPr>
          <w:p w14:paraId="18273E4C" w14:textId="77777777" w:rsidR="00F46F9A" w:rsidRPr="00F46F9A" w:rsidRDefault="00F46F9A" w:rsidP="00891659">
            <w:pPr>
              <w:rPr>
                <w:rFonts w:eastAsia="Times New Roman" w:cs="Calibri"/>
                <w:b/>
                <w:bCs/>
                <w:color w:val="00B050"/>
                <w:szCs w:val="20"/>
                <w:lang w:eastAsia="fr-FR"/>
              </w:rPr>
            </w:pPr>
            <w:r w:rsidRPr="00F46F9A">
              <w:rPr>
                <w:rFonts w:eastAsia="Times New Roman" w:cs="Calibri"/>
                <w:b/>
                <w:bCs/>
                <w:color w:val="00B050"/>
                <w:szCs w:val="20"/>
                <w:lang w:eastAsia="fr-FR"/>
              </w:rPr>
              <w:t>Total</w:t>
            </w:r>
          </w:p>
        </w:tc>
        <w:tc>
          <w:tcPr>
            <w:tcW w:w="1701" w:type="dxa"/>
            <w:shd w:val="clear" w:color="auto" w:fill="auto"/>
            <w:noWrap/>
            <w:vAlign w:val="center"/>
            <w:hideMark/>
          </w:tcPr>
          <w:p w14:paraId="348DB6F0" w14:textId="6A33278C" w:rsidR="00F46F9A" w:rsidRPr="00F46F9A" w:rsidRDefault="00F46F9A" w:rsidP="00891659">
            <w:pPr>
              <w:jc w:val="right"/>
              <w:rPr>
                <w:rFonts w:eastAsia="Times New Roman" w:cs="Calibri"/>
                <w:b/>
                <w:bCs/>
                <w:color w:val="00B050"/>
                <w:szCs w:val="20"/>
                <w:lang w:eastAsia="fr-FR"/>
              </w:rPr>
            </w:pPr>
            <w:r w:rsidRPr="00F46F9A">
              <w:rPr>
                <w:rFonts w:eastAsia="Times New Roman" w:cs="Calibri"/>
                <w:b/>
                <w:bCs/>
                <w:color w:val="00B050"/>
                <w:szCs w:val="20"/>
                <w:lang w:eastAsia="fr-FR"/>
              </w:rPr>
              <w:t xml:space="preserve">2 817 463 </w:t>
            </w:r>
          </w:p>
        </w:tc>
        <w:tc>
          <w:tcPr>
            <w:tcW w:w="1701" w:type="dxa"/>
            <w:shd w:val="clear" w:color="auto" w:fill="auto"/>
            <w:noWrap/>
            <w:vAlign w:val="center"/>
            <w:hideMark/>
          </w:tcPr>
          <w:p w14:paraId="3BAFDA0C" w14:textId="7CF0DB5E" w:rsidR="00F46F9A" w:rsidRPr="00F46F9A" w:rsidRDefault="00F46F9A" w:rsidP="00891659">
            <w:pPr>
              <w:jc w:val="right"/>
              <w:rPr>
                <w:rFonts w:eastAsia="Times New Roman" w:cs="Calibri"/>
                <w:b/>
                <w:bCs/>
                <w:color w:val="00B050"/>
                <w:szCs w:val="20"/>
                <w:lang w:eastAsia="fr-FR"/>
              </w:rPr>
            </w:pPr>
            <w:r w:rsidRPr="00F46F9A">
              <w:rPr>
                <w:rFonts w:eastAsia="Times New Roman" w:cs="Calibri"/>
                <w:b/>
                <w:bCs/>
                <w:color w:val="00B050"/>
                <w:szCs w:val="20"/>
                <w:lang w:eastAsia="fr-FR"/>
              </w:rPr>
              <w:t xml:space="preserve">      882 </w:t>
            </w:r>
          </w:p>
        </w:tc>
      </w:tr>
    </w:tbl>
    <w:p w14:paraId="5CBD4E51" w14:textId="25F4FE46" w:rsidR="000F5160" w:rsidRPr="000F5160" w:rsidRDefault="000F5160" w:rsidP="000F5160">
      <w:pPr>
        <w:rPr>
          <w:rFonts w:cs="Arial"/>
          <w:color w:val="00B050"/>
        </w:rPr>
      </w:pPr>
    </w:p>
    <w:p w14:paraId="70C588C8" w14:textId="570AE221" w:rsidR="000F5160" w:rsidRPr="000F5160" w:rsidRDefault="000F5160" w:rsidP="000F5160">
      <w:pPr>
        <w:rPr>
          <w:rFonts w:cs="Arial"/>
          <w:color w:val="00B050"/>
        </w:rPr>
      </w:pPr>
      <w:r w:rsidRPr="000F5160">
        <w:rPr>
          <w:rFonts w:cs="Arial"/>
          <w:color w:val="00B050"/>
        </w:rPr>
        <w:t xml:space="preserve">L’application stricte du cadre SNBC à l’évaluation socio-économique du GPE conduit donc </w:t>
      </w:r>
      <w:r w:rsidR="00F46F9A">
        <w:rPr>
          <w:rFonts w:cs="Arial"/>
          <w:color w:val="00B050"/>
        </w:rPr>
        <w:t>un</w:t>
      </w:r>
      <w:r w:rsidR="00891659">
        <w:rPr>
          <w:rFonts w:cs="Arial"/>
          <w:color w:val="00B050"/>
        </w:rPr>
        <w:t>e légère</w:t>
      </w:r>
      <w:r w:rsidR="00F46F9A">
        <w:rPr>
          <w:rFonts w:cs="Arial"/>
          <w:color w:val="00B050"/>
        </w:rPr>
        <w:t xml:space="preserve"> émission nette</w:t>
      </w:r>
      <w:r w:rsidR="00891659">
        <w:rPr>
          <w:rFonts w:cs="Arial"/>
          <w:color w:val="00B050"/>
        </w:rPr>
        <w:t xml:space="preserve"> </w:t>
      </w:r>
      <w:r w:rsidR="00F46F9A">
        <w:rPr>
          <w:rFonts w:cs="Arial"/>
          <w:color w:val="00B050"/>
        </w:rPr>
        <w:t>de gaz à effets de serre</w:t>
      </w:r>
      <w:r w:rsidR="00891659">
        <w:rPr>
          <w:rFonts w:cs="Arial"/>
          <w:color w:val="00B050"/>
        </w:rPr>
        <w:t xml:space="preserve">, </w:t>
      </w:r>
      <w:r w:rsidR="00DD12B3">
        <w:rPr>
          <w:rFonts w:cs="Arial"/>
          <w:color w:val="00B050"/>
        </w:rPr>
        <w:t>avec</w:t>
      </w:r>
      <w:r w:rsidRPr="000F5160">
        <w:rPr>
          <w:rFonts w:cs="Arial"/>
          <w:color w:val="00B050"/>
        </w:rPr>
        <w:t xml:space="preserve"> la valorisation suivante</w:t>
      </w:r>
      <w:r w:rsidR="00AD318A">
        <w:rPr>
          <w:rFonts w:cs="Arial"/>
          <w:color w:val="00B050"/>
        </w:rPr>
        <w:t xml:space="preserve"> </w:t>
      </w:r>
      <w:r w:rsidRPr="000F5160">
        <w:rPr>
          <w:rFonts w:cs="Arial"/>
          <w:color w:val="00B050"/>
        </w:rPr>
        <w:t xml:space="preserve">: </w:t>
      </w:r>
    </w:p>
    <w:p w14:paraId="651D5DB6" w14:textId="77777777" w:rsidR="000F5160" w:rsidRPr="000F5160" w:rsidRDefault="000F5160" w:rsidP="000F5160">
      <w:pPr>
        <w:jc w:val="both"/>
        <w:rPr>
          <w:color w:val="00B050"/>
        </w:rPr>
      </w:pPr>
    </w:p>
    <w:p w14:paraId="32A0EF1A" w14:textId="77777777" w:rsidR="000F5160" w:rsidRPr="00891659" w:rsidRDefault="000F5160" w:rsidP="000F5160">
      <w:pPr>
        <w:ind w:left="708" w:firstLine="708"/>
        <w:jc w:val="both"/>
        <w:rPr>
          <w:b/>
          <w:bCs/>
          <w:i/>
          <w:iCs/>
          <w:color w:val="00B050"/>
          <w:sz w:val="18"/>
          <w:szCs w:val="18"/>
        </w:rPr>
      </w:pPr>
      <w:r w:rsidRPr="00891659">
        <w:rPr>
          <w:b/>
          <w:bCs/>
          <w:i/>
          <w:iCs/>
          <w:color w:val="00B050"/>
          <w:sz w:val="18"/>
          <w:szCs w:val="18"/>
        </w:rPr>
        <w:t>Valorisation des émissions induites (+) ou évitées (-) grâce au projet</w:t>
      </w:r>
    </w:p>
    <w:tbl>
      <w:tblPr>
        <w:tblW w:w="5954" w:type="dxa"/>
        <w:tblInd w:w="1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5"/>
        <w:gridCol w:w="1559"/>
      </w:tblGrid>
      <w:tr w:rsidR="00F46F9A" w:rsidRPr="00F46F9A" w14:paraId="246BE0F9" w14:textId="77777777" w:rsidTr="00F46F9A">
        <w:trPr>
          <w:trHeight w:val="170"/>
        </w:trPr>
        <w:tc>
          <w:tcPr>
            <w:tcW w:w="4395" w:type="dxa"/>
            <w:shd w:val="clear" w:color="auto" w:fill="auto"/>
            <w:vAlign w:val="center"/>
            <w:hideMark/>
          </w:tcPr>
          <w:p w14:paraId="3E285320" w14:textId="77777777" w:rsidR="00F46F9A" w:rsidRPr="00AC2C55" w:rsidRDefault="00F46F9A" w:rsidP="00F46F9A">
            <w:pPr>
              <w:jc w:val="both"/>
              <w:rPr>
                <w:rFonts w:eastAsia="Times New Roman" w:cs="Calibri"/>
                <w:b/>
                <w:bCs/>
                <w:i/>
                <w:iCs/>
                <w:color w:val="00B050"/>
                <w:szCs w:val="20"/>
                <w:lang w:eastAsia="fr-FR"/>
              </w:rPr>
            </w:pPr>
            <w:r w:rsidRPr="00AC2C55">
              <w:rPr>
                <w:rFonts w:eastAsia="Times New Roman" w:cs="Calibri"/>
                <w:b/>
                <w:bCs/>
                <w:i/>
                <w:iCs/>
                <w:color w:val="00B050"/>
                <w:szCs w:val="20"/>
                <w:lang w:eastAsia="fr-FR"/>
              </w:rPr>
              <w:t>Avantages en milliards d’euros</w:t>
            </w:r>
          </w:p>
        </w:tc>
        <w:tc>
          <w:tcPr>
            <w:tcW w:w="1559" w:type="dxa"/>
            <w:shd w:val="clear" w:color="auto" w:fill="auto"/>
            <w:vAlign w:val="center"/>
            <w:hideMark/>
          </w:tcPr>
          <w:p w14:paraId="110C6ADA" w14:textId="77777777" w:rsidR="00F46F9A" w:rsidRPr="00F46F9A" w:rsidRDefault="00F46F9A" w:rsidP="00F46F9A">
            <w:pPr>
              <w:jc w:val="center"/>
              <w:rPr>
                <w:rFonts w:eastAsia="Times New Roman" w:cs="Calibri"/>
                <w:color w:val="00B050"/>
                <w:szCs w:val="20"/>
                <w:lang w:eastAsia="fr-FR"/>
              </w:rPr>
            </w:pPr>
            <w:r w:rsidRPr="00F46F9A">
              <w:rPr>
                <w:rFonts w:eastAsia="Times New Roman" w:cs="Calibri"/>
                <w:color w:val="00B050"/>
                <w:szCs w:val="20"/>
                <w:lang w:eastAsia="fr-FR"/>
              </w:rPr>
              <w:t>Euros 2015</w:t>
            </w:r>
          </w:p>
        </w:tc>
      </w:tr>
      <w:tr w:rsidR="00F46F9A" w:rsidRPr="00F46F9A" w14:paraId="69CF4C98" w14:textId="77777777" w:rsidTr="00F46F9A">
        <w:trPr>
          <w:trHeight w:val="170"/>
        </w:trPr>
        <w:tc>
          <w:tcPr>
            <w:tcW w:w="4395" w:type="dxa"/>
            <w:shd w:val="clear" w:color="auto" w:fill="auto"/>
            <w:vAlign w:val="center"/>
            <w:hideMark/>
          </w:tcPr>
          <w:p w14:paraId="59A277A3" w14:textId="08798CC7" w:rsidR="00F46F9A" w:rsidRPr="00F46F9A" w:rsidRDefault="00F46F9A" w:rsidP="00F46F9A">
            <w:pPr>
              <w:jc w:val="both"/>
              <w:rPr>
                <w:rFonts w:eastAsia="Times New Roman" w:cs="Calibri"/>
                <w:color w:val="00B050"/>
                <w:szCs w:val="20"/>
                <w:lang w:eastAsia="fr-FR"/>
              </w:rPr>
            </w:pPr>
            <w:r w:rsidRPr="00F46F9A">
              <w:rPr>
                <w:rFonts w:eastAsia="Times New Roman" w:cs="Calibri"/>
                <w:color w:val="00B050"/>
                <w:szCs w:val="20"/>
                <w:lang w:eastAsia="fr-FR"/>
              </w:rPr>
              <w:t xml:space="preserve">Emissions brutes (chantier </w:t>
            </w:r>
            <w:r w:rsidRPr="00891659">
              <w:rPr>
                <w:rFonts w:eastAsia="Times New Roman" w:cs="Calibri"/>
                <w:color w:val="00B050"/>
                <w:szCs w:val="20"/>
                <w:lang w:eastAsia="fr-FR"/>
              </w:rPr>
              <w:t>et</w:t>
            </w:r>
            <w:r w:rsidRPr="00F46F9A">
              <w:rPr>
                <w:rFonts w:eastAsia="Times New Roman" w:cs="Calibri"/>
                <w:color w:val="00B050"/>
                <w:szCs w:val="20"/>
                <w:lang w:eastAsia="fr-FR"/>
              </w:rPr>
              <w:t xml:space="preserve"> exploitation)</w:t>
            </w:r>
          </w:p>
        </w:tc>
        <w:tc>
          <w:tcPr>
            <w:tcW w:w="1559" w:type="dxa"/>
            <w:shd w:val="clear" w:color="auto" w:fill="auto"/>
            <w:vAlign w:val="center"/>
            <w:hideMark/>
          </w:tcPr>
          <w:p w14:paraId="1EC43FC6" w14:textId="77777777" w:rsidR="00F46F9A" w:rsidRPr="00F46F9A" w:rsidRDefault="00F46F9A" w:rsidP="00F46F9A">
            <w:pPr>
              <w:jc w:val="center"/>
              <w:rPr>
                <w:rFonts w:eastAsia="Times New Roman" w:cs="Calibri"/>
                <w:color w:val="00B050"/>
                <w:szCs w:val="20"/>
                <w:lang w:eastAsia="fr-FR"/>
              </w:rPr>
            </w:pPr>
            <w:r w:rsidRPr="00F46F9A">
              <w:rPr>
                <w:rFonts w:eastAsia="Times New Roman" w:cs="Calibri"/>
                <w:color w:val="00B050"/>
                <w:szCs w:val="20"/>
                <w:lang w:eastAsia="fr-FR"/>
              </w:rPr>
              <w:t>-0,54</w:t>
            </w:r>
          </w:p>
        </w:tc>
      </w:tr>
      <w:tr w:rsidR="00F46F9A" w:rsidRPr="00F46F9A" w14:paraId="2CB3C7CA" w14:textId="77777777" w:rsidTr="00F46F9A">
        <w:trPr>
          <w:trHeight w:val="170"/>
        </w:trPr>
        <w:tc>
          <w:tcPr>
            <w:tcW w:w="4395" w:type="dxa"/>
            <w:shd w:val="clear" w:color="auto" w:fill="auto"/>
            <w:vAlign w:val="center"/>
            <w:hideMark/>
          </w:tcPr>
          <w:p w14:paraId="50BA4FDD" w14:textId="43757015" w:rsidR="00F46F9A" w:rsidRPr="00F46F9A" w:rsidRDefault="00F46F9A" w:rsidP="00F46F9A">
            <w:pPr>
              <w:rPr>
                <w:rFonts w:eastAsia="Times New Roman" w:cs="Calibri"/>
                <w:color w:val="00B050"/>
                <w:szCs w:val="20"/>
                <w:lang w:eastAsia="fr-FR"/>
              </w:rPr>
            </w:pPr>
            <w:r w:rsidRPr="00F46F9A">
              <w:rPr>
                <w:rFonts w:eastAsia="Times New Roman" w:cs="Calibri"/>
                <w:color w:val="00B050"/>
                <w:szCs w:val="20"/>
                <w:lang w:eastAsia="fr-FR"/>
              </w:rPr>
              <w:t xml:space="preserve">Economies (report modal </w:t>
            </w:r>
            <w:r w:rsidRPr="00891659">
              <w:rPr>
                <w:rFonts w:eastAsia="Times New Roman" w:cs="Calibri"/>
                <w:color w:val="00B050"/>
                <w:szCs w:val="20"/>
                <w:lang w:eastAsia="fr-FR"/>
              </w:rPr>
              <w:t>et</w:t>
            </w:r>
            <w:r w:rsidRPr="00F46F9A">
              <w:rPr>
                <w:rFonts w:eastAsia="Times New Roman" w:cs="Calibri"/>
                <w:color w:val="00B050"/>
                <w:szCs w:val="20"/>
                <w:lang w:eastAsia="fr-FR"/>
              </w:rPr>
              <w:t xml:space="preserve"> densification)</w:t>
            </w:r>
          </w:p>
        </w:tc>
        <w:tc>
          <w:tcPr>
            <w:tcW w:w="1559" w:type="dxa"/>
            <w:shd w:val="clear" w:color="auto" w:fill="auto"/>
            <w:vAlign w:val="center"/>
            <w:hideMark/>
          </w:tcPr>
          <w:p w14:paraId="2F5D6335" w14:textId="77777777" w:rsidR="00F46F9A" w:rsidRPr="00F46F9A" w:rsidRDefault="00F46F9A" w:rsidP="00F46F9A">
            <w:pPr>
              <w:jc w:val="center"/>
              <w:rPr>
                <w:rFonts w:eastAsia="Times New Roman" w:cs="Calibri"/>
                <w:color w:val="00B050"/>
                <w:szCs w:val="20"/>
                <w:lang w:eastAsia="fr-FR"/>
              </w:rPr>
            </w:pPr>
            <w:r w:rsidRPr="00F46F9A">
              <w:rPr>
                <w:rFonts w:eastAsia="Times New Roman" w:cs="Calibri"/>
                <w:color w:val="00B050"/>
                <w:szCs w:val="20"/>
                <w:lang w:eastAsia="fr-FR"/>
              </w:rPr>
              <w:t>0,73</w:t>
            </w:r>
          </w:p>
        </w:tc>
      </w:tr>
      <w:tr w:rsidR="00F46F9A" w:rsidRPr="00F46F9A" w14:paraId="78ED5C55" w14:textId="77777777" w:rsidTr="00F46F9A">
        <w:trPr>
          <w:trHeight w:val="170"/>
        </w:trPr>
        <w:tc>
          <w:tcPr>
            <w:tcW w:w="4395" w:type="dxa"/>
            <w:shd w:val="clear" w:color="auto" w:fill="auto"/>
            <w:vAlign w:val="center"/>
            <w:hideMark/>
          </w:tcPr>
          <w:p w14:paraId="08045A91" w14:textId="77777777" w:rsidR="00F46F9A" w:rsidRPr="00F46F9A" w:rsidRDefault="00F46F9A" w:rsidP="00F46F9A">
            <w:pPr>
              <w:ind w:firstLineChars="100" w:firstLine="200"/>
              <w:rPr>
                <w:rFonts w:eastAsia="Times New Roman" w:cs="Calibri"/>
                <w:i/>
                <w:iCs/>
                <w:color w:val="00B050"/>
                <w:szCs w:val="20"/>
                <w:lang w:eastAsia="fr-FR"/>
              </w:rPr>
            </w:pPr>
            <w:r w:rsidRPr="00F46F9A">
              <w:rPr>
                <w:rFonts w:eastAsia="Times New Roman" w:cs="Calibri"/>
                <w:i/>
                <w:iCs/>
                <w:color w:val="00B050"/>
                <w:szCs w:val="20"/>
                <w:lang w:eastAsia="fr-FR"/>
              </w:rPr>
              <w:t>dont report modal</w:t>
            </w:r>
          </w:p>
        </w:tc>
        <w:tc>
          <w:tcPr>
            <w:tcW w:w="1559" w:type="dxa"/>
            <w:shd w:val="clear" w:color="auto" w:fill="auto"/>
            <w:vAlign w:val="center"/>
            <w:hideMark/>
          </w:tcPr>
          <w:p w14:paraId="39C2957B" w14:textId="77777777" w:rsidR="00F46F9A" w:rsidRPr="00F46F9A" w:rsidRDefault="00F46F9A" w:rsidP="00F46F9A">
            <w:pPr>
              <w:jc w:val="center"/>
              <w:rPr>
                <w:rFonts w:eastAsia="Times New Roman" w:cs="Calibri"/>
                <w:color w:val="00B050"/>
                <w:szCs w:val="20"/>
                <w:lang w:eastAsia="fr-FR"/>
              </w:rPr>
            </w:pPr>
            <w:r w:rsidRPr="00F46F9A">
              <w:rPr>
                <w:rFonts w:eastAsia="Times New Roman" w:cs="Calibri"/>
                <w:color w:val="00B050"/>
                <w:szCs w:val="20"/>
                <w:lang w:eastAsia="fr-FR"/>
              </w:rPr>
              <w:t>0,05</w:t>
            </w:r>
          </w:p>
        </w:tc>
      </w:tr>
      <w:tr w:rsidR="00F46F9A" w:rsidRPr="00F46F9A" w14:paraId="315521F0" w14:textId="77777777" w:rsidTr="00F46F9A">
        <w:trPr>
          <w:trHeight w:val="170"/>
        </w:trPr>
        <w:tc>
          <w:tcPr>
            <w:tcW w:w="4395" w:type="dxa"/>
            <w:shd w:val="clear" w:color="auto" w:fill="auto"/>
            <w:vAlign w:val="center"/>
            <w:hideMark/>
          </w:tcPr>
          <w:p w14:paraId="44FC221D" w14:textId="77777777" w:rsidR="00F46F9A" w:rsidRPr="00F46F9A" w:rsidRDefault="00F46F9A" w:rsidP="00F46F9A">
            <w:pPr>
              <w:ind w:firstLineChars="100" w:firstLine="200"/>
              <w:rPr>
                <w:rFonts w:eastAsia="Times New Roman" w:cs="Calibri"/>
                <w:i/>
                <w:iCs/>
                <w:color w:val="00B050"/>
                <w:szCs w:val="20"/>
                <w:lang w:eastAsia="fr-FR"/>
              </w:rPr>
            </w:pPr>
            <w:r w:rsidRPr="00F46F9A">
              <w:rPr>
                <w:rFonts w:eastAsia="Times New Roman" w:cs="Calibri"/>
                <w:i/>
                <w:iCs/>
                <w:color w:val="00B050"/>
                <w:szCs w:val="20"/>
                <w:lang w:eastAsia="fr-FR"/>
              </w:rPr>
              <w:t>dont densification urbaines</w:t>
            </w:r>
          </w:p>
        </w:tc>
        <w:tc>
          <w:tcPr>
            <w:tcW w:w="1559" w:type="dxa"/>
            <w:shd w:val="clear" w:color="auto" w:fill="auto"/>
            <w:vAlign w:val="center"/>
            <w:hideMark/>
          </w:tcPr>
          <w:p w14:paraId="2A419746" w14:textId="77777777" w:rsidR="00F46F9A" w:rsidRPr="00F46F9A" w:rsidRDefault="00F46F9A" w:rsidP="00F46F9A">
            <w:pPr>
              <w:jc w:val="center"/>
              <w:rPr>
                <w:rFonts w:eastAsia="Times New Roman" w:cs="Calibri"/>
                <w:color w:val="00B050"/>
                <w:szCs w:val="20"/>
                <w:lang w:eastAsia="fr-FR"/>
              </w:rPr>
            </w:pPr>
            <w:r w:rsidRPr="00F46F9A">
              <w:rPr>
                <w:rFonts w:eastAsia="Times New Roman" w:cs="Calibri"/>
                <w:color w:val="00B050"/>
                <w:szCs w:val="20"/>
                <w:lang w:eastAsia="fr-FR"/>
              </w:rPr>
              <w:t>0,68</w:t>
            </w:r>
          </w:p>
        </w:tc>
      </w:tr>
      <w:tr w:rsidR="00F46F9A" w:rsidRPr="00F46F9A" w14:paraId="6C44B596" w14:textId="77777777" w:rsidTr="00F46F9A">
        <w:trPr>
          <w:trHeight w:val="170"/>
        </w:trPr>
        <w:tc>
          <w:tcPr>
            <w:tcW w:w="4395" w:type="dxa"/>
            <w:shd w:val="clear" w:color="auto" w:fill="auto"/>
            <w:vAlign w:val="center"/>
            <w:hideMark/>
          </w:tcPr>
          <w:p w14:paraId="2A03AEEF" w14:textId="77777777" w:rsidR="00F46F9A" w:rsidRPr="00F46F9A" w:rsidRDefault="00F46F9A" w:rsidP="00F46F9A">
            <w:pPr>
              <w:jc w:val="both"/>
              <w:rPr>
                <w:rFonts w:eastAsia="Times New Roman" w:cs="Calibri"/>
                <w:b/>
                <w:bCs/>
                <w:color w:val="00B050"/>
                <w:szCs w:val="20"/>
                <w:lang w:eastAsia="fr-FR"/>
              </w:rPr>
            </w:pPr>
            <w:r w:rsidRPr="00F46F9A">
              <w:rPr>
                <w:rFonts w:eastAsia="Times New Roman" w:cs="Calibri"/>
                <w:b/>
                <w:bCs/>
                <w:color w:val="00B050"/>
                <w:szCs w:val="20"/>
                <w:lang w:eastAsia="fr-FR"/>
              </w:rPr>
              <w:t>Total</w:t>
            </w:r>
          </w:p>
        </w:tc>
        <w:tc>
          <w:tcPr>
            <w:tcW w:w="1559" w:type="dxa"/>
            <w:shd w:val="clear" w:color="auto" w:fill="auto"/>
            <w:vAlign w:val="center"/>
            <w:hideMark/>
          </w:tcPr>
          <w:p w14:paraId="37FFD2BF" w14:textId="77777777" w:rsidR="00F46F9A" w:rsidRPr="00F46F9A" w:rsidRDefault="00F46F9A" w:rsidP="00F46F9A">
            <w:pPr>
              <w:jc w:val="center"/>
              <w:rPr>
                <w:rFonts w:eastAsia="Times New Roman" w:cs="Calibri"/>
                <w:b/>
                <w:bCs/>
                <w:color w:val="00B050"/>
                <w:szCs w:val="20"/>
                <w:lang w:eastAsia="fr-FR"/>
              </w:rPr>
            </w:pPr>
            <w:r w:rsidRPr="00F46F9A">
              <w:rPr>
                <w:rFonts w:eastAsia="Times New Roman" w:cs="Calibri"/>
                <w:b/>
                <w:bCs/>
                <w:color w:val="00B050"/>
                <w:szCs w:val="20"/>
                <w:lang w:eastAsia="fr-FR"/>
              </w:rPr>
              <w:t>0,20</w:t>
            </w:r>
          </w:p>
        </w:tc>
      </w:tr>
    </w:tbl>
    <w:p w14:paraId="63018612" w14:textId="44C5A220" w:rsidR="000F5160" w:rsidRPr="000F5160" w:rsidRDefault="000F5160" w:rsidP="000F5160">
      <w:pPr>
        <w:jc w:val="center"/>
        <w:rPr>
          <w:rFonts w:cs="Arial"/>
          <w:color w:val="00B050"/>
        </w:rPr>
      </w:pPr>
    </w:p>
    <w:p w14:paraId="42C2793E" w14:textId="54445D49" w:rsidR="00AC2C55" w:rsidRPr="00AC2C55" w:rsidRDefault="00D53B81" w:rsidP="000F5160">
      <w:pPr>
        <w:jc w:val="both"/>
        <w:rPr>
          <w:color w:val="00B050"/>
          <w:szCs w:val="20"/>
        </w:rPr>
      </w:pPr>
      <w:r w:rsidRPr="00D53B81">
        <w:rPr>
          <w:color w:val="00B050"/>
          <w:szCs w:val="20"/>
        </w:rPr>
        <w:t xml:space="preserve">Presque par construction des hypothèses de prise en compte de la SNBC et de l’annulation de principe des bénéfices de mobilité et de développement territorial bien que ces facteurs continuent d’être très importants après 2050, les émissions de chantier l’emportent sur des économies qui ne se seront manifestées que très partiellement. </w:t>
      </w:r>
      <w:r w:rsidR="00AC2C55" w:rsidRPr="00AC2C55">
        <w:rPr>
          <w:color w:val="00B050"/>
          <w:szCs w:val="20"/>
        </w:rPr>
        <w:t>La valeur légèrement positive de</w:t>
      </w:r>
      <w:r w:rsidR="00AC2C55">
        <w:rPr>
          <w:color w:val="00B050"/>
          <w:szCs w:val="20"/>
        </w:rPr>
        <w:t xml:space="preserve">s avantages monétarisés de la balance carbone tient à la forte croissance dans le temps du prix du carbone retenu dans les textes en vigueur. Cette croissance du prix du carbone </w:t>
      </w:r>
      <w:r w:rsidR="001A707F">
        <w:rPr>
          <w:color w:val="00B050"/>
          <w:szCs w:val="20"/>
        </w:rPr>
        <w:t xml:space="preserve">appliquée à une balance entre d’une part des émissions de chantier et d’exploitation décroissantes dans le temps très importante jusqu’en 2030 puis décroissantes quoique légèrement positives entre 2030 et 2050, et d’autre part des économies de gaz à effet de serre croissantes jusqu’en 2030, puis décroissantes quoique restant nettement positives jusqu’en 2050. </w:t>
      </w:r>
      <w:r w:rsidR="00AC2C55" w:rsidRPr="00AC2C55">
        <w:rPr>
          <w:color w:val="00B050"/>
          <w:szCs w:val="20"/>
        </w:rPr>
        <w:t xml:space="preserve"> </w:t>
      </w:r>
    </w:p>
    <w:p w14:paraId="7E842D79" w14:textId="77777777" w:rsidR="00AC2C55" w:rsidRDefault="00AC2C55" w:rsidP="000F5160">
      <w:pPr>
        <w:jc w:val="both"/>
        <w:rPr>
          <w:b/>
          <w:bCs/>
          <w:color w:val="00B050"/>
          <w:szCs w:val="20"/>
        </w:rPr>
      </w:pPr>
    </w:p>
    <w:p w14:paraId="15B1E104" w14:textId="1C2E8FA6" w:rsidR="000F5160" w:rsidRPr="000F5160" w:rsidRDefault="000F5160" w:rsidP="000F5160">
      <w:pPr>
        <w:jc w:val="both"/>
        <w:rPr>
          <w:b/>
          <w:bCs/>
          <w:color w:val="00B050"/>
          <w:szCs w:val="20"/>
        </w:rPr>
      </w:pPr>
      <w:r w:rsidRPr="000F5160">
        <w:rPr>
          <w:b/>
          <w:bCs/>
          <w:color w:val="00B050"/>
          <w:szCs w:val="20"/>
        </w:rPr>
        <w:t xml:space="preserve">Ce sont ces chiffres qui sont retenus dans cette évaluation malgré </w:t>
      </w:r>
      <w:r w:rsidR="00DD12B3">
        <w:rPr>
          <w:b/>
          <w:bCs/>
          <w:color w:val="00B050"/>
          <w:szCs w:val="20"/>
        </w:rPr>
        <w:t>leur caractère contre intuitif et</w:t>
      </w:r>
      <w:r w:rsidR="00DD12B3" w:rsidRPr="000F5160">
        <w:rPr>
          <w:b/>
          <w:bCs/>
          <w:color w:val="00B050"/>
          <w:szCs w:val="20"/>
        </w:rPr>
        <w:t xml:space="preserve"> </w:t>
      </w:r>
      <w:r w:rsidRPr="000F5160">
        <w:rPr>
          <w:b/>
          <w:bCs/>
          <w:color w:val="00B050"/>
          <w:szCs w:val="20"/>
        </w:rPr>
        <w:t>les objections méthodologiques fortes exprimées dans la suite de cette partie.</w:t>
      </w:r>
      <w:r w:rsidR="00891659">
        <w:rPr>
          <w:b/>
          <w:bCs/>
          <w:color w:val="00B050"/>
          <w:szCs w:val="20"/>
        </w:rPr>
        <w:t xml:space="preserve"> En fait, les économies de gaz à effets de serre sont probablement très importantes comme on va le voir dans la suite de ce document</w:t>
      </w:r>
      <w:r w:rsidR="0033012A">
        <w:rPr>
          <w:b/>
          <w:bCs/>
          <w:color w:val="00B050"/>
          <w:szCs w:val="20"/>
        </w:rPr>
        <w:t>.</w:t>
      </w:r>
    </w:p>
    <w:p w14:paraId="64120DF9" w14:textId="77777777" w:rsidR="000F5160" w:rsidRPr="000F5160" w:rsidRDefault="000F5160" w:rsidP="000F5160">
      <w:pPr>
        <w:jc w:val="both"/>
        <w:rPr>
          <w:color w:val="00B050"/>
          <w:szCs w:val="20"/>
        </w:rPr>
      </w:pPr>
    </w:p>
    <w:p w14:paraId="23AEFA27" w14:textId="77777777" w:rsidR="000F5160" w:rsidRPr="000F5160" w:rsidRDefault="000F5160" w:rsidP="000F5160">
      <w:pPr>
        <w:jc w:val="both"/>
        <w:rPr>
          <w:b/>
          <w:bCs/>
          <w:i/>
          <w:iCs/>
          <w:color w:val="00B050"/>
          <w:szCs w:val="20"/>
        </w:rPr>
      </w:pPr>
      <w:r w:rsidRPr="000F5160">
        <w:rPr>
          <w:b/>
          <w:bCs/>
          <w:i/>
          <w:iCs/>
          <w:color w:val="00B050"/>
          <w:szCs w:val="20"/>
        </w:rPr>
        <w:t xml:space="preserve">Discussion des résultats de base </w:t>
      </w:r>
    </w:p>
    <w:p w14:paraId="0ABF64D7" w14:textId="77777777" w:rsidR="000F5160" w:rsidRPr="000F5160" w:rsidRDefault="000F5160" w:rsidP="000F5160">
      <w:pPr>
        <w:jc w:val="both"/>
        <w:rPr>
          <w:color w:val="00B050"/>
          <w:szCs w:val="20"/>
        </w:rPr>
      </w:pPr>
    </w:p>
    <w:p w14:paraId="594C1448" w14:textId="77777777" w:rsidR="00FC20EC" w:rsidRDefault="000F5160" w:rsidP="000F5160">
      <w:pPr>
        <w:jc w:val="both"/>
        <w:rPr>
          <w:color w:val="00B050"/>
          <w:szCs w:val="20"/>
        </w:rPr>
      </w:pPr>
      <w:r w:rsidRPr="000F5160">
        <w:rPr>
          <w:color w:val="00B050"/>
          <w:szCs w:val="20"/>
        </w:rPr>
        <w:t xml:space="preserve">Le chiffrage « de base » laisserait </w:t>
      </w:r>
      <w:r w:rsidR="00DE5C51">
        <w:rPr>
          <w:color w:val="00B050"/>
          <w:szCs w:val="20"/>
        </w:rPr>
        <w:t xml:space="preserve">donc </w:t>
      </w:r>
      <w:r w:rsidRPr="000F5160">
        <w:rPr>
          <w:color w:val="00B050"/>
          <w:szCs w:val="20"/>
        </w:rPr>
        <w:t xml:space="preserve">entendre que la réalisation d’une grande infrastructure de transport en commun n’aurait pas d’intérêt pour la mise en œuvre de la SNBC, </w:t>
      </w:r>
      <w:r w:rsidR="00DE5C51">
        <w:rPr>
          <w:color w:val="00B050"/>
          <w:szCs w:val="20"/>
        </w:rPr>
        <w:t xml:space="preserve">et même pourrait </w:t>
      </w:r>
      <w:r w:rsidR="00FC20EC">
        <w:rPr>
          <w:color w:val="00B050"/>
          <w:szCs w:val="20"/>
        </w:rPr>
        <w:t xml:space="preserve">légèrement </w:t>
      </w:r>
      <w:r w:rsidR="00DE5C51">
        <w:rPr>
          <w:color w:val="00B050"/>
          <w:szCs w:val="20"/>
        </w:rPr>
        <w:t xml:space="preserve">contribuer au réchauffement climatique, </w:t>
      </w:r>
      <w:r w:rsidRPr="000F5160">
        <w:rPr>
          <w:color w:val="00B050"/>
          <w:szCs w:val="20"/>
        </w:rPr>
        <w:t xml:space="preserve">ce qui est contraire aux documents décrivant les efforts à faire pour atteindre les objectifs de la SNBC. Ceux-ci donnent une importance très grande aux infrastructures de transport en commun, et leur attribuent donc une grande valeur sociale. </w:t>
      </w:r>
      <w:r w:rsidRPr="00FC20EC">
        <w:rPr>
          <w:b/>
          <w:bCs/>
          <w:color w:val="00B050"/>
          <w:szCs w:val="20"/>
        </w:rPr>
        <w:t>Il y a donc lieu de s’interroger sur les limites de l’approche proposée par les textes en vigueur.</w:t>
      </w:r>
    </w:p>
    <w:p w14:paraId="29EAE2C2" w14:textId="77777777" w:rsidR="00FC20EC" w:rsidRDefault="00FC20EC" w:rsidP="000F5160">
      <w:pPr>
        <w:jc w:val="both"/>
        <w:rPr>
          <w:color w:val="00B050"/>
          <w:szCs w:val="20"/>
        </w:rPr>
      </w:pPr>
    </w:p>
    <w:p w14:paraId="6B8C4832" w14:textId="07FC3D37" w:rsidR="000F5160" w:rsidRPr="000F5160" w:rsidRDefault="000F5160" w:rsidP="000F5160">
      <w:pPr>
        <w:jc w:val="both"/>
        <w:rPr>
          <w:color w:val="00B050"/>
          <w:szCs w:val="20"/>
        </w:rPr>
      </w:pPr>
      <w:r w:rsidRPr="000F5160">
        <w:rPr>
          <w:color w:val="00B050"/>
          <w:szCs w:val="20"/>
        </w:rPr>
        <w:t xml:space="preserve"> </w:t>
      </w:r>
      <w:r w:rsidR="001F7148" w:rsidRPr="000F5160">
        <w:rPr>
          <w:color w:val="00B050"/>
          <w:szCs w:val="20"/>
        </w:rPr>
        <w:t>Les bénéfices carbone</w:t>
      </w:r>
      <w:r w:rsidRPr="000F5160">
        <w:rPr>
          <w:color w:val="00B050"/>
          <w:szCs w:val="20"/>
        </w:rPr>
        <w:t xml:space="preserve"> </w:t>
      </w:r>
      <w:r w:rsidR="001F7148">
        <w:rPr>
          <w:color w:val="00B050"/>
          <w:szCs w:val="20"/>
        </w:rPr>
        <w:t>sont légèrement</w:t>
      </w:r>
      <w:r w:rsidR="00DE5C51">
        <w:rPr>
          <w:color w:val="00B050"/>
          <w:szCs w:val="20"/>
        </w:rPr>
        <w:t xml:space="preserve"> négatifs </w:t>
      </w:r>
      <w:r w:rsidRPr="000F5160">
        <w:rPr>
          <w:color w:val="00B050"/>
          <w:szCs w:val="20"/>
        </w:rPr>
        <w:t>si on appliqu</w:t>
      </w:r>
      <w:r w:rsidR="001F7148">
        <w:rPr>
          <w:color w:val="00B050"/>
          <w:szCs w:val="20"/>
        </w:rPr>
        <w:t>e</w:t>
      </w:r>
      <w:r w:rsidRPr="000F5160">
        <w:rPr>
          <w:color w:val="00B050"/>
          <w:szCs w:val="20"/>
        </w:rPr>
        <w:t xml:space="preserve"> à la lettre les instructions en vigueur ce qui amène donc à considérer que les investissements dans les infrastructures de transport en commun </w:t>
      </w:r>
      <w:r w:rsidR="00DE5C51">
        <w:rPr>
          <w:color w:val="00B050"/>
          <w:szCs w:val="20"/>
        </w:rPr>
        <w:t xml:space="preserve">de masse </w:t>
      </w:r>
      <w:r w:rsidRPr="000F5160">
        <w:rPr>
          <w:color w:val="00B050"/>
          <w:szCs w:val="20"/>
        </w:rPr>
        <w:t xml:space="preserve">seraient inutiles du point de vue de la réalisation des objectifs </w:t>
      </w:r>
      <w:r w:rsidR="001F7148">
        <w:rPr>
          <w:color w:val="00B050"/>
          <w:szCs w:val="20"/>
        </w:rPr>
        <w:t>de décarbonation</w:t>
      </w:r>
      <w:r w:rsidRPr="000F5160">
        <w:rPr>
          <w:color w:val="00B050"/>
          <w:szCs w:val="20"/>
        </w:rPr>
        <w:t xml:space="preserve">. Mais les orientations sectorielles de la SNBC demandent par ailleurs à juste titre « d’engager un report modal vers les modes de transport les plus économes en énergie et les moins émetteurs comme le train ou les transports en commun ». </w:t>
      </w:r>
      <w:r w:rsidR="00FC20EC" w:rsidRPr="000F5160">
        <w:rPr>
          <w:color w:val="00B050"/>
          <w:szCs w:val="20"/>
        </w:rPr>
        <w:t>La réalisation du GPE est</w:t>
      </w:r>
      <w:r w:rsidR="00FC20EC">
        <w:rPr>
          <w:color w:val="00B050"/>
          <w:szCs w:val="20"/>
        </w:rPr>
        <w:t xml:space="preserve"> d’ailleurs </w:t>
      </w:r>
      <w:r w:rsidR="00FC20EC" w:rsidRPr="000F5160">
        <w:rPr>
          <w:color w:val="00B050"/>
          <w:szCs w:val="20"/>
        </w:rPr>
        <w:t>mentionnée explicitement dans les travaux de l’I4CE</w:t>
      </w:r>
      <w:r w:rsidR="00FC20EC" w:rsidRPr="000F5160">
        <w:rPr>
          <w:rStyle w:val="Appelnotedebasdep"/>
          <w:color w:val="00B050"/>
          <w:szCs w:val="20"/>
        </w:rPr>
        <w:footnoteReference w:id="60"/>
      </w:r>
      <w:r w:rsidR="00FC20EC" w:rsidRPr="000F5160">
        <w:rPr>
          <w:color w:val="00B050"/>
          <w:szCs w:val="20"/>
        </w:rPr>
        <w:t xml:space="preserve"> sur la manière d’atteindre les objectifs de la SNBC.</w:t>
      </w:r>
      <w:r w:rsidR="00FC20EC">
        <w:rPr>
          <w:color w:val="00B050"/>
          <w:szCs w:val="20"/>
        </w:rPr>
        <w:t xml:space="preserve"> </w:t>
      </w:r>
      <w:r w:rsidRPr="000F5160">
        <w:rPr>
          <w:color w:val="00B050"/>
          <w:szCs w:val="20"/>
        </w:rPr>
        <w:t xml:space="preserve">Et bien évidemment </w:t>
      </w:r>
      <w:r w:rsidRPr="000F5160">
        <w:rPr>
          <w:color w:val="00B050"/>
          <w:szCs w:val="20"/>
        </w:rPr>
        <w:lastRenderedPageBreak/>
        <w:t xml:space="preserve">cet objectif </w:t>
      </w:r>
      <w:r w:rsidR="00FC20EC">
        <w:rPr>
          <w:color w:val="00B050"/>
          <w:szCs w:val="20"/>
        </w:rPr>
        <w:t xml:space="preserve">de renforcer le report modal VP-TC </w:t>
      </w:r>
      <w:r w:rsidRPr="000F5160">
        <w:rPr>
          <w:color w:val="00B050"/>
          <w:szCs w:val="20"/>
        </w:rPr>
        <w:t xml:space="preserve">suppose de réaliser un volume suffisant d’infrastructures de transport en commun </w:t>
      </w:r>
      <w:r w:rsidR="00FC20EC">
        <w:rPr>
          <w:color w:val="00B050"/>
          <w:szCs w:val="20"/>
        </w:rPr>
        <w:t xml:space="preserve">suffisamment attractifs </w:t>
      </w:r>
      <w:r w:rsidRPr="000F5160">
        <w:rPr>
          <w:color w:val="00B050"/>
          <w:szCs w:val="20"/>
        </w:rPr>
        <w:t xml:space="preserve">dans des grandes villes où les transports en commun sont déjà saturés aujourd’hui et où </w:t>
      </w:r>
      <w:r w:rsidR="00DE5C51">
        <w:rPr>
          <w:color w:val="00B050"/>
          <w:szCs w:val="20"/>
        </w:rPr>
        <w:t>l</w:t>
      </w:r>
      <w:r w:rsidRPr="000F5160">
        <w:rPr>
          <w:color w:val="00B050"/>
          <w:szCs w:val="20"/>
        </w:rPr>
        <w:t xml:space="preserve">a maîtrise de l’évolution de la demande de transport </w:t>
      </w:r>
      <w:r w:rsidR="00FC20EC">
        <w:rPr>
          <w:color w:val="00B050"/>
          <w:szCs w:val="20"/>
        </w:rPr>
        <w:t>est difficile à moins de réglementations sévères sur la limitation des déplacements de toutes natures et particulièrement des mouvements pendulaires. Ces réglementations seraient certainement coûteuses pour le welfare</w:t>
      </w:r>
      <w:r w:rsidR="001F7148">
        <w:rPr>
          <w:color w:val="00B050"/>
          <w:szCs w:val="20"/>
        </w:rPr>
        <w:t xml:space="preserve"> et il convient dans une évaluation rigoureuse en intégrer le coût dans l’option de référence</w:t>
      </w:r>
      <w:r w:rsidRPr="000F5160">
        <w:rPr>
          <w:color w:val="00B050"/>
          <w:szCs w:val="20"/>
        </w:rPr>
        <w:t xml:space="preserve">. </w:t>
      </w:r>
    </w:p>
    <w:p w14:paraId="7FBA99ED" w14:textId="77777777" w:rsidR="000F5160" w:rsidRPr="000F5160" w:rsidRDefault="000F5160" w:rsidP="000F5160">
      <w:pPr>
        <w:jc w:val="both"/>
        <w:rPr>
          <w:color w:val="00B050"/>
          <w:szCs w:val="20"/>
        </w:rPr>
      </w:pPr>
    </w:p>
    <w:p w14:paraId="34B00B5D" w14:textId="49520F98" w:rsidR="000F5160" w:rsidRPr="000F5160" w:rsidRDefault="000F5160" w:rsidP="000F5160">
      <w:pPr>
        <w:jc w:val="both"/>
        <w:rPr>
          <w:color w:val="00B050"/>
          <w:szCs w:val="20"/>
        </w:rPr>
      </w:pPr>
      <w:bookmarkStart w:id="120" w:name="_Hlk64099622"/>
      <w:r w:rsidRPr="000F5160">
        <w:rPr>
          <w:color w:val="00B050"/>
          <w:szCs w:val="20"/>
        </w:rPr>
        <w:t xml:space="preserve">Il </w:t>
      </w:r>
      <w:r w:rsidR="00FC20EC">
        <w:rPr>
          <w:color w:val="00B050"/>
          <w:szCs w:val="20"/>
        </w:rPr>
        <w:t>est</w:t>
      </w:r>
      <w:r w:rsidRPr="000F5160">
        <w:rPr>
          <w:color w:val="00B050"/>
          <w:szCs w:val="20"/>
        </w:rPr>
        <w:t xml:space="preserve"> donc nécessaire pour apprécier</w:t>
      </w:r>
      <w:r w:rsidR="00921231">
        <w:rPr>
          <w:color w:val="00B050"/>
          <w:szCs w:val="20"/>
        </w:rPr>
        <w:t xml:space="preserve"> d’une manière robuste</w:t>
      </w:r>
      <w:r w:rsidRPr="000F5160">
        <w:rPr>
          <w:color w:val="00B050"/>
          <w:szCs w:val="20"/>
        </w:rPr>
        <w:t xml:space="preserve"> la contribution du GPE </w:t>
      </w:r>
      <w:r w:rsidR="00FC20EC">
        <w:rPr>
          <w:color w:val="00B050"/>
          <w:szCs w:val="20"/>
        </w:rPr>
        <w:t xml:space="preserve">à la lutte contre le réchauffement climatique </w:t>
      </w:r>
      <w:r w:rsidRPr="000F5160">
        <w:rPr>
          <w:color w:val="00B050"/>
          <w:szCs w:val="20"/>
        </w:rPr>
        <w:t xml:space="preserve">dans le contexte de la SNBC de comparer cet investissement aux autres leviers proposés dans la SNBC au regard de leur efficacité bénéfices/coûts. Les documents de la SNBC présentent des grandes orientations pour les investissements considérés comme nécessaires pour atteindre les objectifs de décarbonation mais ne </w:t>
      </w:r>
      <w:r w:rsidR="00FC20EC">
        <w:rPr>
          <w:color w:val="00B050"/>
          <w:szCs w:val="20"/>
        </w:rPr>
        <w:t xml:space="preserve">les hiérarchisent pas et ne </w:t>
      </w:r>
      <w:r w:rsidRPr="000F5160">
        <w:rPr>
          <w:color w:val="00B050"/>
          <w:szCs w:val="20"/>
        </w:rPr>
        <w:t xml:space="preserve">précisent pas </w:t>
      </w:r>
      <w:r w:rsidR="00FC20EC">
        <w:rPr>
          <w:color w:val="00B050"/>
          <w:szCs w:val="20"/>
        </w:rPr>
        <w:t>le rendement social des</w:t>
      </w:r>
      <w:r w:rsidRPr="000F5160">
        <w:rPr>
          <w:color w:val="00B050"/>
          <w:szCs w:val="20"/>
        </w:rPr>
        <w:t xml:space="preserve"> moyens financiers que </w:t>
      </w:r>
      <w:r w:rsidR="00FC20EC">
        <w:rPr>
          <w:color w:val="00B050"/>
          <w:szCs w:val="20"/>
        </w:rPr>
        <w:t xml:space="preserve">la </w:t>
      </w:r>
      <w:r w:rsidR="00D53B81">
        <w:rPr>
          <w:color w:val="00B050"/>
          <w:szCs w:val="20"/>
        </w:rPr>
        <w:t xml:space="preserve">puissance publique </w:t>
      </w:r>
      <w:r w:rsidRPr="000F5160">
        <w:rPr>
          <w:color w:val="00B050"/>
          <w:szCs w:val="20"/>
        </w:rPr>
        <w:t>se donne pour garantir le succès</w:t>
      </w:r>
      <w:r w:rsidR="00D53B81" w:rsidRPr="00D53B81">
        <w:rPr>
          <w:color w:val="00B050"/>
          <w:szCs w:val="20"/>
        </w:rPr>
        <w:t xml:space="preserve"> </w:t>
      </w:r>
      <w:r w:rsidR="00D53B81">
        <w:rPr>
          <w:color w:val="00B050"/>
          <w:szCs w:val="20"/>
        </w:rPr>
        <w:t>de la SNBC</w:t>
      </w:r>
      <w:r w:rsidRPr="000F5160">
        <w:rPr>
          <w:color w:val="00B050"/>
          <w:szCs w:val="20"/>
        </w:rPr>
        <w:t>. Comme l’a souligné le rapport de contrexpertise réalisé sous l’égide du S</w:t>
      </w:r>
      <w:r w:rsidR="001F7148">
        <w:rPr>
          <w:color w:val="00B050"/>
          <w:szCs w:val="20"/>
        </w:rPr>
        <w:t>ecrétariat général pour l’investissement</w:t>
      </w:r>
      <w:r w:rsidRPr="000F5160">
        <w:rPr>
          <w:color w:val="00B050"/>
          <w:szCs w:val="20"/>
        </w:rPr>
        <w:t xml:space="preserve">, « la difficulté provient du fait que la SNBC ne se veut pas prescriptive et qu’ainsi ses hypothèses sectorielles ne sont pas à la maille de projets mais restent au niveau des grandes leviers de réduction des émissions : amélioration de l’efficacité énergétique des véhicules, progression de la pénétration des véhicules électriques, report modal, baisse de la demande de transport. Des hypothèses de besoins d’investissement sont ensuite élaborées sur ces bases. Autrement dit, il n’est pas possible de déduire de documents de la SNBC l’option de référence sectorielle (secteur des transports) et locale (Ile-de-France) à laquelle comparer l’option de projet (GPE). » (rapport de contrexpertise </w:t>
      </w:r>
      <w:r w:rsidR="00D53B81">
        <w:rPr>
          <w:color w:val="00B050"/>
          <w:szCs w:val="20"/>
        </w:rPr>
        <w:t xml:space="preserve">sur la ligne 15 de janvier 2021, </w:t>
      </w:r>
      <w:r w:rsidRPr="000F5160">
        <w:rPr>
          <w:color w:val="00B050"/>
          <w:szCs w:val="20"/>
        </w:rPr>
        <w:t>page 28). « Dans l’idéal, il faudrait que le porteur de projet dispose d’un scénario de référence décrivant le monde futur tel que l’on peut estimer raisonnablement qu’il va être, et non un monde qui n’existera pas. Ce monde futur est un monde suivant la SNBC (qui est inscrite dans la loi), c’est-à-dire dans lequel est implémentée la valeur du carbone sous-tendant la SNBC (la valeur tutélaire du rapport Quinet 2019), et les investissements publics et privés nécessaires à l’atteinte de l’objectif sont réalisés… » (ibidem, page 29).</w:t>
      </w:r>
    </w:p>
    <w:bookmarkEnd w:id="120"/>
    <w:p w14:paraId="60B0C8C6" w14:textId="77777777" w:rsidR="000F5160" w:rsidRDefault="000F5160" w:rsidP="000F5160">
      <w:pPr>
        <w:jc w:val="both"/>
        <w:rPr>
          <w:szCs w:val="20"/>
        </w:rPr>
      </w:pPr>
    </w:p>
    <w:p w14:paraId="79133389" w14:textId="22AB621A" w:rsidR="000F5160" w:rsidRPr="00082018" w:rsidRDefault="000F5160" w:rsidP="000F5160">
      <w:pPr>
        <w:jc w:val="both"/>
        <w:rPr>
          <w:color w:val="00B050"/>
          <w:szCs w:val="20"/>
        </w:rPr>
      </w:pPr>
      <w:r w:rsidRPr="00082018">
        <w:rPr>
          <w:color w:val="00B050"/>
          <w:szCs w:val="20"/>
        </w:rPr>
        <w:t xml:space="preserve">Par ailleurs, il est indéniable que le report modal, qui est un élément important des économies de gaz à effet de serre induites par la réalisation d’une infrastructure est mal </w:t>
      </w:r>
      <w:r w:rsidR="00082018" w:rsidRPr="00082018">
        <w:rPr>
          <w:color w:val="00B050"/>
          <w:szCs w:val="20"/>
        </w:rPr>
        <w:t>appréhendé</w:t>
      </w:r>
      <w:r w:rsidR="001F7148">
        <w:rPr>
          <w:color w:val="00B050"/>
          <w:szCs w:val="20"/>
        </w:rPr>
        <w:t xml:space="preserve"> avec les modèles actuels</w:t>
      </w:r>
      <w:r w:rsidR="00082018" w:rsidRPr="00082018">
        <w:rPr>
          <w:color w:val="00B050"/>
          <w:szCs w:val="20"/>
        </w:rPr>
        <w:t>, surtout</w:t>
      </w:r>
      <w:r w:rsidRPr="00082018">
        <w:rPr>
          <w:color w:val="00B050"/>
          <w:szCs w:val="20"/>
        </w:rPr>
        <w:t xml:space="preserve"> à 20 ou 30 ans.</w:t>
      </w:r>
      <w:r w:rsidR="00082018" w:rsidRPr="00082018">
        <w:rPr>
          <w:color w:val="00B050"/>
          <w:szCs w:val="20"/>
        </w:rPr>
        <w:t xml:space="preserve"> On</w:t>
      </w:r>
      <w:r w:rsidR="00082018">
        <w:rPr>
          <w:color w:val="00B050"/>
          <w:szCs w:val="20"/>
        </w:rPr>
        <w:t xml:space="preserve"> </w:t>
      </w:r>
      <w:r w:rsidR="00082018" w:rsidRPr="00082018">
        <w:rPr>
          <w:color w:val="00B050"/>
          <w:szCs w:val="20"/>
        </w:rPr>
        <w:t xml:space="preserve">peut considérer que </w:t>
      </w:r>
      <w:r w:rsidR="00082018">
        <w:rPr>
          <w:color w:val="00B050"/>
          <w:szCs w:val="20"/>
        </w:rPr>
        <w:t>« </w:t>
      </w:r>
      <w:r w:rsidR="00082018" w:rsidRPr="00082018">
        <w:rPr>
          <w:color w:val="00B050"/>
          <w:szCs w:val="20"/>
        </w:rPr>
        <w:t>les spécificités du choix modal retenu dans les modèles de trafic utilisés jouent dans le sens d’une sous-estimation forte du transfert modal, tant lors de l’estimation que des prévisions en projet. Les spécificités de l’</w:t>
      </w:r>
      <w:r w:rsidR="001F7148">
        <w:rPr>
          <w:color w:val="00B050"/>
          <w:szCs w:val="20"/>
        </w:rPr>
        <w:t>a</w:t>
      </w:r>
      <w:r w:rsidR="00082018" w:rsidRPr="00082018">
        <w:rPr>
          <w:color w:val="00B050"/>
          <w:szCs w:val="20"/>
        </w:rPr>
        <w:t>ffectation entre les itinéraires TC de la demande TC donnée par le choix modal sous-estiment également les avantages des nouvelles lignes rapides par rapport à ceux des autres lignes TC</w:t>
      </w:r>
      <w:r w:rsidR="00082018">
        <w:rPr>
          <w:color w:val="00B050"/>
          <w:szCs w:val="20"/>
        </w:rPr>
        <w:t> »</w:t>
      </w:r>
      <w:r w:rsidR="00082018" w:rsidRPr="00082018">
        <w:rPr>
          <w:rStyle w:val="Appelnotedebasdep"/>
          <w:color w:val="00B050"/>
          <w:szCs w:val="20"/>
        </w:rPr>
        <w:footnoteReference w:id="61"/>
      </w:r>
      <w:r w:rsidR="00082018" w:rsidRPr="00082018">
        <w:rPr>
          <w:color w:val="00B050"/>
          <w:szCs w:val="20"/>
        </w:rPr>
        <w:t>.</w:t>
      </w:r>
    </w:p>
    <w:p w14:paraId="70AD0647" w14:textId="77777777" w:rsidR="000F5160" w:rsidRDefault="000F5160" w:rsidP="000F5160">
      <w:pPr>
        <w:jc w:val="both"/>
        <w:rPr>
          <w:szCs w:val="20"/>
        </w:rPr>
      </w:pPr>
    </w:p>
    <w:p w14:paraId="38D6C735" w14:textId="77777777" w:rsidR="000F5160" w:rsidRPr="000F5160" w:rsidRDefault="000F5160" w:rsidP="000F5160">
      <w:pPr>
        <w:jc w:val="both"/>
        <w:rPr>
          <w:b/>
          <w:bCs/>
          <w:i/>
          <w:iCs/>
          <w:color w:val="00B050"/>
          <w:szCs w:val="20"/>
        </w:rPr>
      </w:pPr>
      <w:bookmarkStart w:id="121" w:name="_Hlk64028576"/>
      <w:r w:rsidRPr="000F5160">
        <w:rPr>
          <w:b/>
          <w:bCs/>
          <w:i/>
          <w:iCs/>
          <w:color w:val="00B050"/>
          <w:szCs w:val="20"/>
        </w:rPr>
        <w:t xml:space="preserve">Hypothèse avec décarbonation tendancielle </w:t>
      </w:r>
    </w:p>
    <w:bookmarkEnd w:id="121"/>
    <w:p w14:paraId="22A50802" w14:textId="77777777" w:rsidR="000F5160" w:rsidRPr="000F5160" w:rsidRDefault="000F5160" w:rsidP="000F5160">
      <w:pPr>
        <w:ind w:left="360"/>
        <w:jc w:val="both"/>
        <w:rPr>
          <w:color w:val="00B050"/>
          <w:szCs w:val="20"/>
        </w:rPr>
      </w:pPr>
    </w:p>
    <w:p w14:paraId="666683F2" w14:textId="67766C15" w:rsidR="000F5160" w:rsidRPr="000F5160" w:rsidRDefault="000F5160" w:rsidP="000F5160">
      <w:pPr>
        <w:jc w:val="both"/>
        <w:rPr>
          <w:color w:val="00B050"/>
          <w:szCs w:val="20"/>
        </w:rPr>
      </w:pPr>
      <w:r w:rsidRPr="000F5160">
        <w:rPr>
          <w:color w:val="00B050"/>
          <w:szCs w:val="20"/>
        </w:rPr>
        <w:t xml:space="preserve">Pour </w:t>
      </w:r>
      <w:r w:rsidR="00D53B81">
        <w:rPr>
          <w:color w:val="00B050"/>
          <w:szCs w:val="20"/>
        </w:rPr>
        <w:t>mettre en perspective les</w:t>
      </w:r>
      <w:r w:rsidRPr="000F5160">
        <w:rPr>
          <w:color w:val="00B050"/>
          <w:szCs w:val="20"/>
        </w:rPr>
        <w:t xml:space="preserve"> calculs de base présentés plus haut</w:t>
      </w:r>
      <w:r w:rsidR="00D53B81">
        <w:rPr>
          <w:color w:val="00B050"/>
          <w:szCs w:val="20"/>
        </w:rPr>
        <w:t xml:space="preserve">, </w:t>
      </w:r>
      <w:r w:rsidRPr="000F5160">
        <w:rPr>
          <w:color w:val="00B050"/>
          <w:szCs w:val="20"/>
        </w:rPr>
        <w:t>il a été procédé à un « Bilan carbone » du projet dans une hypothèse de « fil de l’eau », c’est-à-dire</w:t>
      </w:r>
      <w:r w:rsidR="00DB4AA4">
        <w:rPr>
          <w:color w:val="00B050"/>
          <w:szCs w:val="20"/>
        </w:rPr>
        <w:t xml:space="preserve"> </w:t>
      </w:r>
      <w:r w:rsidRPr="000F5160">
        <w:rPr>
          <w:color w:val="00B050"/>
          <w:szCs w:val="20"/>
        </w:rPr>
        <w:t xml:space="preserve">une hypothèse </w:t>
      </w:r>
      <w:r w:rsidR="00DB4AA4">
        <w:rPr>
          <w:color w:val="00B050"/>
          <w:szCs w:val="20"/>
        </w:rPr>
        <w:t xml:space="preserve">selon laquelle </w:t>
      </w:r>
      <w:r w:rsidRPr="000F5160">
        <w:rPr>
          <w:color w:val="00B050"/>
          <w:szCs w:val="20"/>
        </w:rPr>
        <w:t xml:space="preserve">les conditions de réalisation effective de la SNBC ne permettraient </w:t>
      </w:r>
      <w:r w:rsidR="00D53B81">
        <w:rPr>
          <w:color w:val="00B050"/>
          <w:szCs w:val="20"/>
        </w:rPr>
        <w:t xml:space="preserve">pas </w:t>
      </w:r>
      <w:r w:rsidRPr="000F5160">
        <w:rPr>
          <w:color w:val="00B050"/>
          <w:szCs w:val="20"/>
        </w:rPr>
        <w:t xml:space="preserve">d’atteindre les objectifs de décarbonation que d’une manière très partielle. </w:t>
      </w:r>
      <w:r w:rsidR="00DB4AA4">
        <w:rPr>
          <w:color w:val="00B050"/>
          <w:szCs w:val="20"/>
        </w:rPr>
        <w:t xml:space="preserve">Il s’agit </w:t>
      </w:r>
      <w:r w:rsidR="00DB4AA4" w:rsidRPr="00D53B81">
        <w:rPr>
          <w:color w:val="00B050"/>
          <w:szCs w:val="20"/>
        </w:rPr>
        <w:t>d</w:t>
      </w:r>
      <w:r w:rsidR="002918AB">
        <w:rPr>
          <w:color w:val="00B050"/>
          <w:szCs w:val="20"/>
        </w:rPr>
        <w:t>u</w:t>
      </w:r>
      <w:r w:rsidR="00DB4AA4" w:rsidRPr="00D53B81">
        <w:rPr>
          <w:color w:val="00B050"/>
          <w:szCs w:val="20"/>
        </w:rPr>
        <w:t xml:space="preserve"> </w:t>
      </w:r>
      <w:r w:rsidR="00DB4AA4" w:rsidRPr="00DB4AA4">
        <w:rPr>
          <w:b/>
          <w:bCs/>
          <w:color w:val="00B050"/>
          <w:szCs w:val="20"/>
        </w:rPr>
        <w:t xml:space="preserve">test de sensibilité </w:t>
      </w:r>
      <w:r w:rsidR="001F7148">
        <w:rPr>
          <w:b/>
          <w:bCs/>
          <w:color w:val="00B050"/>
          <w:szCs w:val="20"/>
        </w:rPr>
        <w:t xml:space="preserve">appelé </w:t>
      </w:r>
      <w:r w:rsidR="00DB4AA4">
        <w:rPr>
          <w:b/>
          <w:bCs/>
          <w:color w:val="00B050"/>
          <w:szCs w:val="20"/>
        </w:rPr>
        <w:t xml:space="preserve">scénario </w:t>
      </w:r>
      <w:r w:rsidR="00DB4AA4" w:rsidRPr="00DB4AA4">
        <w:rPr>
          <w:b/>
          <w:bCs/>
          <w:color w:val="00B050"/>
          <w:szCs w:val="20"/>
        </w:rPr>
        <w:t>AME</w:t>
      </w:r>
      <w:r w:rsidR="00DB4AA4">
        <w:rPr>
          <w:color w:val="00B050"/>
          <w:szCs w:val="20"/>
        </w:rPr>
        <w:t xml:space="preserve"> dans la fiche technique de mai 2019 annexées à l’instruction de juin 2014,</w:t>
      </w:r>
      <w:r w:rsidR="00DB4AA4" w:rsidRPr="00811C1E">
        <w:rPr>
          <w:color w:val="00B050"/>
          <w:szCs w:val="20"/>
        </w:rPr>
        <w:t xml:space="preserve"> inscrit dans la continuité</w:t>
      </w:r>
      <w:r w:rsidR="00DB4AA4">
        <w:rPr>
          <w:color w:val="00B050"/>
          <w:szCs w:val="20"/>
        </w:rPr>
        <w:t xml:space="preserve"> </w:t>
      </w:r>
      <w:r w:rsidR="00DB4AA4" w:rsidRPr="00811C1E">
        <w:rPr>
          <w:color w:val="00B050"/>
          <w:szCs w:val="20"/>
        </w:rPr>
        <w:t>des évolutions passées du secteur des transports</w:t>
      </w:r>
      <w:r w:rsidR="00DB4AA4">
        <w:rPr>
          <w:color w:val="00B050"/>
          <w:szCs w:val="20"/>
        </w:rPr>
        <w:t xml:space="preserve">. La fiche technique recommande de comparer le scénario AMS et ce scénario AME </w:t>
      </w:r>
      <w:r w:rsidR="00DB4AA4" w:rsidRPr="00811C1E">
        <w:rPr>
          <w:color w:val="00B050"/>
          <w:szCs w:val="20"/>
        </w:rPr>
        <w:t>pour</w:t>
      </w:r>
      <w:r w:rsidR="00DB4AA4">
        <w:rPr>
          <w:color w:val="00B050"/>
          <w:szCs w:val="20"/>
        </w:rPr>
        <w:t xml:space="preserve"> « </w:t>
      </w:r>
      <w:r w:rsidR="00DB4AA4" w:rsidRPr="00811C1E">
        <w:rPr>
          <w:color w:val="00B050"/>
          <w:szCs w:val="20"/>
        </w:rPr>
        <w:t>apprécier la contribution du projet aux objectifs climatiques dans un cadrage moins favorable</w:t>
      </w:r>
      <w:r w:rsidR="00DB4AA4">
        <w:rPr>
          <w:color w:val="00B050"/>
          <w:szCs w:val="20"/>
        </w:rPr>
        <w:t xml:space="preserve"> </w:t>
      </w:r>
      <w:r w:rsidR="00DB4AA4" w:rsidRPr="00811C1E">
        <w:rPr>
          <w:color w:val="00B050"/>
          <w:szCs w:val="20"/>
        </w:rPr>
        <w:t xml:space="preserve">à la diminution des émissions de gaz à effet de serre. Ce scénario </w:t>
      </w:r>
      <w:r w:rsidR="00DB4AA4">
        <w:rPr>
          <w:color w:val="00B050"/>
          <w:szCs w:val="20"/>
        </w:rPr>
        <w:t xml:space="preserve">est </w:t>
      </w:r>
      <w:r w:rsidR="00DB4AA4" w:rsidRPr="00811C1E">
        <w:rPr>
          <w:color w:val="00B050"/>
          <w:szCs w:val="20"/>
        </w:rPr>
        <w:t>prolongé après 2050 pour</w:t>
      </w:r>
      <w:r w:rsidR="00DB4AA4">
        <w:rPr>
          <w:color w:val="00B050"/>
          <w:szCs w:val="20"/>
        </w:rPr>
        <w:t xml:space="preserve"> </w:t>
      </w:r>
      <w:r w:rsidR="00DB4AA4" w:rsidRPr="00811C1E">
        <w:rPr>
          <w:color w:val="00B050"/>
          <w:szCs w:val="20"/>
        </w:rPr>
        <w:t>aboutir à l’atteinte de la neutralité carbone en 2070</w:t>
      </w:r>
      <w:r w:rsidR="001F7148">
        <w:rPr>
          <w:color w:val="00B050"/>
          <w:szCs w:val="20"/>
        </w:rPr>
        <w:t xml:space="preserve"> »</w:t>
      </w:r>
      <w:r w:rsidR="00DB4AA4" w:rsidRPr="00811C1E">
        <w:rPr>
          <w:color w:val="00B050"/>
          <w:szCs w:val="20"/>
        </w:rPr>
        <w:t>.</w:t>
      </w:r>
    </w:p>
    <w:p w14:paraId="6D295E7B" w14:textId="77777777" w:rsidR="00DB4AA4" w:rsidRDefault="00DB4AA4" w:rsidP="000F5160">
      <w:pPr>
        <w:jc w:val="both"/>
        <w:rPr>
          <w:color w:val="00B050"/>
          <w:szCs w:val="20"/>
        </w:rPr>
      </w:pPr>
    </w:p>
    <w:p w14:paraId="67C967D4" w14:textId="7FDF7F93" w:rsidR="000F5160" w:rsidRPr="000F5160" w:rsidRDefault="00DB4AA4" w:rsidP="00D53B81">
      <w:pPr>
        <w:jc w:val="both"/>
        <w:rPr>
          <w:color w:val="00B050"/>
          <w:szCs w:val="20"/>
        </w:rPr>
      </w:pPr>
      <w:r w:rsidRPr="000F5160">
        <w:rPr>
          <w:color w:val="00B050"/>
          <w:szCs w:val="20"/>
        </w:rPr>
        <w:t xml:space="preserve">La SGP, avant les textes sur la SNBC, avait mis au point </w:t>
      </w:r>
      <w:r w:rsidRPr="00DB4AA4">
        <w:rPr>
          <w:b/>
          <w:bCs/>
          <w:color w:val="00B050"/>
          <w:szCs w:val="20"/>
        </w:rPr>
        <w:t>un logiciel « CarbOptimum » spécifique, s’appuyant sur les nombreuses recherches et outils existants en termes d’évaluation des émissions de GES des grands projets, correspondant avant la lettre au scénario AME</w:t>
      </w:r>
      <w:r w:rsidRPr="000F5160">
        <w:rPr>
          <w:color w:val="00B050"/>
          <w:szCs w:val="20"/>
        </w:rPr>
        <w:t>. Les éléments disponibles dans la littérature internationale ont été adaptés au contexte francilien et au projet du GPE.</w:t>
      </w:r>
      <w:r w:rsidR="002918AB">
        <w:rPr>
          <w:color w:val="00B050"/>
          <w:szCs w:val="20"/>
        </w:rPr>
        <w:t xml:space="preserve"> </w:t>
      </w:r>
      <w:r w:rsidR="000F5160" w:rsidRPr="000F5160">
        <w:rPr>
          <w:color w:val="00B050"/>
          <w:szCs w:val="20"/>
        </w:rPr>
        <w:t xml:space="preserve">Le bilan général des émissions de GES induites et évitées par le Grand Paris Express </w:t>
      </w:r>
      <w:r w:rsidR="000F5160" w:rsidRPr="000F5160">
        <w:rPr>
          <w:color w:val="00B050"/>
          <w:szCs w:val="20"/>
        </w:rPr>
        <w:t xml:space="preserve">est obtenu </w:t>
      </w:r>
      <w:r w:rsidR="00811C1E">
        <w:rPr>
          <w:color w:val="00B050"/>
          <w:szCs w:val="20"/>
        </w:rPr>
        <w:t xml:space="preserve">dans </w:t>
      </w:r>
      <w:r w:rsidR="001F7148">
        <w:rPr>
          <w:color w:val="00B050"/>
          <w:szCs w:val="20"/>
        </w:rPr>
        <w:t xml:space="preserve">ce logiciel « Carboptimum » </w:t>
      </w:r>
      <w:r w:rsidR="000F5160" w:rsidRPr="000F5160">
        <w:rPr>
          <w:color w:val="00B050"/>
          <w:szCs w:val="20"/>
        </w:rPr>
        <w:t xml:space="preserve">en sommant les émissions relatives aux différents postes d’émission des gaz à effets de serre : il s’agit des études préalables, de la phase de construction, du fonctionnement de l’infrastructure, et </w:t>
      </w:r>
      <w:r>
        <w:rPr>
          <w:color w:val="00B050"/>
          <w:szCs w:val="20"/>
        </w:rPr>
        <w:t xml:space="preserve">des </w:t>
      </w:r>
      <w:r w:rsidR="000F5160" w:rsidRPr="000F5160">
        <w:rPr>
          <w:color w:val="00B050"/>
          <w:szCs w:val="20"/>
        </w:rPr>
        <w:t xml:space="preserve">bénéfices associés au report modal induit par le projet </w:t>
      </w:r>
      <w:r>
        <w:rPr>
          <w:color w:val="00B050"/>
          <w:szCs w:val="20"/>
        </w:rPr>
        <w:t xml:space="preserve">ainsi que </w:t>
      </w:r>
      <w:r w:rsidR="000F5160" w:rsidRPr="000F5160">
        <w:rPr>
          <w:color w:val="00B050"/>
          <w:szCs w:val="20"/>
        </w:rPr>
        <w:t>des bénéfices liés à un développement territorial plus dense. Pour chacun de ces postes, des analyses très détaillées des différentes composantes de ces émissions et économies de gaz à effets de serre ont été effectuées.</w:t>
      </w:r>
      <w:r w:rsidR="00811C1E">
        <w:rPr>
          <w:color w:val="00B050"/>
          <w:szCs w:val="20"/>
        </w:rPr>
        <w:t xml:space="preserve"> </w:t>
      </w:r>
      <w:r w:rsidR="000F5160" w:rsidRPr="000F5160">
        <w:rPr>
          <w:color w:val="00B050"/>
          <w:szCs w:val="20"/>
        </w:rPr>
        <w:t xml:space="preserve">Les résultats du bilan </w:t>
      </w:r>
      <w:r w:rsidR="00811C1E">
        <w:rPr>
          <w:color w:val="00B050"/>
          <w:szCs w:val="20"/>
        </w:rPr>
        <w:t xml:space="preserve">ainsi calculé </w:t>
      </w:r>
      <w:r w:rsidR="000F5160" w:rsidRPr="000F5160">
        <w:rPr>
          <w:color w:val="00B050"/>
          <w:szCs w:val="20"/>
        </w:rPr>
        <w:t xml:space="preserve">aux horizons 2050 et 2070 </w:t>
      </w:r>
      <w:r w:rsidR="00D53B81">
        <w:rPr>
          <w:color w:val="00B050"/>
          <w:szCs w:val="20"/>
        </w:rPr>
        <w:t>sont</w:t>
      </w:r>
      <w:r w:rsidR="000F5160" w:rsidRPr="000F5160">
        <w:rPr>
          <w:color w:val="00B050"/>
          <w:szCs w:val="20"/>
        </w:rPr>
        <w:t xml:space="preserve"> présentés selon deux scénarios synthétiques A et B, qui reprennent </w:t>
      </w:r>
      <w:r w:rsidR="00811C1E">
        <w:rPr>
          <w:color w:val="00B050"/>
          <w:szCs w:val="20"/>
        </w:rPr>
        <w:t>d</w:t>
      </w:r>
      <w:r w:rsidR="000F5160" w:rsidRPr="000F5160">
        <w:rPr>
          <w:color w:val="00B050"/>
          <w:szCs w:val="20"/>
        </w:rPr>
        <w:t xml:space="preserve">es hypothèses </w:t>
      </w:r>
      <w:r w:rsidR="00C23E6B">
        <w:rPr>
          <w:color w:val="00B050"/>
          <w:szCs w:val="20"/>
        </w:rPr>
        <w:t>« minorantes »</w:t>
      </w:r>
      <w:r w:rsidR="000F5160" w:rsidRPr="000F5160">
        <w:rPr>
          <w:color w:val="00B050"/>
          <w:szCs w:val="20"/>
        </w:rPr>
        <w:t xml:space="preserve"> </w:t>
      </w:r>
      <w:r w:rsidR="00811C1E">
        <w:rPr>
          <w:color w:val="00B050"/>
          <w:szCs w:val="20"/>
        </w:rPr>
        <w:t>pour l</w:t>
      </w:r>
      <w:r w:rsidR="00D53B81">
        <w:rPr>
          <w:color w:val="00B050"/>
          <w:szCs w:val="20"/>
        </w:rPr>
        <w:t>e</w:t>
      </w:r>
      <w:r w:rsidR="00811C1E">
        <w:rPr>
          <w:color w:val="00B050"/>
          <w:szCs w:val="20"/>
        </w:rPr>
        <w:t xml:space="preserve"> A</w:t>
      </w:r>
      <w:r w:rsidR="005F4A34">
        <w:rPr>
          <w:color w:val="00B050"/>
          <w:szCs w:val="20"/>
        </w:rPr>
        <w:t>,</w:t>
      </w:r>
      <w:r w:rsidR="00811C1E">
        <w:rPr>
          <w:color w:val="00B050"/>
          <w:szCs w:val="20"/>
        </w:rPr>
        <w:t xml:space="preserve"> </w:t>
      </w:r>
      <w:r w:rsidR="000F5160" w:rsidRPr="000F5160">
        <w:rPr>
          <w:color w:val="00B050"/>
          <w:szCs w:val="20"/>
        </w:rPr>
        <w:t xml:space="preserve">et </w:t>
      </w:r>
      <w:r w:rsidR="00C23E6B">
        <w:rPr>
          <w:color w:val="00B050"/>
          <w:szCs w:val="20"/>
        </w:rPr>
        <w:t xml:space="preserve">« réalistes » </w:t>
      </w:r>
      <w:r w:rsidR="00811C1E">
        <w:rPr>
          <w:color w:val="00B050"/>
          <w:szCs w:val="20"/>
        </w:rPr>
        <w:t>pour le B</w:t>
      </w:r>
      <w:r w:rsidR="005F4A34">
        <w:rPr>
          <w:color w:val="00B050"/>
          <w:szCs w:val="20"/>
        </w:rPr>
        <w:t>,</w:t>
      </w:r>
      <w:r w:rsidR="00811C1E">
        <w:rPr>
          <w:color w:val="00B050"/>
          <w:szCs w:val="20"/>
        </w:rPr>
        <w:t xml:space="preserve"> </w:t>
      </w:r>
      <w:r w:rsidR="000F5160" w:rsidRPr="000F5160">
        <w:rPr>
          <w:color w:val="00B050"/>
          <w:szCs w:val="20"/>
        </w:rPr>
        <w:t>pour les différents et nombreux paramètres d’émission ou d’économies unitaires pour chacun des postes du calcul, études préalables, construction, fonctionnement de l’infrastructure, mobilité et développement territorial.</w:t>
      </w:r>
    </w:p>
    <w:p w14:paraId="34A12787" w14:textId="77777777" w:rsidR="000F5160" w:rsidRPr="000F5160" w:rsidRDefault="000F5160" w:rsidP="000F5160">
      <w:pPr>
        <w:rPr>
          <w:color w:val="00B050"/>
          <w:szCs w:val="20"/>
        </w:rPr>
      </w:pPr>
    </w:p>
    <w:p w14:paraId="25763505" w14:textId="2449084D" w:rsidR="000F5160" w:rsidRDefault="000F5160" w:rsidP="000F5160">
      <w:pPr>
        <w:rPr>
          <w:color w:val="00B050"/>
          <w:szCs w:val="20"/>
        </w:rPr>
      </w:pPr>
      <w:r w:rsidRPr="000F5160">
        <w:rPr>
          <w:color w:val="00B050"/>
          <w:szCs w:val="20"/>
        </w:rPr>
        <w:t>Les émissions cumulées année par année selon les différents postes pour les scénarios A et B sont représentées dans les graphiques ci-dessous :</w:t>
      </w:r>
    </w:p>
    <w:p w14:paraId="20D03B68" w14:textId="77777777" w:rsidR="005F4A34" w:rsidRPr="000F5160" w:rsidRDefault="005F4A34" w:rsidP="000F5160">
      <w:pPr>
        <w:rPr>
          <w:color w:val="00B050"/>
          <w:szCs w:val="20"/>
        </w:rPr>
      </w:pPr>
    </w:p>
    <w:p w14:paraId="42DCC587" w14:textId="77777777" w:rsidR="000F5160" w:rsidRPr="00811C1E" w:rsidRDefault="000F5160" w:rsidP="000F5160">
      <w:pPr>
        <w:pStyle w:val="Lgende"/>
        <w:numPr>
          <w:ilvl w:val="0"/>
          <w:numId w:val="0"/>
        </w:numPr>
        <w:spacing w:before="0"/>
        <w:ind w:left="360"/>
        <w:jc w:val="left"/>
        <w:rPr>
          <w:b/>
          <w:bCs w:val="0"/>
          <w:color w:val="00B050"/>
        </w:rPr>
      </w:pPr>
      <w:bookmarkStart w:id="122" w:name="_Toc23951383"/>
      <w:bookmarkStart w:id="123" w:name="_Hlk5777915"/>
      <w:r w:rsidRPr="00811C1E">
        <w:rPr>
          <w:b/>
          <w:bCs w:val="0"/>
          <w:color w:val="00B050"/>
          <w:sz w:val="18"/>
          <w:szCs w:val="18"/>
        </w:rPr>
        <w:t>bilan des émissions de GES liées au projet du Grand Paris Express au cours du temps et selon le scénario A, en téqCO</w:t>
      </w:r>
      <w:r w:rsidRPr="00811C1E">
        <w:rPr>
          <w:b/>
          <w:bCs w:val="0"/>
          <w:color w:val="00B050"/>
          <w:sz w:val="18"/>
          <w:szCs w:val="18"/>
          <w:vertAlign w:val="subscript"/>
        </w:rPr>
        <w:t xml:space="preserve">2 </w:t>
      </w:r>
      <w:r w:rsidRPr="00811C1E">
        <w:rPr>
          <w:b/>
          <w:bCs w:val="0"/>
          <w:color w:val="00B050"/>
          <w:sz w:val="18"/>
          <w:szCs w:val="18"/>
        </w:rPr>
        <w:t>(source : CarbOptimum 2018</w:t>
      </w:r>
      <w:r w:rsidRPr="00811C1E">
        <w:rPr>
          <w:b/>
          <w:bCs w:val="0"/>
          <w:color w:val="00B050"/>
        </w:rPr>
        <w:t>)</w:t>
      </w:r>
      <w:bookmarkEnd w:id="122"/>
      <w:bookmarkEnd w:id="123"/>
    </w:p>
    <w:p w14:paraId="2A92952D" w14:textId="77777777" w:rsidR="000F5160" w:rsidRPr="000F5160" w:rsidRDefault="000F5160" w:rsidP="000F5160">
      <w:pPr>
        <w:rPr>
          <w:color w:val="00B050"/>
          <w:szCs w:val="20"/>
        </w:rPr>
      </w:pPr>
      <w:r w:rsidRPr="000F5160">
        <w:rPr>
          <w:noProof/>
          <w:color w:val="00B050"/>
          <w:szCs w:val="20"/>
        </w:rPr>
        <w:drawing>
          <wp:inline distT="0" distB="0" distL="0" distR="0" wp14:anchorId="2E960BAB" wp14:editId="1E3EFFC9">
            <wp:extent cx="5389341" cy="2700000"/>
            <wp:effectExtent l="0" t="0" r="1905" b="5715"/>
            <wp:docPr id="33826" name="Image 3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389341" cy="2700000"/>
                    </a:xfrm>
                    <a:prstGeom prst="rect">
                      <a:avLst/>
                    </a:prstGeom>
                    <a:noFill/>
                  </pic:spPr>
                </pic:pic>
              </a:graphicData>
            </a:graphic>
          </wp:inline>
        </w:drawing>
      </w:r>
    </w:p>
    <w:p w14:paraId="54719D9D" w14:textId="77777777" w:rsidR="000F5160" w:rsidRPr="000F5160" w:rsidRDefault="000F5160" w:rsidP="000F5160">
      <w:pPr>
        <w:pStyle w:val="Lgende"/>
        <w:numPr>
          <w:ilvl w:val="0"/>
          <w:numId w:val="0"/>
        </w:numPr>
        <w:spacing w:before="0"/>
        <w:ind w:left="720" w:hanging="360"/>
        <w:jc w:val="left"/>
        <w:rPr>
          <w:color w:val="00B050"/>
        </w:rPr>
      </w:pPr>
      <w:bookmarkStart w:id="124" w:name="_Toc23951384"/>
    </w:p>
    <w:p w14:paraId="25B867B4" w14:textId="77777777" w:rsidR="000F5160" w:rsidRPr="005F4A34" w:rsidRDefault="000F5160" w:rsidP="000F5160">
      <w:pPr>
        <w:pStyle w:val="Lgende"/>
        <w:numPr>
          <w:ilvl w:val="0"/>
          <w:numId w:val="0"/>
        </w:numPr>
        <w:spacing w:before="0"/>
        <w:ind w:left="360"/>
        <w:jc w:val="left"/>
        <w:rPr>
          <w:b/>
          <w:bCs w:val="0"/>
          <w:color w:val="00B050"/>
          <w:sz w:val="18"/>
          <w:szCs w:val="18"/>
        </w:rPr>
      </w:pPr>
      <w:r w:rsidRPr="005F4A34">
        <w:rPr>
          <w:b/>
          <w:bCs w:val="0"/>
          <w:color w:val="00B050"/>
          <w:sz w:val="18"/>
          <w:szCs w:val="18"/>
        </w:rPr>
        <w:t xml:space="preserve">bilan des émissions de GES liées au projet du Grand Paris Express au cours du temps et selon le scénario B, en </w:t>
      </w:r>
      <w:bookmarkStart w:id="125" w:name="_Hlk63935085"/>
      <w:r w:rsidRPr="005F4A34">
        <w:rPr>
          <w:b/>
          <w:bCs w:val="0"/>
          <w:color w:val="00B050"/>
          <w:sz w:val="18"/>
          <w:szCs w:val="18"/>
        </w:rPr>
        <w:t>téqCO</w:t>
      </w:r>
      <w:r w:rsidRPr="005F4A34">
        <w:rPr>
          <w:b/>
          <w:bCs w:val="0"/>
          <w:color w:val="00B050"/>
          <w:sz w:val="18"/>
          <w:szCs w:val="18"/>
          <w:vertAlign w:val="subscript"/>
        </w:rPr>
        <w:t xml:space="preserve">2 </w:t>
      </w:r>
      <w:bookmarkEnd w:id="125"/>
      <w:r w:rsidRPr="005F4A34">
        <w:rPr>
          <w:b/>
          <w:bCs w:val="0"/>
          <w:color w:val="00B050"/>
          <w:sz w:val="18"/>
          <w:szCs w:val="18"/>
        </w:rPr>
        <w:t>(source : CarbOptimum 2018)</w:t>
      </w:r>
      <w:bookmarkEnd w:id="124"/>
    </w:p>
    <w:p w14:paraId="2E6F2BCC" w14:textId="77777777" w:rsidR="000F5160" w:rsidRPr="000F5160" w:rsidRDefault="000F5160" w:rsidP="000F5160">
      <w:pPr>
        <w:rPr>
          <w:color w:val="00B050"/>
          <w:szCs w:val="20"/>
        </w:rPr>
      </w:pPr>
      <w:r w:rsidRPr="000F5160">
        <w:rPr>
          <w:noProof/>
          <w:color w:val="00B050"/>
          <w:szCs w:val="20"/>
        </w:rPr>
        <w:drawing>
          <wp:inline distT="0" distB="0" distL="0" distR="0" wp14:anchorId="3B0CBE30" wp14:editId="463317F1">
            <wp:extent cx="5413790" cy="2700000"/>
            <wp:effectExtent l="0" t="0" r="0" b="5715"/>
            <wp:docPr id="33827" name="Image 3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13790" cy="2700000"/>
                    </a:xfrm>
                    <a:prstGeom prst="rect">
                      <a:avLst/>
                    </a:prstGeom>
                    <a:noFill/>
                  </pic:spPr>
                </pic:pic>
              </a:graphicData>
            </a:graphic>
          </wp:inline>
        </w:drawing>
      </w:r>
    </w:p>
    <w:p w14:paraId="79F00EEB" w14:textId="77777777" w:rsidR="000F5160" w:rsidRPr="000F5160" w:rsidRDefault="000F5160" w:rsidP="000F5160">
      <w:pPr>
        <w:rPr>
          <w:color w:val="00B050"/>
          <w:szCs w:val="20"/>
        </w:rPr>
      </w:pPr>
    </w:p>
    <w:p w14:paraId="09793719" w14:textId="33C5F3AC" w:rsidR="000F5160" w:rsidRPr="000F5160" w:rsidRDefault="000F5160" w:rsidP="000F5160">
      <w:pPr>
        <w:jc w:val="both"/>
        <w:rPr>
          <w:color w:val="00B050"/>
          <w:szCs w:val="20"/>
        </w:rPr>
      </w:pPr>
      <w:r w:rsidRPr="000F5160">
        <w:rPr>
          <w:color w:val="00B050"/>
          <w:szCs w:val="20"/>
        </w:rPr>
        <w:lastRenderedPageBreak/>
        <w:t xml:space="preserve">Ces graphiques montrent que la première phase du projet induit </w:t>
      </w:r>
      <w:r w:rsidR="00811C1E">
        <w:rPr>
          <w:color w:val="00B050"/>
          <w:szCs w:val="20"/>
        </w:rPr>
        <w:t xml:space="preserve">bien évidemment </w:t>
      </w:r>
      <w:r w:rsidRPr="000F5160">
        <w:rPr>
          <w:color w:val="00B050"/>
          <w:szCs w:val="20"/>
        </w:rPr>
        <w:t xml:space="preserve">plus d’émissions de GES qu’elle ne permet d’en éviter et qu’il faut un certain temps pour que les diminutions d’émissions liées à la mobilité et au développement plus durable du territoire ne les compensent. Néanmoins, le bilan des émissions de GES devient positif à partir de 2031 dans le cas du scénario </w:t>
      </w:r>
      <w:r w:rsidR="00C23E6B">
        <w:rPr>
          <w:color w:val="00B050"/>
          <w:szCs w:val="20"/>
        </w:rPr>
        <w:t>« minorant »</w:t>
      </w:r>
      <w:r w:rsidRPr="000F5160">
        <w:rPr>
          <w:color w:val="00B050"/>
          <w:szCs w:val="20"/>
        </w:rPr>
        <w:t xml:space="preserve"> et plus tôt dans le cas du scénario </w:t>
      </w:r>
      <w:r w:rsidR="00F21EB2">
        <w:rPr>
          <w:color w:val="00B050"/>
          <w:szCs w:val="20"/>
        </w:rPr>
        <w:t>« </w:t>
      </w:r>
      <w:r w:rsidR="00C23E6B">
        <w:rPr>
          <w:color w:val="00B050"/>
          <w:szCs w:val="20"/>
        </w:rPr>
        <w:t>réaliste</w:t>
      </w:r>
      <w:r w:rsidR="00F21EB2">
        <w:rPr>
          <w:color w:val="00B050"/>
          <w:szCs w:val="20"/>
        </w:rPr>
        <w:t> »</w:t>
      </w:r>
      <w:r w:rsidRPr="000F5160">
        <w:rPr>
          <w:color w:val="00B050"/>
          <w:szCs w:val="20"/>
        </w:rPr>
        <w:t xml:space="preserve"> car il s’agit d’un scénario moins péjorant pour les émissions de GES induites par l’exploitation du GPE. A partir de là, les gains annuels rendent le bilan du projet de plus en plus positif.</w:t>
      </w:r>
    </w:p>
    <w:p w14:paraId="0A4378F3" w14:textId="77777777" w:rsidR="000F5160" w:rsidRPr="000F5160" w:rsidRDefault="000F5160" w:rsidP="000F5160">
      <w:pPr>
        <w:jc w:val="both"/>
        <w:rPr>
          <w:color w:val="00B050"/>
          <w:szCs w:val="20"/>
        </w:rPr>
      </w:pPr>
    </w:p>
    <w:p w14:paraId="5983C4F6" w14:textId="4D39BE02" w:rsidR="000F5160" w:rsidRPr="000F5160" w:rsidRDefault="000F5160" w:rsidP="000F5160">
      <w:pPr>
        <w:jc w:val="both"/>
        <w:rPr>
          <w:color w:val="00B050"/>
          <w:szCs w:val="20"/>
        </w:rPr>
      </w:pPr>
      <w:r w:rsidRPr="000F5160">
        <w:rPr>
          <w:color w:val="00B050"/>
          <w:szCs w:val="20"/>
        </w:rPr>
        <w:t>Ainsi, entre 2030 et 2070, soit lorsque l’infrastructure est en plein fonctionnement, le projet permet</w:t>
      </w:r>
      <w:r w:rsidR="001F7148">
        <w:rPr>
          <w:color w:val="00B050"/>
          <w:szCs w:val="20"/>
        </w:rPr>
        <w:t xml:space="preserve">trait dans ce scénario « AME » </w:t>
      </w:r>
      <w:r w:rsidRPr="000F5160">
        <w:rPr>
          <w:color w:val="00B050"/>
          <w:szCs w:val="20"/>
        </w:rPr>
        <w:t xml:space="preserve">d’éviter environ </w:t>
      </w:r>
      <w:r w:rsidR="002918AB">
        <w:rPr>
          <w:color w:val="00B050"/>
          <w:szCs w:val="20"/>
        </w:rPr>
        <w:t>0,</w:t>
      </w:r>
      <w:r w:rsidRPr="000F5160">
        <w:rPr>
          <w:color w:val="00B050"/>
          <w:szCs w:val="20"/>
        </w:rPr>
        <w:t xml:space="preserve">75 </w:t>
      </w:r>
      <w:r w:rsidR="002918AB">
        <w:rPr>
          <w:color w:val="00B050"/>
          <w:szCs w:val="20"/>
        </w:rPr>
        <w:t>millions de</w:t>
      </w:r>
      <w:r w:rsidRPr="000F5160">
        <w:rPr>
          <w:color w:val="00B050"/>
          <w:szCs w:val="20"/>
        </w:rPr>
        <w:t xml:space="preserve"> téqCO</w:t>
      </w:r>
      <w:r w:rsidRPr="000F5160">
        <w:rPr>
          <w:color w:val="00B050"/>
          <w:szCs w:val="20"/>
          <w:vertAlign w:val="subscript"/>
        </w:rPr>
        <w:t>2</w:t>
      </w:r>
      <w:r w:rsidRPr="000F5160">
        <w:rPr>
          <w:color w:val="00B050"/>
          <w:szCs w:val="20"/>
        </w:rPr>
        <w:t xml:space="preserve"> par an selon le scénario A et 1</w:t>
      </w:r>
      <w:r w:rsidR="002918AB">
        <w:rPr>
          <w:color w:val="00B050"/>
          <w:szCs w:val="20"/>
        </w:rPr>
        <w:t>,</w:t>
      </w:r>
      <w:r w:rsidRPr="000F5160">
        <w:rPr>
          <w:color w:val="00B050"/>
          <w:szCs w:val="20"/>
        </w:rPr>
        <w:t>2</w:t>
      </w:r>
      <w:r w:rsidR="002918AB">
        <w:rPr>
          <w:color w:val="00B050"/>
          <w:szCs w:val="20"/>
        </w:rPr>
        <w:t>3</w:t>
      </w:r>
      <w:r w:rsidRPr="000F5160">
        <w:rPr>
          <w:color w:val="00B050"/>
          <w:szCs w:val="20"/>
        </w:rPr>
        <w:t xml:space="preserve"> </w:t>
      </w:r>
      <w:r w:rsidR="002918AB">
        <w:rPr>
          <w:color w:val="00B050"/>
          <w:szCs w:val="20"/>
        </w:rPr>
        <w:t>millions de</w:t>
      </w:r>
      <w:r w:rsidRPr="000F5160">
        <w:rPr>
          <w:color w:val="00B050"/>
          <w:szCs w:val="20"/>
        </w:rPr>
        <w:t xml:space="preserve"> téquCO</w:t>
      </w:r>
      <w:r w:rsidRPr="000F5160">
        <w:rPr>
          <w:color w:val="00B050"/>
          <w:szCs w:val="20"/>
          <w:vertAlign w:val="subscript"/>
        </w:rPr>
        <w:t>2</w:t>
      </w:r>
      <w:r w:rsidRPr="000F5160">
        <w:rPr>
          <w:color w:val="00B050"/>
          <w:szCs w:val="20"/>
        </w:rPr>
        <w:t xml:space="preserve"> par an selon le scénario B. Cette réduction est à comparer avec les émissions annuelles de la Région Ile-de-France estimées à 40,5 millions de téqCO</w:t>
      </w:r>
      <w:r w:rsidRPr="000F5160">
        <w:rPr>
          <w:color w:val="00B050"/>
          <w:szCs w:val="20"/>
          <w:vertAlign w:val="subscript"/>
        </w:rPr>
        <w:t>2</w:t>
      </w:r>
      <w:r w:rsidRPr="000F5160">
        <w:rPr>
          <w:color w:val="00B050"/>
          <w:szCs w:val="20"/>
        </w:rPr>
        <w:t xml:space="preserve"> par an</w:t>
      </w:r>
      <w:r w:rsidRPr="000F5160">
        <w:rPr>
          <w:rStyle w:val="Appelnotedebasdep"/>
          <w:color w:val="00B050"/>
          <w:szCs w:val="20"/>
        </w:rPr>
        <w:footnoteReference w:id="62"/>
      </w:r>
      <w:r w:rsidRPr="000F5160">
        <w:rPr>
          <w:color w:val="00B050"/>
          <w:szCs w:val="20"/>
        </w:rPr>
        <w:t xml:space="preserve"> soit une diminution comprise entre -1,8% et -3,0%.</w:t>
      </w:r>
    </w:p>
    <w:p w14:paraId="2F280489" w14:textId="77777777" w:rsidR="000F5160" w:rsidRPr="000F5160" w:rsidRDefault="000F5160" w:rsidP="000F5160">
      <w:pPr>
        <w:jc w:val="both"/>
        <w:rPr>
          <w:color w:val="00B050"/>
          <w:szCs w:val="20"/>
        </w:rPr>
      </w:pPr>
    </w:p>
    <w:p w14:paraId="2D42B637" w14:textId="71E1DE14" w:rsidR="000F5160" w:rsidRPr="000F5160" w:rsidRDefault="000F5160" w:rsidP="000F5160">
      <w:pPr>
        <w:jc w:val="both"/>
        <w:rPr>
          <w:color w:val="00B050"/>
          <w:szCs w:val="20"/>
        </w:rPr>
      </w:pPr>
      <w:r w:rsidRPr="000F5160">
        <w:rPr>
          <w:color w:val="00B050"/>
          <w:szCs w:val="20"/>
        </w:rPr>
        <w:t xml:space="preserve">Que ce soit dans le bilan 2010-2050 ou </w:t>
      </w:r>
      <w:r w:rsidR="002918AB">
        <w:rPr>
          <w:color w:val="00B050"/>
          <w:szCs w:val="20"/>
        </w:rPr>
        <w:t xml:space="preserve">dans celui portant sur la période </w:t>
      </w:r>
      <w:r w:rsidRPr="000F5160">
        <w:rPr>
          <w:color w:val="00B050"/>
          <w:szCs w:val="20"/>
        </w:rPr>
        <w:t>2010-2070, ce sont les émissions évitées grâce à une urbanisation plus dense et un bâti plus efficace du point de vue énergétique qui sont prédominantes</w:t>
      </w:r>
      <w:r w:rsidR="005F4A34">
        <w:rPr>
          <w:color w:val="00B050"/>
          <w:szCs w:val="20"/>
        </w:rPr>
        <w:t xml:space="preserve"> probablement parce que le transfert modal est sous-estimé dans les techniques de prévision de trafic</w:t>
      </w:r>
      <w:r w:rsidR="001F7148">
        <w:rPr>
          <w:color w:val="00B050"/>
          <w:szCs w:val="20"/>
        </w:rPr>
        <w:t xml:space="preserve"> (voir plus haut)</w:t>
      </w:r>
      <w:r w:rsidRPr="000F5160">
        <w:rPr>
          <w:color w:val="00B050"/>
          <w:szCs w:val="20"/>
        </w:rPr>
        <w:t>.</w:t>
      </w:r>
    </w:p>
    <w:p w14:paraId="73552987" w14:textId="77777777" w:rsidR="000F5160" w:rsidRPr="000F5160" w:rsidRDefault="000F5160" w:rsidP="000F5160">
      <w:pPr>
        <w:jc w:val="both"/>
        <w:rPr>
          <w:color w:val="00B050"/>
          <w:szCs w:val="20"/>
        </w:rPr>
      </w:pPr>
    </w:p>
    <w:p w14:paraId="2527202C" w14:textId="77777777" w:rsidR="000F5160" w:rsidRPr="000F5160" w:rsidRDefault="000F5160" w:rsidP="000F5160">
      <w:pPr>
        <w:jc w:val="both"/>
        <w:rPr>
          <w:color w:val="00B050"/>
          <w:szCs w:val="20"/>
        </w:rPr>
      </w:pPr>
      <w:r w:rsidRPr="000F5160">
        <w:rPr>
          <w:color w:val="00B050"/>
          <w:szCs w:val="20"/>
        </w:rPr>
        <w:t>Les émissions consenties au départ étant fixes et la durée de vie attendue de l’infrastructure étant de plus de 100 ans, la prédominance du développement territorial et dans une moindre mesure de la mobilité dans le bilan ne fait que s’amplifier au-delà de 2050, rendant le bilan très positif sur la durée de vie de l’infrastructure.</w:t>
      </w:r>
    </w:p>
    <w:p w14:paraId="49931D5C" w14:textId="77777777" w:rsidR="005F4A34" w:rsidRDefault="005F4A34" w:rsidP="000F5160">
      <w:pPr>
        <w:rPr>
          <w:color w:val="00B050"/>
          <w:szCs w:val="20"/>
        </w:rPr>
      </w:pPr>
    </w:p>
    <w:p w14:paraId="690A02D6" w14:textId="27C19C3A" w:rsidR="000F5160" w:rsidRPr="000F5160" w:rsidRDefault="000F5160" w:rsidP="000F5160">
      <w:pPr>
        <w:rPr>
          <w:color w:val="00B050"/>
          <w:szCs w:val="20"/>
        </w:rPr>
      </w:pPr>
      <w:r w:rsidRPr="000F5160">
        <w:rPr>
          <w:color w:val="00B050"/>
          <w:szCs w:val="20"/>
        </w:rPr>
        <w:t xml:space="preserve">Les résultats globaux des calculs sont les suivants : </w:t>
      </w:r>
    </w:p>
    <w:p w14:paraId="401BB731" w14:textId="77777777" w:rsidR="000F5160" w:rsidRPr="000F5160" w:rsidRDefault="000F5160" w:rsidP="000F5160">
      <w:pPr>
        <w:rPr>
          <w:color w:val="00B050"/>
          <w:szCs w:val="20"/>
        </w:rPr>
      </w:pPr>
    </w:p>
    <w:p w14:paraId="024F986A" w14:textId="1FCB039A" w:rsidR="000F5160" w:rsidRPr="00F26AEB" w:rsidRDefault="000F5160" w:rsidP="000F5160">
      <w:pPr>
        <w:jc w:val="center"/>
        <w:rPr>
          <w:b/>
          <w:bCs/>
          <w:i/>
          <w:iCs/>
          <w:color w:val="00B050"/>
          <w:sz w:val="18"/>
          <w:szCs w:val="18"/>
        </w:rPr>
      </w:pPr>
      <w:r w:rsidRPr="00F26AEB">
        <w:rPr>
          <w:b/>
          <w:bCs/>
          <w:i/>
          <w:iCs/>
          <w:color w:val="00B050"/>
          <w:sz w:val="18"/>
          <w:szCs w:val="18"/>
        </w:rPr>
        <w:t xml:space="preserve">Résultats du bilan </w:t>
      </w:r>
      <w:r w:rsidR="00F26AEB">
        <w:rPr>
          <w:b/>
          <w:bCs/>
          <w:i/>
          <w:iCs/>
          <w:color w:val="00B050"/>
          <w:sz w:val="18"/>
          <w:szCs w:val="18"/>
        </w:rPr>
        <w:t xml:space="preserve">carbone </w:t>
      </w:r>
      <w:r w:rsidRPr="00F26AEB">
        <w:rPr>
          <w:b/>
          <w:bCs/>
          <w:i/>
          <w:iCs/>
          <w:color w:val="00B050"/>
          <w:sz w:val="18"/>
          <w:szCs w:val="18"/>
        </w:rPr>
        <w:t xml:space="preserve">aux horizons 2050 et 2070 selon les scénarios en millions de </w:t>
      </w:r>
      <w:bookmarkStart w:id="126" w:name="_Hlk64099951"/>
      <w:r w:rsidRPr="00F26AEB">
        <w:rPr>
          <w:b/>
          <w:bCs/>
          <w:i/>
          <w:iCs/>
          <w:color w:val="00B050"/>
          <w:sz w:val="18"/>
          <w:szCs w:val="18"/>
        </w:rPr>
        <w:t>téqCO</w:t>
      </w:r>
      <w:r w:rsidRPr="00F26AEB">
        <w:rPr>
          <w:b/>
          <w:bCs/>
          <w:i/>
          <w:iCs/>
          <w:color w:val="00B050"/>
          <w:sz w:val="18"/>
          <w:szCs w:val="18"/>
          <w:vertAlign w:val="subscript"/>
        </w:rPr>
        <w:t>2</w:t>
      </w:r>
      <w:bookmarkEnd w:id="126"/>
    </w:p>
    <w:tbl>
      <w:tblPr>
        <w:tblStyle w:val="Grilledutableau"/>
        <w:tblW w:w="0" w:type="auto"/>
        <w:jc w:val="center"/>
        <w:shd w:val="clear" w:color="auto" w:fill="FFFFFF" w:themeFill="background1"/>
        <w:tblLook w:val="04A0" w:firstRow="1" w:lastRow="0" w:firstColumn="1" w:lastColumn="0" w:noHBand="0" w:noVBand="1"/>
      </w:tblPr>
      <w:tblGrid>
        <w:gridCol w:w="4258"/>
        <w:gridCol w:w="1335"/>
        <w:gridCol w:w="1335"/>
      </w:tblGrid>
      <w:tr w:rsidR="000F5160" w:rsidRPr="000F5160" w14:paraId="214B3B10" w14:textId="77777777" w:rsidTr="00543AC5">
        <w:trPr>
          <w:jc w:val="center"/>
        </w:trPr>
        <w:tc>
          <w:tcPr>
            <w:tcW w:w="4258" w:type="dxa"/>
            <w:shd w:val="clear" w:color="auto" w:fill="FFFFFF" w:themeFill="background1"/>
          </w:tcPr>
          <w:p w14:paraId="4296C42B" w14:textId="77777777" w:rsidR="000F5160" w:rsidRPr="000F5160" w:rsidRDefault="000F5160" w:rsidP="000F5160">
            <w:pPr>
              <w:rPr>
                <w:color w:val="00B050"/>
                <w:szCs w:val="20"/>
              </w:rPr>
            </w:pPr>
            <w:r w:rsidRPr="000F5160">
              <w:rPr>
                <w:color w:val="00B050"/>
                <w:szCs w:val="20"/>
              </w:rPr>
              <w:t>Cumul des émissions en millions téqCO</w:t>
            </w:r>
            <w:r w:rsidRPr="000F5160">
              <w:rPr>
                <w:color w:val="00B050"/>
                <w:szCs w:val="20"/>
                <w:vertAlign w:val="subscript"/>
              </w:rPr>
              <w:t>2</w:t>
            </w:r>
          </w:p>
        </w:tc>
        <w:tc>
          <w:tcPr>
            <w:tcW w:w="2670" w:type="dxa"/>
            <w:gridSpan w:val="2"/>
            <w:shd w:val="clear" w:color="auto" w:fill="FFFFFF" w:themeFill="background1"/>
          </w:tcPr>
          <w:p w14:paraId="2CF07F2A" w14:textId="77777777" w:rsidR="000F5160" w:rsidRPr="000F5160" w:rsidRDefault="000F5160" w:rsidP="000F5160">
            <w:pPr>
              <w:jc w:val="center"/>
              <w:rPr>
                <w:b/>
                <w:color w:val="00B050"/>
                <w:szCs w:val="20"/>
              </w:rPr>
            </w:pPr>
            <w:r w:rsidRPr="000F5160">
              <w:rPr>
                <w:b/>
                <w:color w:val="00B050"/>
                <w:szCs w:val="20"/>
              </w:rPr>
              <w:t xml:space="preserve">Horizon </w:t>
            </w:r>
          </w:p>
        </w:tc>
      </w:tr>
      <w:tr w:rsidR="000F5160" w:rsidRPr="000F5160" w14:paraId="7F19D7E6" w14:textId="77777777" w:rsidTr="00543AC5">
        <w:trPr>
          <w:jc w:val="center"/>
        </w:trPr>
        <w:tc>
          <w:tcPr>
            <w:tcW w:w="4258" w:type="dxa"/>
            <w:shd w:val="clear" w:color="auto" w:fill="FFFFFF" w:themeFill="background1"/>
          </w:tcPr>
          <w:p w14:paraId="5E258F41" w14:textId="77777777" w:rsidR="000F5160" w:rsidRPr="000F5160" w:rsidRDefault="000F5160" w:rsidP="000F5160">
            <w:pPr>
              <w:rPr>
                <w:b/>
                <w:color w:val="00B050"/>
                <w:szCs w:val="20"/>
              </w:rPr>
            </w:pPr>
            <w:r w:rsidRPr="000F5160">
              <w:rPr>
                <w:b/>
                <w:color w:val="00B050"/>
                <w:szCs w:val="20"/>
              </w:rPr>
              <w:t>Scénario</w:t>
            </w:r>
          </w:p>
        </w:tc>
        <w:tc>
          <w:tcPr>
            <w:tcW w:w="1335" w:type="dxa"/>
            <w:shd w:val="clear" w:color="auto" w:fill="FFFFFF" w:themeFill="background1"/>
          </w:tcPr>
          <w:p w14:paraId="61F5A487" w14:textId="77777777" w:rsidR="000F5160" w:rsidRPr="000F5160" w:rsidRDefault="000F5160" w:rsidP="000F5160">
            <w:pPr>
              <w:jc w:val="center"/>
              <w:rPr>
                <w:b/>
                <w:color w:val="00B050"/>
                <w:szCs w:val="20"/>
              </w:rPr>
            </w:pPr>
            <w:r w:rsidRPr="000F5160">
              <w:rPr>
                <w:b/>
                <w:color w:val="00B050"/>
                <w:szCs w:val="20"/>
              </w:rPr>
              <w:t>2050</w:t>
            </w:r>
          </w:p>
        </w:tc>
        <w:tc>
          <w:tcPr>
            <w:tcW w:w="1335" w:type="dxa"/>
            <w:shd w:val="clear" w:color="auto" w:fill="FFFFFF" w:themeFill="background1"/>
          </w:tcPr>
          <w:p w14:paraId="27B5A8CF" w14:textId="77777777" w:rsidR="000F5160" w:rsidRPr="000F5160" w:rsidRDefault="000F5160" w:rsidP="000F5160">
            <w:pPr>
              <w:jc w:val="center"/>
              <w:rPr>
                <w:b/>
                <w:color w:val="00B050"/>
                <w:szCs w:val="20"/>
              </w:rPr>
            </w:pPr>
            <w:r w:rsidRPr="000F5160">
              <w:rPr>
                <w:b/>
                <w:color w:val="00B050"/>
                <w:szCs w:val="20"/>
              </w:rPr>
              <w:t>2070</w:t>
            </w:r>
          </w:p>
        </w:tc>
      </w:tr>
      <w:tr w:rsidR="000F5160" w:rsidRPr="000F5160" w14:paraId="6BC50353" w14:textId="77777777" w:rsidTr="00543AC5">
        <w:trPr>
          <w:jc w:val="center"/>
        </w:trPr>
        <w:tc>
          <w:tcPr>
            <w:tcW w:w="4258" w:type="dxa"/>
            <w:shd w:val="clear" w:color="auto" w:fill="FFFFFF" w:themeFill="background1"/>
          </w:tcPr>
          <w:p w14:paraId="1D7C966E" w14:textId="77777777" w:rsidR="000F5160" w:rsidRPr="000F5160" w:rsidRDefault="000F5160" w:rsidP="000F5160">
            <w:pPr>
              <w:rPr>
                <w:b/>
                <w:color w:val="00B050"/>
                <w:szCs w:val="20"/>
              </w:rPr>
            </w:pPr>
            <w:r w:rsidRPr="000F5160">
              <w:rPr>
                <w:b/>
                <w:color w:val="00B050"/>
                <w:szCs w:val="20"/>
              </w:rPr>
              <w:t>Scénario A</w:t>
            </w:r>
          </w:p>
        </w:tc>
        <w:tc>
          <w:tcPr>
            <w:tcW w:w="1335" w:type="dxa"/>
            <w:shd w:val="clear" w:color="auto" w:fill="FFFFFF" w:themeFill="background1"/>
          </w:tcPr>
          <w:p w14:paraId="4FA3C7D0" w14:textId="77777777" w:rsidR="000F5160" w:rsidRPr="000F5160" w:rsidRDefault="000F5160" w:rsidP="000F5160">
            <w:pPr>
              <w:jc w:val="center"/>
              <w:rPr>
                <w:color w:val="00B050"/>
                <w:szCs w:val="20"/>
              </w:rPr>
            </w:pPr>
            <w:r w:rsidRPr="000F5160">
              <w:rPr>
                <w:color w:val="00B050"/>
                <w:szCs w:val="20"/>
              </w:rPr>
              <w:t>-14,2</w:t>
            </w:r>
          </w:p>
        </w:tc>
        <w:tc>
          <w:tcPr>
            <w:tcW w:w="1335" w:type="dxa"/>
            <w:shd w:val="clear" w:color="auto" w:fill="FFFFFF" w:themeFill="background1"/>
          </w:tcPr>
          <w:p w14:paraId="593545D6" w14:textId="77777777" w:rsidR="000F5160" w:rsidRPr="000F5160" w:rsidRDefault="000F5160" w:rsidP="000F5160">
            <w:pPr>
              <w:jc w:val="center"/>
              <w:rPr>
                <w:color w:val="00B050"/>
                <w:szCs w:val="20"/>
              </w:rPr>
            </w:pPr>
            <w:r w:rsidRPr="000F5160">
              <w:rPr>
                <w:color w:val="00B050"/>
                <w:szCs w:val="20"/>
              </w:rPr>
              <w:t>-27,4</w:t>
            </w:r>
          </w:p>
        </w:tc>
      </w:tr>
      <w:tr w:rsidR="000F5160" w:rsidRPr="000F5160" w14:paraId="07723CEE" w14:textId="77777777" w:rsidTr="00543AC5">
        <w:trPr>
          <w:jc w:val="center"/>
        </w:trPr>
        <w:tc>
          <w:tcPr>
            <w:tcW w:w="4258" w:type="dxa"/>
            <w:shd w:val="clear" w:color="auto" w:fill="FFFFFF" w:themeFill="background1"/>
          </w:tcPr>
          <w:p w14:paraId="001D662A" w14:textId="77777777" w:rsidR="000F5160" w:rsidRPr="000F5160" w:rsidRDefault="000F5160" w:rsidP="000F5160">
            <w:pPr>
              <w:rPr>
                <w:b/>
                <w:color w:val="00B050"/>
                <w:szCs w:val="20"/>
              </w:rPr>
            </w:pPr>
            <w:r w:rsidRPr="000F5160">
              <w:rPr>
                <w:b/>
                <w:color w:val="00B050"/>
                <w:szCs w:val="20"/>
              </w:rPr>
              <w:t>Scénario B</w:t>
            </w:r>
          </w:p>
        </w:tc>
        <w:tc>
          <w:tcPr>
            <w:tcW w:w="1335" w:type="dxa"/>
            <w:shd w:val="clear" w:color="auto" w:fill="FFFFFF" w:themeFill="background1"/>
          </w:tcPr>
          <w:p w14:paraId="02E51907" w14:textId="77777777" w:rsidR="000F5160" w:rsidRPr="000F5160" w:rsidRDefault="000F5160" w:rsidP="000F5160">
            <w:pPr>
              <w:jc w:val="center"/>
              <w:rPr>
                <w:color w:val="00B050"/>
                <w:szCs w:val="20"/>
              </w:rPr>
            </w:pPr>
            <w:r w:rsidRPr="000F5160">
              <w:rPr>
                <w:color w:val="00B050"/>
                <w:szCs w:val="20"/>
              </w:rPr>
              <w:t>-28,6</w:t>
            </w:r>
          </w:p>
        </w:tc>
        <w:tc>
          <w:tcPr>
            <w:tcW w:w="1335" w:type="dxa"/>
            <w:shd w:val="clear" w:color="auto" w:fill="FFFFFF" w:themeFill="background1"/>
          </w:tcPr>
          <w:p w14:paraId="29FDC4C3" w14:textId="77777777" w:rsidR="000F5160" w:rsidRPr="000F5160" w:rsidRDefault="000F5160" w:rsidP="000F5160">
            <w:pPr>
              <w:jc w:val="center"/>
              <w:rPr>
                <w:color w:val="00B050"/>
                <w:szCs w:val="20"/>
              </w:rPr>
            </w:pPr>
            <w:r w:rsidRPr="000F5160">
              <w:rPr>
                <w:color w:val="00B050"/>
                <w:szCs w:val="20"/>
              </w:rPr>
              <w:t>-51,3</w:t>
            </w:r>
          </w:p>
        </w:tc>
      </w:tr>
    </w:tbl>
    <w:p w14:paraId="449830B8" w14:textId="77777777" w:rsidR="000F5160" w:rsidRPr="000F5160" w:rsidRDefault="000F5160" w:rsidP="000F5160">
      <w:pPr>
        <w:rPr>
          <w:color w:val="00B050"/>
          <w:szCs w:val="20"/>
        </w:rPr>
      </w:pPr>
    </w:p>
    <w:p w14:paraId="1D91D228" w14:textId="4A55EFA7" w:rsidR="000F5160" w:rsidRPr="000F5160" w:rsidRDefault="000F5160" w:rsidP="000F5160">
      <w:pPr>
        <w:jc w:val="both"/>
        <w:rPr>
          <w:color w:val="00B050"/>
          <w:szCs w:val="20"/>
        </w:rPr>
      </w:pPr>
      <w:r w:rsidRPr="000F5160">
        <w:rPr>
          <w:color w:val="00B050"/>
          <w:szCs w:val="20"/>
        </w:rPr>
        <w:t>De manière générale</w:t>
      </w:r>
      <w:r w:rsidR="00811C1E">
        <w:rPr>
          <w:color w:val="00B050"/>
          <w:szCs w:val="20"/>
        </w:rPr>
        <w:t xml:space="preserve"> </w:t>
      </w:r>
      <w:r w:rsidRPr="000F5160">
        <w:rPr>
          <w:color w:val="00B050"/>
          <w:szCs w:val="20"/>
        </w:rPr>
        <w:t xml:space="preserve">le bilan </w:t>
      </w:r>
      <w:r w:rsidR="00811C1E">
        <w:rPr>
          <w:color w:val="00B050"/>
          <w:szCs w:val="20"/>
        </w:rPr>
        <w:t>des é</w:t>
      </w:r>
      <w:r w:rsidR="00D6057D">
        <w:rPr>
          <w:color w:val="00B050"/>
          <w:szCs w:val="20"/>
        </w:rPr>
        <w:t xml:space="preserve">conomies de gaz à effets de serre </w:t>
      </w:r>
      <w:r w:rsidRPr="000F5160">
        <w:rPr>
          <w:color w:val="00B050"/>
          <w:szCs w:val="20"/>
        </w:rPr>
        <w:t xml:space="preserve">est </w:t>
      </w:r>
      <w:r w:rsidR="00D6057D">
        <w:rPr>
          <w:color w:val="00B050"/>
          <w:szCs w:val="20"/>
        </w:rPr>
        <w:t xml:space="preserve">nettement </w:t>
      </w:r>
      <w:r w:rsidRPr="000F5160">
        <w:rPr>
          <w:color w:val="00B050"/>
          <w:szCs w:val="20"/>
        </w:rPr>
        <w:t>positif à l’horizon 2050</w:t>
      </w:r>
      <w:r w:rsidR="00D6057D">
        <w:rPr>
          <w:color w:val="00B050"/>
          <w:szCs w:val="20"/>
        </w:rPr>
        <w:t xml:space="preserve">, </w:t>
      </w:r>
      <w:r w:rsidRPr="000F5160">
        <w:rPr>
          <w:color w:val="00B050"/>
          <w:szCs w:val="20"/>
        </w:rPr>
        <w:t>20 ans après la mise en service de l’ensemble des lignes du Grand Paris Express. Ce sont ainsi 14,2 millions de téqCO</w:t>
      </w:r>
      <w:r w:rsidRPr="000F5160">
        <w:rPr>
          <w:color w:val="00B050"/>
          <w:szCs w:val="20"/>
          <w:vertAlign w:val="subscript"/>
        </w:rPr>
        <w:t>2</w:t>
      </w:r>
      <w:r w:rsidRPr="000F5160">
        <w:rPr>
          <w:color w:val="00B050"/>
          <w:szCs w:val="20"/>
        </w:rPr>
        <w:t xml:space="preserve"> évitées selon le scénario A et 28,6 millions de téqCO</w:t>
      </w:r>
      <w:r w:rsidRPr="000F5160">
        <w:rPr>
          <w:color w:val="00B050"/>
          <w:szCs w:val="20"/>
          <w:vertAlign w:val="subscript"/>
        </w:rPr>
        <w:t>2</w:t>
      </w:r>
      <w:r w:rsidRPr="000F5160">
        <w:rPr>
          <w:color w:val="00B050"/>
          <w:szCs w:val="20"/>
        </w:rPr>
        <w:t xml:space="preserve"> selon le scénario B. En 2070, soit 40 ans après la mise en service de l’ensemble des lignes, les émissions évitées s’élèvent alors à 27,4 millions de téqCO</w:t>
      </w:r>
      <w:r w:rsidRPr="000F5160">
        <w:rPr>
          <w:color w:val="00B050"/>
          <w:szCs w:val="20"/>
          <w:vertAlign w:val="subscript"/>
        </w:rPr>
        <w:t>2</w:t>
      </w:r>
      <w:r w:rsidRPr="000F5160">
        <w:rPr>
          <w:color w:val="00B050"/>
          <w:szCs w:val="20"/>
        </w:rPr>
        <w:t xml:space="preserve"> évitées </w:t>
      </w:r>
      <w:r w:rsidR="00D6057D">
        <w:rPr>
          <w:color w:val="00B050"/>
          <w:szCs w:val="20"/>
        </w:rPr>
        <w:t>dans</w:t>
      </w:r>
      <w:r w:rsidRPr="000F5160">
        <w:rPr>
          <w:color w:val="00B050"/>
          <w:szCs w:val="20"/>
        </w:rPr>
        <w:t xml:space="preserve"> le scénario A et 51,3 millions de téqCO</w:t>
      </w:r>
      <w:r w:rsidRPr="000F5160">
        <w:rPr>
          <w:color w:val="00B050"/>
          <w:szCs w:val="20"/>
          <w:vertAlign w:val="subscript"/>
        </w:rPr>
        <w:t>2</w:t>
      </w:r>
      <w:r w:rsidRPr="000F5160">
        <w:rPr>
          <w:color w:val="00B050"/>
          <w:szCs w:val="20"/>
        </w:rPr>
        <w:t xml:space="preserve"> </w:t>
      </w:r>
      <w:r w:rsidR="00D6057D">
        <w:rPr>
          <w:color w:val="00B050"/>
          <w:szCs w:val="20"/>
        </w:rPr>
        <w:t xml:space="preserve">et dans </w:t>
      </w:r>
      <w:r w:rsidRPr="000F5160">
        <w:rPr>
          <w:color w:val="00B050"/>
          <w:szCs w:val="20"/>
        </w:rPr>
        <w:t>le B.</w:t>
      </w:r>
    </w:p>
    <w:p w14:paraId="7E381973" w14:textId="77777777" w:rsidR="000F5160" w:rsidRPr="000F5160" w:rsidRDefault="000F5160" w:rsidP="000F5160">
      <w:pPr>
        <w:jc w:val="both"/>
        <w:rPr>
          <w:color w:val="00B050"/>
          <w:szCs w:val="20"/>
        </w:rPr>
      </w:pPr>
    </w:p>
    <w:p w14:paraId="3A4D0E86" w14:textId="4BAC88B9" w:rsidR="00F26AEB" w:rsidRDefault="000F5160" w:rsidP="000F5160">
      <w:pPr>
        <w:jc w:val="both"/>
        <w:rPr>
          <w:color w:val="00B050"/>
          <w:szCs w:val="20"/>
        </w:rPr>
      </w:pPr>
      <w:r w:rsidRPr="000F5160">
        <w:rPr>
          <w:color w:val="00B050"/>
          <w:szCs w:val="20"/>
        </w:rPr>
        <w:t xml:space="preserve">Il convient de rappeler à ce stade que ce bilan carbone est calculé </w:t>
      </w:r>
      <w:r w:rsidR="002918AB">
        <w:rPr>
          <w:color w:val="00B050"/>
          <w:szCs w:val="20"/>
        </w:rPr>
        <w:t xml:space="preserve">ainsi </w:t>
      </w:r>
      <w:r w:rsidRPr="000F5160">
        <w:rPr>
          <w:color w:val="00B050"/>
          <w:szCs w:val="20"/>
        </w:rPr>
        <w:t>dans une hypothèse où les effets réels de la SNBC ne conduiraient pas à une décarbonation significative en 20</w:t>
      </w:r>
      <w:r w:rsidR="00D6057D">
        <w:rPr>
          <w:color w:val="00B050"/>
          <w:szCs w:val="20"/>
        </w:rPr>
        <w:t>7</w:t>
      </w:r>
      <w:r w:rsidRPr="000F5160">
        <w:rPr>
          <w:color w:val="00B050"/>
          <w:szCs w:val="20"/>
        </w:rPr>
        <w:t xml:space="preserve">0, au-delà d’une décarbonation tendancielle, induite par une sorte de </w:t>
      </w:r>
      <w:r w:rsidR="00D6057D" w:rsidRPr="000F5160">
        <w:rPr>
          <w:color w:val="00B050"/>
          <w:szCs w:val="20"/>
        </w:rPr>
        <w:t>fil</w:t>
      </w:r>
      <w:r w:rsidRPr="000F5160">
        <w:rPr>
          <w:color w:val="00B050"/>
          <w:szCs w:val="20"/>
        </w:rPr>
        <w:t xml:space="preserve"> de l’eau en termes de mesures de mitigation du réchauffement climatique.</w:t>
      </w:r>
      <w:r w:rsidR="00D6057D">
        <w:rPr>
          <w:color w:val="00B050"/>
          <w:szCs w:val="20"/>
        </w:rPr>
        <w:t xml:space="preserve"> </w:t>
      </w:r>
      <w:r w:rsidR="002918AB">
        <w:rPr>
          <w:color w:val="00B050"/>
          <w:szCs w:val="20"/>
        </w:rPr>
        <w:t xml:space="preserve">A l’opposé de l’hypothèse de la décarbonation </w:t>
      </w:r>
      <w:r w:rsidR="006078E9">
        <w:rPr>
          <w:color w:val="00B050"/>
          <w:szCs w:val="20"/>
        </w:rPr>
        <w:t xml:space="preserve">totale en 2050 indépendamment des leviers mis en œuvre et de leurs coûts. </w:t>
      </w:r>
      <w:r w:rsidR="002918AB">
        <w:rPr>
          <w:color w:val="00B050"/>
          <w:szCs w:val="20"/>
        </w:rPr>
        <w:t xml:space="preserve">Ces deux hypothèses sont également extrêmes et peuvent faire l’objet de débats. </w:t>
      </w:r>
    </w:p>
    <w:p w14:paraId="74EDD7BC" w14:textId="77777777" w:rsidR="00F26AEB" w:rsidRDefault="00F26AEB" w:rsidP="000F5160">
      <w:pPr>
        <w:jc w:val="both"/>
        <w:rPr>
          <w:color w:val="00B050"/>
          <w:szCs w:val="20"/>
        </w:rPr>
      </w:pPr>
    </w:p>
    <w:p w14:paraId="67F6B732" w14:textId="027C1344" w:rsidR="000F5160" w:rsidRPr="00D6057D" w:rsidRDefault="00F26AEB" w:rsidP="000F5160">
      <w:pPr>
        <w:jc w:val="both"/>
        <w:rPr>
          <w:color w:val="00B050"/>
          <w:szCs w:val="20"/>
        </w:rPr>
      </w:pPr>
      <w:r>
        <w:rPr>
          <w:color w:val="00B050"/>
          <w:szCs w:val="20"/>
        </w:rPr>
        <w:t>Comme on va le voir maintenant, u</w:t>
      </w:r>
      <w:r w:rsidR="00D6057D">
        <w:rPr>
          <w:color w:val="00B050"/>
          <w:szCs w:val="20"/>
        </w:rPr>
        <w:t xml:space="preserve">ne </w:t>
      </w:r>
      <w:r>
        <w:rPr>
          <w:color w:val="00B050"/>
          <w:szCs w:val="20"/>
        </w:rPr>
        <w:t xml:space="preserve">autre </w:t>
      </w:r>
      <w:r w:rsidR="00D6057D">
        <w:rPr>
          <w:color w:val="00B050"/>
          <w:szCs w:val="20"/>
        </w:rPr>
        <w:t xml:space="preserve">évaluation du bilan carbone basée sur </w:t>
      </w:r>
      <w:r>
        <w:rPr>
          <w:color w:val="00B050"/>
          <w:szCs w:val="20"/>
        </w:rPr>
        <w:t>l’apport</w:t>
      </w:r>
      <w:r w:rsidR="00D6057D">
        <w:rPr>
          <w:color w:val="00B050"/>
          <w:szCs w:val="20"/>
        </w:rPr>
        <w:t xml:space="preserve"> du GPE à la réalisation de la SNBC confirme la vraisemblance d</w:t>
      </w:r>
      <w:r w:rsidR="002918AB">
        <w:rPr>
          <w:color w:val="00B050"/>
          <w:szCs w:val="20"/>
        </w:rPr>
        <w:t>’une</w:t>
      </w:r>
      <w:r>
        <w:rPr>
          <w:color w:val="00B050"/>
          <w:szCs w:val="20"/>
        </w:rPr>
        <w:t xml:space="preserve"> importante contribution </w:t>
      </w:r>
      <w:r w:rsidR="002918AB">
        <w:rPr>
          <w:color w:val="00B050"/>
          <w:szCs w:val="20"/>
        </w:rPr>
        <w:t xml:space="preserve">du GPE </w:t>
      </w:r>
      <w:r>
        <w:rPr>
          <w:color w:val="00B050"/>
          <w:szCs w:val="20"/>
        </w:rPr>
        <w:t>à la lutte contre le réchauffement climatique du GPE</w:t>
      </w:r>
      <w:r w:rsidR="00D6057D">
        <w:rPr>
          <w:color w:val="00B050"/>
          <w:szCs w:val="20"/>
        </w:rPr>
        <w:t>.</w:t>
      </w:r>
    </w:p>
    <w:p w14:paraId="6A2E848E" w14:textId="7CCFE789" w:rsidR="00DC27CA" w:rsidRDefault="00DC27CA" w:rsidP="00DC27CA">
      <w:pPr>
        <w:jc w:val="both"/>
        <w:rPr>
          <w:color w:val="00B050"/>
          <w:szCs w:val="20"/>
        </w:rPr>
      </w:pPr>
    </w:p>
    <w:p w14:paraId="4EF26064" w14:textId="631BD3C6" w:rsidR="00DC27CA" w:rsidRPr="00424B64" w:rsidRDefault="00424B64" w:rsidP="00DC27CA">
      <w:pPr>
        <w:jc w:val="both"/>
        <w:rPr>
          <w:b/>
          <w:bCs/>
          <w:i/>
          <w:iCs/>
          <w:color w:val="00B050"/>
          <w:szCs w:val="20"/>
        </w:rPr>
      </w:pPr>
      <w:r w:rsidRPr="00424B64">
        <w:rPr>
          <w:b/>
          <w:bCs/>
          <w:i/>
          <w:iCs/>
          <w:color w:val="00B050"/>
          <w:szCs w:val="20"/>
        </w:rPr>
        <w:t xml:space="preserve">Une approche </w:t>
      </w:r>
      <w:r w:rsidR="001F7148">
        <w:rPr>
          <w:b/>
          <w:bCs/>
          <w:i/>
          <w:iCs/>
          <w:color w:val="00B050"/>
          <w:szCs w:val="20"/>
        </w:rPr>
        <w:t>pour mesurer</w:t>
      </w:r>
      <w:r w:rsidRPr="00424B64">
        <w:rPr>
          <w:b/>
          <w:bCs/>
          <w:i/>
          <w:iCs/>
          <w:color w:val="00B050"/>
          <w:szCs w:val="20"/>
        </w:rPr>
        <w:t xml:space="preserve"> la valeur de la contribution du GPE à la réalisation de la SNBC</w:t>
      </w:r>
    </w:p>
    <w:p w14:paraId="78B843B0" w14:textId="77777777" w:rsidR="00DC27CA" w:rsidRPr="00DC27CA" w:rsidRDefault="00DC27CA" w:rsidP="00DC27CA">
      <w:pPr>
        <w:jc w:val="both"/>
        <w:rPr>
          <w:color w:val="00B050"/>
          <w:szCs w:val="20"/>
        </w:rPr>
      </w:pPr>
    </w:p>
    <w:p w14:paraId="47E6C14A" w14:textId="53355921" w:rsidR="000F5160" w:rsidRPr="000F5160" w:rsidRDefault="000F5160" w:rsidP="000F5160">
      <w:pPr>
        <w:jc w:val="both"/>
        <w:rPr>
          <w:color w:val="00B050"/>
          <w:szCs w:val="20"/>
        </w:rPr>
      </w:pPr>
      <w:r w:rsidRPr="000F5160">
        <w:rPr>
          <w:color w:val="00B050"/>
          <w:szCs w:val="20"/>
        </w:rPr>
        <w:t xml:space="preserve">Il convient donc de trouver une manière de calculer la contribution propre du GPE dans la mesure où </w:t>
      </w:r>
      <w:r w:rsidR="00F775CD">
        <w:rPr>
          <w:color w:val="00B050"/>
          <w:szCs w:val="20"/>
        </w:rPr>
        <w:t>celui-ci</w:t>
      </w:r>
      <w:r w:rsidRPr="000F5160">
        <w:rPr>
          <w:color w:val="00B050"/>
          <w:szCs w:val="20"/>
        </w:rPr>
        <w:t xml:space="preserve"> facilite l’atteinte des objectifs d’une SNBC. Entre les deux hypothèses </w:t>
      </w:r>
      <w:r w:rsidR="00F26AEB">
        <w:rPr>
          <w:color w:val="00B050"/>
          <w:szCs w:val="20"/>
        </w:rPr>
        <w:t>opposées</w:t>
      </w:r>
      <w:r w:rsidRPr="000F5160">
        <w:rPr>
          <w:color w:val="00B050"/>
          <w:szCs w:val="20"/>
        </w:rPr>
        <w:t xml:space="preserve"> du premier </w:t>
      </w:r>
      <w:r w:rsidRPr="000F5160">
        <w:rPr>
          <w:color w:val="00B050"/>
          <w:szCs w:val="20"/>
        </w:rPr>
        <w:t xml:space="preserve">et du troisième paragraphes de cette partie, le premier où la SNBC atteindrait ses objectifs </w:t>
      </w:r>
      <w:r w:rsidR="00F775CD">
        <w:rPr>
          <w:color w:val="00B050"/>
          <w:szCs w:val="20"/>
        </w:rPr>
        <w:t>indépendamment de</w:t>
      </w:r>
      <w:r w:rsidRPr="000F5160">
        <w:rPr>
          <w:color w:val="00B050"/>
          <w:szCs w:val="20"/>
        </w:rPr>
        <w:t xml:space="preserve"> la réalisation du Grand Paris Express, le troisième</w:t>
      </w:r>
      <w:r w:rsidR="00424B64">
        <w:rPr>
          <w:color w:val="00B050"/>
          <w:szCs w:val="20"/>
        </w:rPr>
        <w:t xml:space="preserve"> </w:t>
      </w:r>
      <w:r w:rsidRPr="000F5160">
        <w:rPr>
          <w:color w:val="00B050"/>
          <w:szCs w:val="20"/>
        </w:rPr>
        <w:t xml:space="preserve">où </w:t>
      </w:r>
      <w:r w:rsidR="00424B64">
        <w:rPr>
          <w:color w:val="00B050"/>
          <w:szCs w:val="20"/>
        </w:rPr>
        <w:t xml:space="preserve">les conditions de mise en œuvre de </w:t>
      </w:r>
      <w:r w:rsidRPr="000F5160">
        <w:rPr>
          <w:color w:val="00B050"/>
          <w:szCs w:val="20"/>
        </w:rPr>
        <w:t>la SNBC n’entraînerai</w:t>
      </w:r>
      <w:r w:rsidR="00424B64">
        <w:rPr>
          <w:color w:val="00B050"/>
          <w:szCs w:val="20"/>
        </w:rPr>
        <w:t>en</w:t>
      </w:r>
      <w:r w:rsidRPr="000F5160">
        <w:rPr>
          <w:color w:val="00B050"/>
          <w:szCs w:val="20"/>
        </w:rPr>
        <w:t xml:space="preserve">t pas une inflexion </w:t>
      </w:r>
      <w:r w:rsidR="006078E9">
        <w:rPr>
          <w:color w:val="00B050"/>
          <w:szCs w:val="20"/>
        </w:rPr>
        <w:t xml:space="preserve">significative </w:t>
      </w:r>
      <w:r w:rsidRPr="000F5160">
        <w:rPr>
          <w:color w:val="00B050"/>
          <w:szCs w:val="20"/>
        </w:rPr>
        <w:t>dans la décarbonation de l’économie</w:t>
      </w:r>
      <w:r w:rsidR="00F26AEB">
        <w:rPr>
          <w:color w:val="00B050"/>
          <w:szCs w:val="20"/>
        </w:rPr>
        <w:t xml:space="preserve"> </w:t>
      </w:r>
      <w:r w:rsidRPr="000F5160">
        <w:rPr>
          <w:color w:val="00B050"/>
          <w:szCs w:val="20"/>
        </w:rPr>
        <w:t xml:space="preserve">au-delà de la décarbonation tendancielle. </w:t>
      </w:r>
    </w:p>
    <w:p w14:paraId="7A921882" w14:textId="77777777" w:rsidR="000F5160" w:rsidRPr="000F5160" w:rsidRDefault="000F5160" w:rsidP="000F5160">
      <w:pPr>
        <w:jc w:val="both"/>
        <w:rPr>
          <w:color w:val="00B050"/>
          <w:szCs w:val="20"/>
        </w:rPr>
      </w:pPr>
    </w:p>
    <w:p w14:paraId="586FDACE" w14:textId="77777777" w:rsidR="00EB5BC0" w:rsidRDefault="000F5160" w:rsidP="000F5160">
      <w:pPr>
        <w:jc w:val="both"/>
        <w:rPr>
          <w:color w:val="00B050"/>
          <w:szCs w:val="20"/>
        </w:rPr>
      </w:pPr>
      <w:r w:rsidRPr="000F5160">
        <w:rPr>
          <w:color w:val="00B050"/>
          <w:szCs w:val="20"/>
        </w:rPr>
        <w:t xml:space="preserve">Le Grand Paris Express </w:t>
      </w:r>
      <w:r w:rsidR="005C7181">
        <w:rPr>
          <w:color w:val="00B050"/>
          <w:szCs w:val="20"/>
        </w:rPr>
        <w:t xml:space="preserve">présente un avantage </w:t>
      </w:r>
      <w:r w:rsidR="00F775CD">
        <w:rPr>
          <w:color w:val="00B050"/>
          <w:szCs w:val="20"/>
        </w:rPr>
        <w:t>pour la SNBC</w:t>
      </w:r>
      <w:r w:rsidR="005C7181">
        <w:rPr>
          <w:color w:val="00B050"/>
          <w:szCs w:val="20"/>
        </w:rPr>
        <w:t xml:space="preserve">, en </w:t>
      </w:r>
      <w:r w:rsidRPr="000F5160">
        <w:rPr>
          <w:color w:val="00B050"/>
          <w:szCs w:val="20"/>
        </w:rPr>
        <w:t>rend</w:t>
      </w:r>
      <w:r w:rsidR="005C7181">
        <w:rPr>
          <w:color w:val="00B050"/>
          <w:szCs w:val="20"/>
        </w:rPr>
        <w:t>ant</w:t>
      </w:r>
      <w:r w:rsidRPr="000F5160">
        <w:rPr>
          <w:color w:val="00B050"/>
          <w:szCs w:val="20"/>
        </w:rPr>
        <w:t xml:space="preserve"> les incitations et réglementations nécessaires moins coûteuses</w:t>
      </w:r>
      <w:r w:rsidR="005C7181">
        <w:rPr>
          <w:color w:val="00B050"/>
          <w:szCs w:val="20"/>
        </w:rPr>
        <w:t xml:space="preserve"> pour la collectivité dans la région Île de France</w:t>
      </w:r>
      <w:r w:rsidRPr="000F5160">
        <w:rPr>
          <w:color w:val="00B050"/>
          <w:szCs w:val="20"/>
        </w:rPr>
        <w:t>. Cela est patent par exemple en termes de subventions à l’utilisation de véhicules décarbonés, car si les transports en commun offrent une alternative améliorée aux détenteurs d’un véhicule automobile, les incitations nécessaires pour les faire renoncer à leurs véhicules pourront être moins élevées. Il en est de même si les leviers d’action sont réglementaires, interdi</w:t>
      </w:r>
      <w:r w:rsidR="00F775CD">
        <w:rPr>
          <w:color w:val="00B050"/>
          <w:szCs w:val="20"/>
        </w:rPr>
        <w:t>ction d</w:t>
      </w:r>
      <w:r w:rsidRPr="000F5160">
        <w:rPr>
          <w:color w:val="00B050"/>
          <w:szCs w:val="20"/>
        </w:rPr>
        <w:t>es véhicules autres qu’électriques,</w:t>
      </w:r>
      <w:r w:rsidR="00F775CD">
        <w:rPr>
          <w:color w:val="00B050"/>
          <w:szCs w:val="20"/>
        </w:rPr>
        <w:t xml:space="preserve"> ou fortes </w:t>
      </w:r>
      <w:r w:rsidRPr="000F5160">
        <w:rPr>
          <w:color w:val="00B050"/>
          <w:szCs w:val="20"/>
        </w:rPr>
        <w:t>restrictions de circulation et de stationnement ou</w:t>
      </w:r>
      <w:r w:rsidR="00EB5BC0">
        <w:rPr>
          <w:color w:val="00B050"/>
          <w:szCs w:val="20"/>
        </w:rPr>
        <w:t xml:space="preserve"> </w:t>
      </w:r>
      <w:r w:rsidRPr="000F5160">
        <w:rPr>
          <w:color w:val="00B050"/>
          <w:szCs w:val="20"/>
        </w:rPr>
        <w:t xml:space="preserve">application de taxes supplémentaires sur les énergies carbonées : les pertes d’utilité des usagers des véhicules particuliers seront plus faibles si la collectivité propose des alternatives </w:t>
      </w:r>
      <w:r w:rsidR="00EB5BC0">
        <w:rPr>
          <w:color w:val="00B050"/>
          <w:szCs w:val="20"/>
        </w:rPr>
        <w:t xml:space="preserve">de transport </w:t>
      </w:r>
      <w:r w:rsidRPr="000F5160">
        <w:rPr>
          <w:color w:val="00B050"/>
          <w:szCs w:val="20"/>
        </w:rPr>
        <w:t>performantes comme le GPE qu</w:t>
      </w:r>
      <w:r w:rsidR="00F775CD">
        <w:rPr>
          <w:color w:val="00B050"/>
          <w:szCs w:val="20"/>
        </w:rPr>
        <w:t>e</w:t>
      </w:r>
      <w:r w:rsidRPr="000F5160">
        <w:rPr>
          <w:color w:val="00B050"/>
          <w:szCs w:val="20"/>
        </w:rPr>
        <w:t xml:space="preserve"> si cette infrastructure n’était pas réalisée. </w:t>
      </w:r>
    </w:p>
    <w:p w14:paraId="2313C9E4" w14:textId="77777777" w:rsidR="00EB5BC0" w:rsidRDefault="00EB5BC0" w:rsidP="000F5160">
      <w:pPr>
        <w:jc w:val="both"/>
        <w:rPr>
          <w:color w:val="00B050"/>
          <w:szCs w:val="20"/>
        </w:rPr>
      </w:pPr>
    </w:p>
    <w:p w14:paraId="2C2DE528" w14:textId="40A91E35" w:rsidR="000F5160" w:rsidRPr="000F5160" w:rsidRDefault="00EB5BC0" w:rsidP="000F5160">
      <w:pPr>
        <w:jc w:val="both"/>
        <w:rPr>
          <w:rFonts w:eastAsiaTheme="minorHAnsi" w:cs="Microsoft Sans Serif"/>
          <w:color w:val="00B050"/>
          <w:sz w:val="22"/>
          <w:szCs w:val="20"/>
        </w:rPr>
      </w:pPr>
      <w:r>
        <w:rPr>
          <w:color w:val="00B050"/>
          <w:szCs w:val="20"/>
        </w:rPr>
        <w:t>Ces éléments ne sont pas pris en compte dans les méthodes AMS et AME et i</w:t>
      </w:r>
      <w:r w:rsidR="000F5160" w:rsidRPr="000F5160">
        <w:rPr>
          <w:color w:val="00B050"/>
          <w:szCs w:val="20"/>
        </w:rPr>
        <w:t xml:space="preserve">l </w:t>
      </w:r>
      <w:r w:rsidR="00F775CD">
        <w:rPr>
          <w:color w:val="00B050"/>
          <w:szCs w:val="20"/>
        </w:rPr>
        <w:t>est</w:t>
      </w:r>
      <w:r w:rsidR="000F5160" w:rsidRPr="000F5160">
        <w:rPr>
          <w:color w:val="00B050"/>
          <w:szCs w:val="20"/>
        </w:rPr>
        <w:t xml:space="preserve"> donc nécessaire de </w:t>
      </w:r>
      <w:r w:rsidR="00F775CD">
        <w:rPr>
          <w:color w:val="00B050"/>
          <w:szCs w:val="20"/>
        </w:rPr>
        <w:t xml:space="preserve">chercher à </w:t>
      </w:r>
      <w:r w:rsidR="000F5160" w:rsidRPr="000F5160">
        <w:rPr>
          <w:color w:val="00B050"/>
          <w:szCs w:val="20"/>
        </w:rPr>
        <w:t xml:space="preserve">fournir une évaluation de ces économies réalisées </w:t>
      </w:r>
      <w:r>
        <w:rPr>
          <w:color w:val="00B050"/>
          <w:szCs w:val="20"/>
        </w:rPr>
        <w:t>grâce à</w:t>
      </w:r>
      <w:r w:rsidRPr="000F5160">
        <w:rPr>
          <w:color w:val="00B050"/>
          <w:szCs w:val="20"/>
        </w:rPr>
        <w:t xml:space="preserve"> la mise en service du GPE</w:t>
      </w:r>
      <w:r w:rsidR="001F7148">
        <w:rPr>
          <w:color w:val="00B050"/>
          <w:szCs w:val="20"/>
        </w:rPr>
        <w:t xml:space="preserve"> avec une technique de mesure indépendante de ces hypothèses et complémentaire à ces deux scénarios</w:t>
      </w:r>
      <w:r>
        <w:rPr>
          <w:color w:val="00B050"/>
          <w:szCs w:val="20"/>
        </w:rPr>
        <w:t xml:space="preserve">. Cela concerne aussi bien </w:t>
      </w:r>
      <w:r w:rsidR="000F5160" w:rsidRPr="000F5160">
        <w:rPr>
          <w:color w:val="00B050"/>
          <w:szCs w:val="20"/>
        </w:rPr>
        <w:t xml:space="preserve">les coûts </w:t>
      </w:r>
      <w:r w:rsidR="00F775CD">
        <w:rPr>
          <w:color w:val="00B050"/>
          <w:szCs w:val="20"/>
        </w:rPr>
        <w:t xml:space="preserve">matériels </w:t>
      </w:r>
      <w:r>
        <w:rPr>
          <w:color w:val="00B050"/>
          <w:szCs w:val="20"/>
        </w:rPr>
        <w:t>qu’</w:t>
      </w:r>
      <w:r w:rsidR="00F775CD">
        <w:rPr>
          <w:color w:val="00B050"/>
          <w:szCs w:val="20"/>
        </w:rPr>
        <w:t xml:space="preserve">immatériels </w:t>
      </w:r>
      <w:r w:rsidR="000F5160" w:rsidRPr="000F5160">
        <w:rPr>
          <w:color w:val="00B050"/>
          <w:szCs w:val="20"/>
        </w:rPr>
        <w:t xml:space="preserve">de toutes natures </w:t>
      </w:r>
      <w:r>
        <w:rPr>
          <w:color w:val="00B050"/>
          <w:szCs w:val="20"/>
        </w:rPr>
        <w:t>sous-jacents à la</w:t>
      </w:r>
      <w:r w:rsidR="000F5160" w:rsidRPr="000F5160">
        <w:rPr>
          <w:color w:val="00B050"/>
          <w:szCs w:val="20"/>
        </w:rPr>
        <w:t xml:space="preserve"> mise en œuvre de la SNBC.  Mais ni les textes en vigueur ni la littérature existante ne fournissent de </w:t>
      </w:r>
      <w:r w:rsidR="00090CEA" w:rsidRPr="000F5160">
        <w:rPr>
          <w:color w:val="00B050"/>
          <w:szCs w:val="20"/>
        </w:rPr>
        <w:t>méthode éprouvée</w:t>
      </w:r>
      <w:r w:rsidR="000F5160" w:rsidRPr="000F5160">
        <w:rPr>
          <w:color w:val="00B050"/>
          <w:szCs w:val="20"/>
        </w:rPr>
        <w:t xml:space="preserve"> et reconnue par la communauté scientifique</w:t>
      </w:r>
      <w:r w:rsidR="00F775CD">
        <w:rPr>
          <w:color w:val="00B050"/>
          <w:szCs w:val="20"/>
        </w:rPr>
        <w:t xml:space="preserve"> pour faire ces évaluations</w:t>
      </w:r>
      <w:r w:rsidR="002A084C">
        <w:rPr>
          <w:color w:val="00B050"/>
          <w:szCs w:val="20"/>
        </w:rPr>
        <w:t>. L</w:t>
      </w:r>
      <w:r w:rsidR="000F5160" w:rsidRPr="000F5160">
        <w:rPr>
          <w:color w:val="00B050"/>
          <w:szCs w:val="20"/>
        </w:rPr>
        <w:t xml:space="preserve">a SGP a été amenée </w:t>
      </w:r>
      <w:r w:rsidR="00F775CD">
        <w:rPr>
          <w:color w:val="00B050"/>
          <w:szCs w:val="20"/>
        </w:rPr>
        <w:t xml:space="preserve">à </w:t>
      </w:r>
      <w:r w:rsidR="000F5160" w:rsidRPr="000F5160">
        <w:rPr>
          <w:color w:val="00B050"/>
          <w:szCs w:val="20"/>
        </w:rPr>
        <w:t>propose</w:t>
      </w:r>
      <w:r w:rsidR="00F775CD">
        <w:rPr>
          <w:color w:val="00B050"/>
          <w:szCs w:val="20"/>
        </w:rPr>
        <w:t>r</w:t>
      </w:r>
      <w:r w:rsidR="000F5160" w:rsidRPr="000F5160">
        <w:rPr>
          <w:color w:val="00B050"/>
          <w:szCs w:val="20"/>
        </w:rPr>
        <w:t xml:space="preserve"> une approche dont les fondements théoriques sont inspirés par l’analyse du choix modal sur la base des coûts sociaux généralisés</w:t>
      </w:r>
      <w:bookmarkStart w:id="127" w:name="_Hlk43708793"/>
      <w:r w:rsidR="000F5160" w:rsidRPr="000F5160">
        <w:rPr>
          <w:rStyle w:val="Appelnotedebasdep"/>
          <w:color w:val="00B050"/>
          <w:szCs w:val="20"/>
        </w:rPr>
        <w:footnoteReference w:id="63"/>
      </w:r>
      <w:bookmarkEnd w:id="127"/>
      <w:r w:rsidR="00F20F0E">
        <w:rPr>
          <w:color w:val="00B050"/>
          <w:szCs w:val="20"/>
        </w:rPr>
        <w:t xml:space="preserve">. Cette approche dépasse d’une manière dynamique le </w:t>
      </w:r>
      <w:r w:rsidR="000F5160" w:rsidRPr="000F5160">
        <w:rPr>
          <w:rFonts w:cs="Microsoft Sans Serif"/>
          <w:color w:val="00B050"/>
          <w:szCs w:val="20"/>
        </w:rPr>
        <w:t xml:space="preserve">simple transfert modal </w:t>
      </w:r>
      <w:r w:rsidR="00F20F0E">
        <w:rPr>
          <w:rFonts w:cs="Microsoft Sans Serif"/>
          <w:color w:val="00B050"/>
          <w:szCs w:val="20"/>
        </w:rPr>
        <w:t>« </w:t>
      </w:r>
      <w:r w:rsidR="000F5160" w:rsidRPr="000F5160">
        <w:rPr>
          <w:rFonts w:cs="Microsoft Sans Serif"/>
          <w:color w:val="00B050"/>
          <w:szCs w:val="20"/>
        </w:rPr>
        <w:t>statique</w:t>
      </w:r>
      <w:r w:rsidR="00F20F0E">
        <w:rPr>
          <w:rFonts w:cs="Microsoft Sans Serif"/>
          <w:color w:val="00B050"/>
          <w:szCs w:val="20"/>
        </w:rPr>
        <w:t> »</w:t>
      </w:r>
      <w:r w:rsidR="000F5160" w:rsidRPr="000F5160">
        <w:rPr>
          <w:rFonts w:cs="Microsoft Sans Serif"/>
          <w:color w:val="00B050"/>
          <w:szCs w:val="20"/>
        </w:rPr>
        <w:t xml:space="preserve"> repris usuellement dans les modèles de trafic, c’est-à-dire apprécié sans les modifications structurelles de l’environnement comme la Stratégie Bas Carbone va les induire en modifiant les règles d’arbitrage des usagers. L’analyse proposée est basée sur la notion d’effets structurels « latents » du GPE car celui-ci augmente la </w:t>
      </w:r>
      <w:r>
        <w:rPr>
          <w:rFonts w:cs="Microsoft Sans Serif"/>
          <w:color w:val="00B050"/>
          <w:szCs w:val="20"/>
        </w:rPr>
        <w:t>« </w:t>
      </w:r>
      <w:r w:rsidR="000F5160" w:rsidRPr="000F5160">
        <w:rPr>
          <w:rFonts w:cs="Microsoft Sans Serif"/>
          <w:color w:val="00B050"/>
          <w:szCs w:val="20"/>
        </w:rPr>
        <w:t>flexibilité modale</w:t>
      </w:r>
      <w:r>
        <w:rPr>
          <w:rFonts w:cs="Microsoft Sans Serif"/>
          <w:color w:val="00B050"/>
          <w:szCs w:val="20"/>
        </w:rPr>
        <w:t> »</w:t>
      </w:r>
      <w:r w:rsidR="000F5160" w:rsidRPr="000F5160">
        <w:rPr>
          <w:rFonts w:cs="Microsoft Sans Serif"/>
          <w:color w:val="00B050"/>
          <w:szCs w:val="20"/>
        </w:rPr>
        <w:t xml:space="preserve">, c’est-à-dire qu’il facilite le changement de mode si des mesures restrictives à l’utilisation des véhicules particuliers interviennent à l’avenir. Le GPE réduit le coût du changement de mode pour les usagers </w:t>
      </w:r>
      <w:r w:rsidR="00F20F0E">
        <w:rPr>
          <w:rFonts w:cs="Microsoft Sans Serif"/>
          <w:color w:val="00B050"/>
          <w:szCs w:val="20"/>
        </w:rPr>
        <w:t xml:space="preserve">qui ont ainsi une option supplémentaire s’ils veulent </w:t>
      </w:r>
      <w:r w:rsidR="000F5160" w:rsidRPr="000F5160">
        <w:rPr>
          <w:rFonts w:cs="Microsoft Sans Serif"/>
          <w:color w:val="00B050"/>
          <w:szCs w:val="20"/>
        </w:rPr>
        <w:t xml:space="preserve">se reporter vers les transports en commun à </w:t>
      </w:r>
      <w:r w:rsidR="0075235A">
        <w:rPr>
          <w:rFonts w:cs="Microsoft Sans Serif"/>
          <w:color w:val="00B050"/>
          <w:szCs w:val="20"/>
        </w:rPr>
        <w:t xml:space="preserve">la suite de </w:t>
      </w:r>
      <w:r w:rsidR="000F5160" w:rsidRPr="000F5160">
        <w:rPr>
          <w:rFonts w:cs="Microsoft Sans Serif"/>
          <w:color w:val="00B050"/>
          <w:szCs w:val="20"/>
        </w:rPr>
        <w:t xml:space="preserve">ces mesures puisque le temps </w:t>
      </w:r>
      <w:r w:rsidR="00F20F0E">
        <w:rPr>
          <w:rFonts w:cs="Microsoft Sans Serif"/>
          <w:color w:val="00B050"/>
          <w:szCs w:val="20"/>
        </w:rPr>
        <w:t xml:space="preserve">de transport </w:t>
      </w:r>
      <w:r w:rsidR="000F5160" w:rsidRPr="000F5160">
        <w:rPr>
          <w:rFonts w:cs="Microsoft Sans Serif"/>
          <w:color w:val="00B050"/>
          <w:szCs w:val="20"/>
        </w:rPr>
        <w:t xml:space="preserve">supplémentaire </w:t>
      </w:r>
      <w:r w:rsidR="00F20F0E">
        <w:rPr>
          <w:rFonts w:cs="Microsoft Sans Serif"/>
          <w:color w:val="00B050"/>
          <w:szCs w:val="20"/>
        </w:rPr>
        <w:t xml:space="preserve">avec les transports en commun par rapport à ce qu’il était avec un véhicule particulier </w:t>
      </w:r>
      <w:r w:rsidR="000F5160" w:rsidRPr="000F5160">
        <w:rPr>
          <w:rFonts w:cs="Microsoft Sans Serif"/>
          <w:color w:val="00B050"/>
          <w:szCs w:val="20"/>
        </w:rPr>
        <w:t xml:space="preserve">sera moins élevé </w:t>
      </w:r>
      <w:r w:rsidR="00F20F0E">
        <w:rPr>
          <w:rFonts w:cs="Microsoft Sans Serif"/>
          <w:color w:val="00B050"/>
          <w:szCs w:val="20"/>
        </w:rPr>
        <w:t>si</w:t>
      </w:r>
      <w:r w:rsidR="000F5160" w:rsidRPr="000F5160">
        <w:rPr>
          <w:rFonts w:cs="Microsoft Sans Serif"/>
          <w:color w:val="00B050"/>
          <w:szCs w:val="20"/>
        </w:rPr>
        <w:t xml:space="preserve"> le Grand Paris Express </w:t>
      </w:r>
      <w:r w:rsidR="00F20F0E">
        <w:rPr>
          <w:rFonts w:cs="Microsoft Sans Serif"/>
          <w:color w:val="00B050"/>
          <w:szCs w:val="20"/>
        </w:rPr>
        <w:t xml:space="preserve">est réalisé </w:t>
      </w:r>
      <w:r w:rsidR="000F5160" w:rsidRPr="000F5160">
        <w:rPr>
          <w:rFonts w:cs="Microsoft Sans Serif"/>
          <w:color w:val="00B050"/>
          <w:szCs w:val="20"/>
        </w:rPr>
        <w:t>que si celui-ci n’est pas mis en œuvre. Ce bénéfice n’est pas intégré dans les évaluations conventionnelles car celles-ci ne prennent en compte que les gains de temps effectifs des usagers déjà utilisateurs des transports en commun ou de ceux qui changeront « mécaniquement » de mode de transport du fait de la baisse des temps de transport</w:t>
      </w:r>
      <w:r w:rsidR="006078E9">
        <w:rPr>
          <w:rFonts w:cs="Microsoft Sans Serif"/>
          <w:color w:val="00B050"/>
          <w:szCs w:val="20"/>
        </w:rPr>
        <w:t>.</w:t>
      </w:r>
      <w:r w:rsidR="0075235A">
        <w:rPr>
          <w:rFonts w:cs="Microsoft Sans Serif"/>
          <w:color w:val="00B050"/>
          <w:szCs w:val="20"/>
        </w:rPr>
        <w:t xml:space="preserve"> </w:t>
      </w:r>
      <w:r>
        <w:rPr>
          <w:rFonts w:cs="Microsoft Sans Serif"/>
          <w:color w:val="00B050"/>
          <w:szCs w:val="20"/>
        </w:rPr>
        <w:t xml:space="preserve">Les </w:t>
      </w:r>
      <w:r w:rsidRPr="00EB5BC0">
        <w:rPr>
          <w:rFonts w:cs="Microsoft Sans Serif"/>
          <w:color w:val="00B050"/>
          <w:szCs w:val="20"/>
        </w:rPr>
        <w:t>évaluations conventionnelles</w:t>
      </w:r>
      <w:r w:rsidR="0075235A">
        <w:rPr>
          <w:rFonts w:cs="Microsoft Sans Serif"/>
          <w:color w:val="00B050"/>
          <w:szCs w:val="20"/>
        </w:rPr>
        <w:t xml:space="preserve"> ne prennent pas en compte le</w:t>
      </w:r>
      <w:r w:rsidR="000F5160" w:rsidRPr="000F5160">
        <w:rPr>
          <w:rFonts w:cs="Microsoft Sans Serif"/>
          <w:color w:val="00B050"/>
          <w:szCs w:val="20"/>
        </w:rPr>
        <w:t>s mesures d’incitations supplémentaires que la puissance publique sera amenée à mettre en œuvre dans le futur</w:t>
      </w:r>
      <w:r>
        <w:rPr>
          <w:rFonts w:cs="Microsoft Sans Serif"/>
          <w:color w:val="00B050"/>
          <w:szCs w:val="20"/>
        </w:rPr>
        <w:t>, par</w:t>
      </w:r>
      <w:r w:rsidR="000F5160" w:rsidRPr="000F5160">
        <w:rPr>
          <w:color w:val="00B050"/>
        </w:rPr>
        <w:t xml:space="preserve"> exemple, si une personne doit changer de mode car le stationnement là où elle doit se rendre devient interdit ou </w:t>
      </w:r>
      <w:r w:rsidR="00F20F0E">
        <w:rPr>
          <w:color w:val="00B050"/>
        </w:rPr>
        <w:t>beaucoup plus cher</w:t>
      </w:r>
      <w:r w:rsidR="0075235A">
        <w:rPr>
          <w:color w:val="00B050"/>
        </w:rPr>
        <w:t xml:space="preserve"> dans 10 ans</w:t>
      </w:r>
      <w:r w:rsidR="000F5160" w:rsidRPr="000F5160">
        <w:rPr>
          <w:color w:val="00B050"/>
        </w:rPr>
        <w:t>.</w:t>
      </w:r>
    </w:p>
    <w:p w14:paraId="77BCEAA6" w14:textId="77777777" w:rsidR="000F5160" w:rsidRPr="000F5160" w:rsidRDefault="000F5160" w:rsidP="000F5160">
      <w:pPr>
        <w:jc w:val="both"/>
        <w:rPr>
          <w:color w:val="00B050"/>
        </w:rPr>
      </w:pPr>
    </w:p>
    <w:p w14:paraId="2582C836" w14:textId="4B68C368" w:rsidR="000F5160" w:rsidRPr="000F5160" w:rsidRDefault="000F5160" w:rsidP="000F5160">
      <w:pPr>
        <w:jc w:val="both"/>
        <w:rPr>
          <w:color w:val="00B050"/>
        </w:rPr>
      </w:pPr>
      <w:r w:rsidRPr="000F5160">
        <w:rPr>
          <w:color w:val="00B050"/>
        </w:rPr>
        <w:t>Grâce à une analyse économétrique basée sur les résultats issus du modèle MODUS</w:t>
      </w:r>
      <w:r w:rsidR="00EB5BC0">
        <w:rPr>
          <w:color w:val="00B050"/>
        </w:rPr>
        <w:t>,</w:t>
      </w:r>
      <w:r w:rsidRPr="000F5160">
        <w:rPr>
          <w:color w:val="00B050"/>
        </w:rPr>
        <w:t xml:space="preserve"> il a été possible d’évaluer l’incidence du GPE sur la flexibilité modale. Globalement, à partir des résultats des simulations MODUS, on a analysé l’augmentation des coûts généralisés de tous les déplacements suite à une augmentation du prix de l’utilisation de la voiture particulière (VP) et ceci dans le cas où le Grand Paris Express est ou n’est pas mis en œuvre. On obtient ainsi pour chacune des paires origine-destination (OD) du modèle MODUS un ratio décrivant le gain de flexibilité pour les usagers VP qui est pondéré par le nombre de déplacements sur cette OD. L’analyse a ainsi révélé que le coût induit par une mesure visant à réduire l’utilisation de la voiture sera en moyenne, selon les départements d’Ile-de-France, de 0.81 à 5.81% plus faible grâce à l’existence du Grand Paris Express, et en moyenne pour l’ensemble de l’Ile-de-France cela représente une diminution de 3,92%.</w:t>
      </w:r>
    </w:p>
    <w:p w14:paraId="2547744B" w14:textId="77777777" w:rsidR="000F5160" w:rsidRPr="000F5160" w:rsidRDefault="000F5160" w:rsidP="000F5160">
      <w:pPr>
        <w:jc w:val="both"/>
        <w:rPr>
          <w:color w:val="00B050"/>
        </w:rPr>
      </w:pPr>
    </w:p>
    <w:p w14:paraId="41452F52" w14:textId="43EEF010" w:rsidR="000F5160" w:rsidRPr="000F5160" w:rsidRDefault="00EB5BC0" w:rsidP="000F5160">
      <w:pPr>
        <w:jc w:val="both"/>
        <w:rPr>
          <w:color w:val="00B050"/>
        </w:rPr>
      </w:pPr>
      <w:r>
        <w:rPr>
          <w:color w:val="00B050"/>
        </w:rPr>
        <w:lastRenderedPageBreak/>
        <w:t xml:space="preserve">Il en va de même des choix résidentiels. </w:t>
      </w:r>
      <w:r w:rsidR="0075235A">
        <w:rPr>
          <w:color w:val="00B050"/>
        </w:rPr>
        <w:t>L</w:t>
      </w:r>
      <w:r w:rsidR="000F5160" w:rsidRPr="000F5160">
        <w:rPr>
          <w:color w:val="00B050"/>
        </w:rPr>
        <w:t>e confort et l’accessibilité des résidences sont des attributs déterminants dans le choix de localisation des habitants</w:t>
      </w:r>
      <w:r w:rsidR="0075235A">
        <w:rPr>
          <w:color w:val="00B050"/>
        </w:rPr>
        <w:t xml:space="preserve"> (voir l’encadré sur Urbansim, page 40)</w:t>
      </w:r>
      <w:r w:rsidR="000F5160" w:rsidRPr="000F5160">
        <w:rPr>
          <w:color w:val="00B050"/>
        </w:rPr>
        <w:t>. Une personne préférera ainsi un logement spacieux avec un espace privatif, pas de vis-à-vis, accessible et proche des différentes commodités (crèche, école, magasins, etc.). Ces attributs sont néanmoins rivaux avec l’accessibilité puisqu’un habitat composé de maisons avec quatre façades et peu de vis-à-vis direct augmente inévitablement les distances entre les points d’intérêt de la population. Inversement, l’accessibilité est généralement liée à la densification, ce qui réduit l’espace disponible par habitant. Les études « hédoniques » des prix montrent la substituabilité de ces attributs.</w:t>
      </w:r>
    </w:p>
    <w:p w14:paraId="163540F9" w14:textId="77777777" w:rsidR="000F5160" w:rsidRPr="000F5160" w:rsidRDefault="000F5160" w:rsidP="000F5160">
      <w:pPr>
        <w:jc w:val="both"/>
        <w:rPr>
          <w:color w:val="00B050"/>
        </w:rPr>
      </w:pPr>
      <w:r w:rsidRPr="000F5160">
        <w:rPr>
          <w:color w:val="00B050"/>
        </w:rPr>
        <w:t xml:space="preserve"> </w:t>
      </w:r>
    </w:p>
    <w:p w14:paraId="140A3E51" w14:textId="1335E6E7" w:rsidR="000F5160" w:rsidRPr="000F5160" w:rsidRDefault="000F5160" w:rsidP="000F5160">
      <w:pPr>
        <w:jc w:val="both"/>
        <w:rPr>
          <w:color w:val="00B050"/>
        </w:rPr>
      </w:pPr>
      <w:r w:rsidRPr="000F5160">
        <w:rPr>
          <w:color w:val="00B050"/>
        </w:rPr>
        <w:t xml:space="preserve">La littérature scientifique existante montre que le report modal et la diminution des distances parcourues propres à la densification </w:t>
      </w:r>
      <w:r w:rsidR="0075235A">
        <w:rPr>
          <w:color w:val="00B050"/>
        </w:rPr>
        <w:t>n’</w:t>
      </w:r>
      <w:r w:rsidRPr="000F5160">
        <w:rPr>
          <w:color w:val="00B050"/>
        </w:rPr>
        <w:t>ont</w:t>
      </w:r>
      <w:r w:rsidR="0075235A">
        <w:rPr>
          <w:color w:val="00B050"/>
        </w:rPr>
        <w:t xml:space="preserve"> pas</w:t>
      </w:r>
      <w:r w:rsidRPr="000F5160">
        <w:rPr>
          <w:color w:val="00B050"/>
        </w:rPr>
        <w:t xml:space="preserve"> un effet suffisant pour garder le trafic routier inchangé. Sans mesures complémentaires visant à améliorer l’accessibilité des territoires ou favoriser un report modal de la voiture vers les transports en commun, l’augmentation des déplacements liée à l’arrivée de nouveaux habitants entraîne une augmentation locale du trafic malgré le report modal naturel et la diminution des distances parcourues liés à la densification. Les zones densifiées perdent alors de leur intérêt aux yeux des potentiels habitants qui leur préfèrent des zones d’étalement urbain. Pour permettre à la densification de se perpétuer, l’augmentation de la densité doit donc être accompagnée du développement de l’accessibilité des territoires (par des modes peu consommateurs d’espace) et par des mesures favorisant un report modal vers les transports en commun existants.</w:t>
      </w:r>
    </w:p>
    <w:p w14:paraId="68056332" w14:textId="77777777" w:rsidR="000F5160" w:rsidRPr="000F5160" w:rsidRDefault="000F5160" w:rsidP="000F5160">
      <w:pPr>
        <w:jc w:val="both"/>
        <w:rPr>
          <w:color w:val="00B050"/>
        </w:rPr>
      </w:pPr>
    </w:p>
    <w:p w14:paraId="31BB50BA" w14:textId="03C9EE50" w:rsidR="000F5160" w:rsidRPr="000F5160" w:rsidRDefault="000F5160" w:rsidP="000F5160">
      <w:pPr>
        <w:jc w:val="both"/>
        <w:rPr>
          <w:color w:val="00B050"/>
        </w:rPr>
      </w:pPr>
      <w:r w:rsidRPr="000F5160">
        <w:rPr>
          <w:color w:val="00B050"/>
        </w:rPr>
        <w:t>L’acceptabilité d’une densification supplémentaire des territoires ou la probabilité que la densification se perpétue à moyen ou long terme sont donc directement dépendantes de mesures d’accompagnement visant à l’amélioration de l’accessibilité des territoires par les transports en commun. Dans ce sens, le GPE augmente aussi l’acceptabilité des mesures visant à encourager un bâti plus dense.</w:t>
      </w:r>
    </w:p>
    <w:p w14:paraId="7A14C80F" w14:textId="77777777" w:rsidR="000F5160" w:rsidRPr="000F5160" w:rsidRDefault="000F5160" w:rsidP="000F5160">
      <w:pPr>
        <w:jc w:val="both"/>
        <w:rPr>
          <w:color w:val="00B050"/>
        </w:rPr>
      </w:pPr>
    </w:p>
    <w:p w14:paraId="0A4BD526" w14:textId="74C8142E" w:rsidR="000F5160" w:rsidRPr="000F5160" w:rsidRDefault="000F5160" w:rsidP="000F5160">
      <w:pPr>
        <w:jc w:val="both"/>
        <w:rPr>
          <w:color w:val="00B050"/>
        </w:rPr>
      </w:pPr>
      <w:r w:rsidRPr="000F5160">
        <w:rPr>
          <w:color w:val="00B050"/>
        </w:rPr>
        <w:t>Ceci illustre qu’au-delà de l’effet direct sur la productivité des transports en commun, les infrastructures comme le GPE peuvent faciliter les changements de comportement des habitants permettant ainsi l’existence de « cercle vertueux » liant développement des politiques d’infrastructures de transports en commun, densification urbaine, et limitation croissante de l’usage de la voiture.</w:t>
      </w:r>
    </w:p>
    <w:p w14:paraId="1A3CC349" w14:textId="77777777" w:rsidR="000F5160" w:rsidRPr="000F5160" w:rsidRDefault="000F5160" w:rsidP="000F5160">
      <w:pPr>
        <w:jc w:val="both"/>
        <w:rPr>
          <w:color w:val="00B050"/>
        </w:rPr>
      </w:pPr>
    </w:p>
    <w:p w14:paraId="281C8F01" w14:textId="01464D49" w:rsidR="000F5160" w:rsidRPr="000F5160" w:rsidRDefault="000F5160" w:rsidP="000F5160">
      <w:pPr>
        <w:jc w:val="both"/>
        <w:rPr>
          <w:color w:val="00B050"/>
        </w:rPr>
      </w:pPr>
      <w:r w:rsidRPr="000F5160">
        <w:rPr>
          <w:color w:val="00B050"/>
        </w:rPr>
        <w:t>A l’inverse, une politique insuffisante en faveur du développement des infrastructures de transport en commun induirait un processus endogène opposé qui peut favoriser la croissance de l’étalement urbain. De plus, la nécessité dans ce cas de mettre en œuvre des infrastructures routières supplémentaires réduit l’espace disponible pour les autres modes et représente une incitation à l’augmentation du nombre de propriétaires de véhicule. Lorsqu’une région s’enlise dans ce mode de développement urbain il est donc très difficile et coûteux d’en changer la dynamique. Dans ce contexte, les trajets en voiture deviennent « compulsifs » à cause de l</w:t>
      </w:r>
      <w:r w:rsidR="00132ECF">
        <w:rPr>
          <w:color w:val="00B050"/>
        </w:rPr>
        <w:t xml:space="preserve">a faiblesse des </w:t>
      </w:r>
      <w:r w:rsidRPr="000F5160">
        <w:rPr>
          <w:color w:val="00B050"/>
        </w:rPr>
        <w:t>alternative</w:t>
      </w:r>
      <w:r w:rsidR="00132ECF">
        <w:rPr>
          <w:color w:val="00B050"/>
        </w:rPr>
        <w:t>s</w:t>
      </w:r>
      <w:r w:rsidRPr="000F5160">
        <w:rPr>
          <w:color w:val="00B050"/>
        </w:rPr>
        <w:t xml:space="preserve"> </w:t>
      </w:r>
      <w:r w:rsidR="00132ECF">
        <w:rPr>
          <w:color w:val="00B050"/>
        </w:rPr>
        <w:t>utiles</w:t>
      </w:r>
      <w:r w:rsidRPr="000F5160">
        <w:rPr>
          <w:color w:val="00B050"/>
        </w:rPr>
        <w:t>.</w:t>
      </w:r>
      <w:r w:rsidR="0075235A">
        <w:rPr>
          <w:color w:val="00B050"/>
        </w:rPr>
        <w:t xml:space="preserve"> </w:t>
      </w:r>
    </w:p>
    <w:p w14:paraId="6AA6D7C7" w14:textId="77777777" w:rsidR="000F5160" w:rsidRPr="000F5160" w:rsidRDefault="000F5160" w:rsidP="000F5160">
      <w:pPr>
        <w:jc w:val="both"/>
        <w:rPr>
          <w:color w:val="00B050"/>
        </w:rPr>
      </w:pPr>
    </w:p>
    <w:p w14:paraId="1DB0D2E6" w14:textId="6C92916D" w:rsidR="000F5160" w:rsidRPr="000F5160" w:rsidRDefault="000F5160" w:rsidP="000F5160">
      <w:pPr>
        <w:jc w:val="both"/>
        <w:rPr>
          <w:color w:val="00B050"/>
        </w:rPr>
      </w:pPr>
      <w:r w:rsidRPr="000F5160">
        <w:rPr>
          <w:color w:val="00B050"/>
        </w:rPr>
        <w:t xml:space="preserve">Les gains de flexibilité induits par le GPE augmentent l’acceptabilité des mesures qui permettront d’atteindre les objectifs de la SNBC. </w:t>
      </w:r>
      <w:r w:rsidRPr="000F5160">
        <w:rPr>
          <w:rFonts w:cs="Microsoft Sans Serif"/>
          <w:color w:val="00B050"/>
        </w:rPr>
        <w:t xml:space="preserve">Dans ce sens, le Grand Paris Express peut être considéré comme une condition </w:t>
      </w:r>
      <w:r w:rsidR="007B6303">
        <w:rPr>
          <w:rFonts w:cs="Microsoft Sans Serif"/>
          <w:color w:val="00B050"/>
        </w:rPr>
        <w:t>majeure</w:t>
      </w:r>
      <w:r w:rsidRPr="000F5160">
        <w:rPr>
          <w:rFonts w:cs="Microsoft Sans Serif"/>
          <w:color w:val="00B050"/>
        </w:rPr>
        <w:t xml:space="preserve"> à l’atteinte des objectifs de la SNBC</w:t>
      </w:r>
      <w:r w:rsidR="007B6303">
        <w:rPr>
          <w:rFonts w:cs="Microsoft Sans Serif"/>
          <w:color w:val="00B050"/>
        </w:rPr>
        <w:t xml:space="preserve"> dans la région Île de France</w:t>
      </w:r>
      <w:r w:rsidRPr="000F5160">
        <w:rPr>
          <w:rFonts w:cs="Microsoft Sans Serif"/>
          <w:color w:val="00B050"/>
        </w:rPr>
        <w:t xml:space="preserve">. Le Grand Paris Express n’est alors plus un projet séparé qui vient « se plaquer » dans le contexte de la SNBC mais fait partie intégrante de celle-ci. Il est dans ce cas </w:t>
      </w:r>
      <w:r w:rsidR="00132ECF">
        <w:rPr>
          <w:rFonts w:cs="Microsoft Sans Serif"/>
          <w:color w:val="00B050"/>
        </w:rPr>
        <w:t>possible</w:t>
      </w:r>
      <w:r w:rsidRPr="000F5160">
        <w:rPr>
          <w:rFonts w:cs="Microsoft Sans Serif"/>
          <w:color w:val="00B050"/>
        </w:rPr>
        <w:t xml:space="preserve"> de </w:t>
      </w:r>
      <w:r w:rsidR="007B6303">
        <w:rPr>
          <w:rFonts w:cs="Microsoft Sans Serif"/>
          <w:color w:val="00B050"/>
        </w:rPr>
        <w:t>quantifier cette</w:t>
      </w:r>
      <w:r w:rsidRPr="000F5160">
        <w:rPr>
          <w:rFonts w:cs="Microsoft Sans Serif"/>
          <w:color w:val="00B050"/>
        </w:rPr>
        <w:t xml:space="preserve"> contribution du Grand Paris Express à la réussite des objectifs de la SNBC.</w:t>
      </w:r>
      <w:r w:rsidRPr="000F5160">
        <w:rPr>
          <w:color w:val="00B050"/>
        </w:rPr>
        <w:t xml:space="preserve"> Comme indiqué plus haut, le GPE facilitera les mesures contraignantes en réduisant l’augmentation des coûts généralisés des déplacements de 3,92%. En d’autres termes, le GPE rendra plus acceptables les mesures et diminuera donc leur coût.</w:t>
      </w:r>
    </w:p>
    <w:p w14:paraId="239780B9" w14:textId="77777777" w:rsidR="000F5160" w:rsidRPr="000F5160" w:rsidRDefault="000F5160" w:rsidP="000F5160">
      <w:pPr>
        <w:jc w:val="both"/>
        <w:rPr>
          <w:color w:val="00B050"/>
        </w:rPr>
      </w:pPr>
    </w:p>
    <w:p w14:paraId="0631F168" w14:textId="7D92A017" w:rsidR="000F5160" w:rsidRPr="000F5160" w:rsidRDefault="00132ECF" w:rsidP="000F5160">
      <w:pPr>
        <w:jc w:val="both"/>
        <w:rPr>
          <w:color w:val="00B050"/>
        </w:rPr>
      </w:pPr>
      <w:r>
        <w:rPr>
          <w:color w:val="00B050"/>
        </w:rPr>
        <w:t>On peut ainsi</w:t>
      </w:r>
      <w:r w:rsidR="000F5160" w:rsidRPr="000F5160">
        <w:rPr>
          <w:color w:val="00B050"/>
        </w:rPr>
        <w:t xml:space="preserve"> faire l’hypothèse, en supposant que les rendements de l’action publique sont constants, que toute mesure visant à réduire l’utilisation de la voiture sera 3,92% moins coûteuse à mettre en place ou, à contrario, que les avantages liés à cette mesure seront 3,92% plus importants grâce au GPE.</w:t>
      </w:r>
    </w:p>
    <w:p w14:paraId="4506DF19" w14:textId="77777777" w:rsidR="000F5160" w:rsidRPr="000F5160" w:rsidRDefault="000F5160" w:rsidP="000F5160">
      <w:pPr>
        <w:jc w:val="both"/>
        <w:rPr>
          <w:color w:val="00B050"/>
        </w:rPr>
      </w:pPr>
    </w:p>
    <w:p w14:paraId="33A9A464" w14:textId="3C298D20" w:rsidR="000F5160" w:rsidRDefault="000F5160" w:rsidP="000F5160">
      <w:pPr>
        <w:jc w:val="both"/>
        <w:rPr>
          <w:color w:val="00B050"/>
        </w:rPr>
      </w:pPr>
      <w:r w:rsidRPr="000F5160">
        <w:rPr>
          <w:color w:val="00B050"/>
        </w:rPr>
        <w:t>En soulignant que les besoins en investissements de la SNBC repris dans les documents de la SNBC 2020 sont les suivants (en milliards d’euros par an)</w:t>
      </w:r>
      <w:r w:rsidR="007B6303">
        <w:rPr>
          <w:color w:val="00B050"/>
        </w:rPr>
        <w:t xml:space="preserve"> </w:t>
      </w:r>
      <w:r w:rsidRPr="000F5160">
        <w:rPr>
          <w:color w:val="00B050"/>
        </w:rPr>
        <w:t>:</w:t>
      </w:r>
    </w:p>
    <w:p w14:paraId="2117E429" w14:textId="2C98C313" w:rsidR="00587B8A" w:rsidRDefault="00587B8A" w:rsidP="000F5160">
      <w:pPr>
        <w:jc w:val="both"/>
        <w:rPr>
          <w:color w:val="00B050"/>
        </w:rPr>
      </w:pPr>
    </w:p>
    <w:p w14:paraId="7B8082FF" w14:textId="0C2E5B57" w:rsidR="00587B8A" w:rsidRDefault="00587B8A" w:rsidP="000F5160">
      <w:pPr>
        <w:jc w:val="both"/>
        <w:rPr>
          <w:color w:val="00B050"/>
        </w:rPr>
      </w:pPr>
    </w:p>
    <w:p w14:paraId="6972BEE4" w14:textId="72122A0F" w:rsidR="00587B8A" w:rsidRDefault="00587B8A" w:rsidP="000F5160">
      <w:pPr>
        <w:jc w:val="both"/>
        <w:rPr>
          <w:color w:val="00B050"/>
        </w:rPr>
      </w:pPr>
    </w:p>
    <w:p w14:paraId="3C45F2D1" w14:textId="18EE1BB5" w:rsidR="000F5160" w:rsidRPr="00587B8A" w:rsidRDefault="000F5160" w:rsidP="00F21EB2">
      <w:pPr>
        <w:pStyle w:val="Lgende"/>
        <w:numPr>
          <w:ilvl w:val="0"/>
          <w:numId w:val="0"/>
        </w:numPr>
        <w:spacing w:before="0"/>
        <w:ind w:left="1066" w:firstLine="352"/>
        <w:jc w:val="left"/>
        <w:rPr>
          <w:rFonts w:cs="Microsoft Sans Serif"/>
          <w:b/>
          <w:bCs w:val="0"/>
          <w:color w:val="00B050"/>
        </w:rPr>
      </w:pPr>
      <w:bookmarkStart w:id="128" w:name="_Toc63865867"/>
      <w:r w:rsidRPr="00587B8A">
        <w:rPr>
          <w:rFonts w:cs="Microsoft Sans Serif"/>
          <w:b/>
          <w:bCs w:val="0"/>
          <w:color w:val="00B050"/>
        </w:rPr>
        <w:t>Besoin</w:t>
      </w:r>
      <w:r w:rsidR="00F21EB2" w:rsidRPr="00587B8A">
        <w:rPr>
          <w:rFonts w:cs="Microsoft Sans Serif"/>
          <w:b/>
          <w:bCs w:val="0"/>
          <w:color w:val="00B050"/>
        </w:rPr>
        <w:t>s</w:t>
      </w:r>
      <w:r w:rsidRPr="00587B8A">
        <w:rPr>
          <w:rFonts w:cs="Microsoft Sans Serif"/>
          <w:b/>
          <w:bCs w:val="0"/>
          <w:color w:val="00B050"/>
        </w:rPr>
        <w:t xml:space="preserve"> en investissements dans la SNBC (en milliards d’euros par an) </w:t>
      </w:r>
      <w:bookmarkEnd w:id="128"/>
    </w:p>
    <w:p w14:paraId="62810E1F" w14:textId="77777777" w:rsidR="000F5160" w:rsidRPr="000F5160" w:rsidRDefault="000F5160" w:rsidP="000F5160">
      <w:pPr>
        <w:jc w:val="center"/>
        <w:rPr>
          <w:color w:val="00B050"/>
        </w:rPr>
      </w:pPr>
      <w:r w:rsidRPr="000F5160">
        <w:rPr>
          <w:noProof/>
          <w:color w:val="00B050"/>
        </w:rPr>
        <w:drawing>
          <wp:inline distT="0" distB="0" distL="0" distR="0" wp14:anchorId="7387B41B" wp14:editId="3815728F">
            <wp:extent cx="5372100" cy="1019175"/>
            <wp:effectExtent l="0" t="0" r="0" b="952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56">
                      <a:extLst>
                        <a:ext uri="{28A0092B-C50C-407E-A947-70E740481C1C}">
                          <a14:useLocalDpi xmlns:a14="http://schemas.microsoft.com/office/drawing/2010/main" val="0"/>
                        </a:ext>
                      </a:extLst>
                    </a:blip>
                    <a:srcRect t="13184"/>
                    <a:stretch>
                      <a:fillRect/>
                    </a:stretch>
                  </pic:blipFill>
                  <pic:spPr bwMode="auto">
                    <a:xfrm>
                      <a:off x="0" y="0"/>
                      <a:ext cx="5372100" cy="1019175"/>
                    </a:xfrm>
                    <a:prstGeom prst="rect">
                      <a:avLst/>
                    </a:prstGeom>
                    <a:noFill/>
                    <a:ln>
                      <a:noFill/>
                    </a:ln>
                  </pic:spPr>
                </pic:pic>
              </a:graphicData>
            </a:graphic>
          </wp:inline>
        </w:drawing>
      </w:r>
    </w:p>
    <w:p w14:paraId="0C079F12" w14:textId="77777777" w:rsidR="000F5160" w:rsidRPr="000F5160" w:rsidRDefault="000F5160" w:rsidP="000F5160">
      <w:pPr>
        <w:rPr>
          <w:rFonts w:cs="Microsoft Sans Serif"/>
          <w:color w:val="00B050"/>
        </w:rPr>
      </w:pPr>
    </w:p>
    <w:p w14:paraId="640A464E" w14:textId="5668A01B" w:rsidR="00587B8A" w:rsidRDefault="000F5160" w:rsidP="000F5160">
      <w:pPr>
        <w:jc w:val="both"/>
        <w:rPr>
          <w:color w:val="00B050"/>
        </w:rPr>
      </w:pPr>
      <w:r w:rsidRPr="000F5160">
        <w:rPr>
          <w:color w:val="00B050"/>
        </w:rPr>
        <w:t xml:space="preserve">Au total entre 2019 et 2050, les investissements </w:t>
      </w:r>
      <w:r w:rsidR="003A194A">
        <w:rPr>
          <w:color w:val="00B050"/>
        </w:rPr>
        <w:t xml:space="preserve">de la SNBC </w:t>
      </w:r>
      <w:r w:rsidRPr="000F5160">
        <w:rPr>
          <w:color w:val="00B050"/>
        </w:rPr>
        <w:t xml:space="preserve">s’élèvent ainsi à environ 3100 milliards d’euros. Ce tableau souligne que des investissements publics et privés conséquents seront nécessaires pour réussir l’atteinte de la neutralité carbone. </w:t>
      </w:r>
      <w:r w:rsidR="003A194A">
        <w:rPr>
          <w:color w:val="00B050"/>
        </w:rPr>
        <w:t xml:space="preserve">Avec l’application littérale de la note technique de mai 2019 du premier paragraphe, on considérait </w:t>
      </w:r>
      <w:r w:rsidR="00587B8A">
        <w:rPr>
          <w:color w:val="00B050"/>
        </w:rPr>
        <w:t xml:space="preserve">dans le scénario AMS </w:t>
      </w:r>
      <w:r w:rsidR="003A194A">
        <w:rPr>
          <w:color w:val="00B050"/>
        </w:rPr>
        <w:t xml:space="preserve">que le Grand Paris Express n’était pas compris dans ces 3100 milliards d’euros, </w:t>
      </w:r>
      <w:r w:rsidR="006078E9">
        <w:rPr>
          <w:color w:val="00B050"/>
        </w:rPr>
        <w:t>et on avait calculé que la</w:t>
      </w:r>
      <w:r w:rsidR="003A194A">
        <w:rPr>
          <w:color w:val="00B050"/>
        </w:rPr>
        <w:t xml:space="preserve"> contribution </w:t>
      </w:r>
      <w:r w:rsidR="006078E9">
        <w:rPr>
          <w:color w:val="00B050"/>
        </w:rPr>
        <w:t xml:space="preserve">de cette infrastructure à la décarbonation de l’économie propre était </w:t>
      </w:r>
      <w:r w:rsidR="003A194A">
        <w:rPr>
          <w:color w:val="00B050"/>
        </w:rPr>
        <w:t>nulle, par un raisonnement discutable ; dans le troisième paragraphe, on a considéré que la décarbonation de l’économie ne serait que tendancielle sans inflexion</w:t>
      </w:r>
      <w:r w:rsidR="002A084C">
        <w:rPr>
          <w:color w:val="00B050"/>
        </w:rPr>
        <w:t xml:space="preserve"> </w:t>
      </w:r>
      <w:r w:rsidR="006078E9">
        <w:rPr>
          <w:color w:val="00B050"/>
        </w:rPr>
        <w:t>significative apportée par</w:t>
      </w:r>
      <w:r w:rsidR="002A084C">
        <w:rPr>
          <w:color w:val="00B050"/>
        </w:rPr>
        <w:t xml:space="preserve"> la SNBC</w:t>
      </w:r>
      <w:r w:rsidR="00587B8A">
        <w:rPr>
          <w:color w:val="00B050"/>
        </w:rPr>
        <w:t>, raisonnement également discutable car la SNBC aura à l’évidence un effet réel sur la décarbonation</w:t>
      </w:r>
      <w:r w:rsidR="003A194A">
        <w:rPr>
          <w:color w:val="00B050"/>
        </w:rPr>
        <w:t xml:space="preserve">. Ces deux hypothèses </w:t>
      </w:r>
      <w:r w:rsidR="00587B8A">
        <w:rPr>
          <w:color w:val="00B050"/>
        </w:rPr>
        <w:t xml:space="preserve">sont </w:t>
      </w:r>
      <w:r w:rsidR="003A194A">
        <w:rPr>
          <w:color w:val="00B050"/>
        </w:rPr>
        <w:t xml:space="preserve">extrêmes ; on va maintenant </w:t>
      </w:r>
      <w:r w:rsidR="002A084C">
        <w:rPr>
          <w:color w:val="00B050"/>
        </w:rPr>
        <w:t xml:space="preserve">chiffrer une hypothèse dans laquelle le Grand Paris Express est partie intégrante d’une SNBC qui atteint </w:t>
      </w:r>
      <w:r w:rsidR="006078E9">
        <w:rPr>
          <w:color w:val="00B050"/>
        </w:rPr>
        <w:t xml:space="preserve">au moins partiellement </w:t>
      </w:r>
      <w:r w:rsidR="002A084C">
        <w:rPr>
          <w:color w:val="00B050"/>
        </w:rPr>
        <w:t xml:space="preserve">ses objectifs de décarbonation et qu’il </w:t>
      </w:r>
      <w:r w:rsidR="003A194A">
        <w:rPr>
          <w:color w:val="00B050"/>
        </w:rPr>
        <w:t>apporte une contribution non négligeable à la réalisation d</w:t>
      </w:r>
      <w:r w:rsidR="002A084C">
        <w:rPr>
          <w:color w:val="00B050"/>
        </w:rPr>
        <w:t>e c</w:t>
      </w:r>
      <w:r w:rsidR="003A194A">
        <w:rPr>
          <w:color w:val="00B050"/>
        </w:rPr>
        <w:t>es objectifs</w:t>
      </w:r>
      <w:r w:rsidR="00587B8A">
        <w:rPr>
          <w:color w:val="00B050"/>
        </w:rPr>
        <w:t xml:space="preserve"> en réduisant les coûts de la SNBC</w:t>
      </w:r>
      <w:r w:rsidR="003A194A">
        <w:rPr>
          <w:color w:val="00B050"/>
        </w:rPr>
        <w:t xml:space="preserve"> </w:t>
      </w:r>
      <w:r w:rsidR="002A084C">
        <w:rPr>
          <w:color w:val="00B050"/>
        </w:rPr>
        <w:t xml:space="preserve">et on va avancer un calcul pour évaluer cette contribution du GPE à la réalisation des objectifs de la SNBC. </w:t>
      </w:r>
    </w:p>
    <w:p w14:paraId="76F5DCF3" w14:textId="77777777" w:rsidR="00587B8A" w:rsidRDefault="00587B8A" w:rsidP="000F5160">
      <w:pPr>
        <w:jc w:val="both"/>
        <w:rPr>
          <w:color w:val="00B050"/>
        </w:rPr>
      </w:pPr>
    </w:p>
    <w:p w14:paraId="20AFB881" w14:textId="7938111F" w:rsidR="000F5160" w:rsidRPr="000F5160" w:rsidRDefault="000F5160" w:rsidP="000F5160">
      <w:pPr>
        <w:jc w:val="both"/>
        <w:rPr>
          <w:color w:val="00B050"/>
          <w:lang w:eastAsia="fr-FR"/>
        </w:rPr>
      </w:pPr>
      <w:r w:rsidRPr="000F5160">
        <w:rPr>
          <w:color w:val="00B050"/>
          <w:lang w:eastAsia="fr-FR"/>
        </w:rPr>
        <w:t>De manière approximative, si l’on considère que les investissements nécessaires à la SNBC sont proportionnels à la population des différentes régions, l’Ile-de-France représenterait des investissements nécessaires de 375</w:t>
      </w:r>
      <w:r w:rsidRPr="000F5160">
        <w:rPr>
          <w:bCs/>
          <w:color w:val="00B050"/>
          <w:lang w:eastAsia="fr-FR"/>
        </w:rPr>
        <w:t xml:space="preserve"> </w:t>
      </w:r>
      <w:r w:rsidRPr="000F5160">
        <w:rPr>
          <w:color w:val="00B050"/>
          <w:lang w:eastAsia="fr-FR"/>
        </w:rPr>
        <w:t xml:space="preserve">milliards d’euros entre 2019 et 2050 dans le seul secteur des transports, si on se réfère aux études effectuées par </w:t>
      </w:r>
      <w:r w:rsidRPr="000F5160">
        <w:rPr>
          <w:color w:val="00B050"/>
        </w:rPr>
        <w:t>l’Institut de l’Economie pour le Climat (I4CE) (</w:t>
      </w:r>
      <w:r w:rsidR="007B6303">
        <w:rPr>
          <w:color w:val="00B050"/>
        </w:rPr>
        <w:t xml:space="preserve">en utilisant le pourcentage de la population de la région Île de France dans la population du pays et en appliquant ce pourcentage à la </w:t>
      </w:r>
      <w:r w:rsidRPr="000F5160">
        <w:rPr>
          <w:color w:val="00B050"/>
        </w:rPr>
        <w:t xml:space="preserve">somme des investissements dans le secteur des transports 2019-2050 </w:t>
      </w:r>
      <w:r w:rsidR="007B6303">
        <w:rPr>
          <w:color w:val="00B050"/>
        </w:rPr>
        <w:t>pour la France</w:t>
      </w:r>
      <w:r w:rsidRPr="000F5160">
        <w:rPr>
          <w:color w:val="00B050"/>
        </w:rPr>
        <w:t>).</w:t>
      </w:r>
      <w:r w:rsidR="007B6303">
        <w:rPr>
          <w:color w:val="00B050"/>
        </w:rPr>
        <w:t xml:space="preserve"> </w:t>
      </w:r>
      <w:r w:rsidR="002A084C" w:rsidRPr="002A084C">
        <w:rPr>
          <w:b/>
          <w:bCs/>
          <w:color w:val="00B050"/>
        </w:rPr>
        <w:t>Le GPE permet d’alléger le poids des investissements nécessaires à la SNBC d’</w:t>
      </w:r>
      <w:r w:rsidR="002A084C" w:rsidRPr="002A084C">
        <w:rPr>
          <w:b/>
          <w:bCs/>
          <w:color w:val="00B050"/>
          <w:lang w:eastAsia="fr-FR"/>
        </w:rPr>
        <w:t xml:space="preserve">environ </w:t>
      </w:r>
      <w:r w:rsidR="002A084C" w:rsidRPr="002A084C">
        <w:rPr>
          <w:b/>
          <w:bCs/>
          <w:color w:val="00B050"/>
        </w:rPr>
        <w:t xml:space="preserve">14,7 </w:t>
      </w:r>
      <w:r w:rsidR="002A084C" w:rsidRPr="002A084C">
        <w:rPr>
          <w:b/>
          <w:bCs/>
          <w:color w:val="00B050"/>
          <w:lang w:eastAsia="fr-FR"/>
        </w:rPr>
        <w:t xml:space="preserve">milliards d’euros (375 milliards x 3,92%) grâce à la flexibilité modale qu’il </w:t>
      </w:r>
      <w:r w:rsidR="002A084C">
        <w:rPr>
          <w:b/>
          <w:bCs/>
          <w:color w:val="00B050"/>
          <w:lang w:eastAsia="fr-FR"/>
        </w:rPr>
        <w:t>favorise</w:t>
      </w:r>
      <w:r w:rsidR="002A084C" w:rsidRPr="002A084C">
        <w:rPr>
          <w:b/>
          <w:bCs/>
          <w:color w:val="00B050"/>
          <w:lang w:eastAsia="fr-FR"/>
        </w:rPr>
        <w:t xml:space="preserve"> comme on l’a vu plus haut.</w:t>
      </w:r>
      <w:r w:rsidR="002A084C">
        <w:rPr>
          <w:color w:val="00B050"/>
          <w:lang w:eastAsia="fr-FR"/>
        </w:rPr>
        <w:t xml:space="preserve"> </w:t>
      </w:r>
    </w:p>
    <w:p w14:paraId="1045F639" w14:textId="77777777" w:rsidR="000F5160" w:rsidRPr="000F5160" w:rsidRDefault="000F5160" w:rsidP="000F5160">
      <w:pPr>
        <w:jc w:val="both"/>
        <w:rPr>
          <w:color w:val="00B050"/>
          <w:lang w:eastAsia="fr-FR"/>
        </w:rPr>
      </w:pPr>
    </w:p>
    <w:p w14:paraId="67039583" w14:textId="130D6D90" w:rsidR="000F5160" w:rsidRPr="000F5160" w:rsidRDefault="002A084C" w:rsidP="000F5160">
      <w:pPr>
        <w:jc w:val="both"/>
        <w:rPr>
          <w:color w:val="00B050"/>
        </w:rPr>
      </w:pPr>
      <w:r>
        <w:rPr>
          <w:color w:val="00B050"/>
        </w:rPr>
        <w:t xml:space="preserve">Un autre apport du GPE est qu’il </w:t>
      </w:r>
      <w:r w:rsidR="000F5160" w:rsidRPr="000F5160">
        <w:rPr>
          <w:color w:val="00B050"/>
        </w:rPr>
        <w:t>augmentera également l’acceptabilité des mesures visant à densifier davantage la ville et réduira donc les investissements liés aux bâtiments (bâti plus compact, nécessitant moins de matériaux pour sa construction ou sa rénovation et plus efficace au niveau énergétique). Il est par contre plus complexe de quantifier l’implication du GPE dans les coûts d’investissements évalués dans la SNBC.</w:t>
      </w:r>
      <w:r w:rsidR="007B6303">
        <w:rPr>
          <w:color w:val="00B050"/>
        </w:rPr>
        <w:t xml:space="preserve"> </w:t>
      </w:r>
      <w:r w:rsidR="00132ECF">
        <w:rPr>
          <w:color w:val="00B050"/>
        </w:rPr>
        <w:t>Ces bénéfices représentent certainement</w:t>
      </w:r>
      <w:r w:rsidR="007B6303">
        <w:rPr>
          <w:color w:val="00B050"/>
        </w:rPr>
        <w:t xml:space="preserve"> une somme non négligeable mais on ne dispose pas malheureusement des bases méthodologiques et statistiques pour avancer un chiffre </w:t>
      </w:r>
      <w:r w:rsidR="00132ECF">
        <w:rPr>
          <w:color w:val="00B050"/>
        </w:rPr>
        <w:t>même approximatif</w:t>
      </w:r>
      <w:r w:rsidR="007B6303">
        <w:rPr>
          <w:color w:val="00B050"/>
        </w:rPr>
        <w:t xml:space="preserve">. </w:t>
      </w:r>
    </w:p>
    <w:p w14:paraId="74791E78" w14:textId="77777777" w:rsidR="000F5160" w:rsidRPr="000F5160" w:rsidRDefault="000F5160" w:rsidP="000F5160">
      <w:pPr>
        <w:jc w:val="both"/>
        <w:rPr>
          <w:color w:val="00B050"/>
          <w:lang w:eastAsia="fr-FR"/>
        </w:rPr>
      </w:pPr>
    </w:p>
    <w:p w14:paraId="6592DA4D" w14:textId="3A4EE1A0" w:rsidR="000F5160" w:rsidRPr="000F5160" w:rsidRDefault="000F5160" w:rsidP="000F5160">
      <w:pPr>
        <w:jc w:val="both"/>
        <w:rPr>
          <w:b/>
          <w:bCs/>
          <w:color w:val="00B050"/>
          <w:lang w:eastAsia="fr-FR"/>
        </w:rPr>
      </w:pPr>
      <w:r w:rsidRPr="000F5160">
        <w:rPr>
          <w:b/>
          <w:bCs/>
          <w:color w:val="00B050"/>
          <w:lang w:eastAsia="fr-FR"/>
        </w:rPr>
        <w:t xml:space="preserve">Cette méthode </w:t>
      </w:r>
      <w:r w:rsidR="006078E9">
        <w:rPr>
          <w:b/>
          <w:bCs/>
          <w:color w:val="00B050"/>
          <w:lang w:eastAsia="fr-FR"/>
        </w:rPr>
        <w:t xml:space="preserve">de calcul de la valeur ajoutée du GPE au bilan carbone par la « flexibilité modale » </w:t>
      </w:r>
      <w:r w:rsidRPr="000F5160">
        <w:rPr>
          <w:b/>
          <w:bCs/>
          <w:color w:val="00B050"/>
          <w:lang w:eastAsia="fr-FR"/>
        </w:rPr>
        <w:t xml:space="preserve">a été considéré comme « intéressante » dans le rapport de contrexpertise du SGPI </w:t>
      </w:r>
      <w:r w:rsidR="006078E9">
        <w:rPr>
          <w:b/>
          <w:bCs/>
          <w:color w:val="00B050"/>
          <w:lang w:eastAsia="fr-FR"/>
        </w:rPr>
        <w:t xml:space="preserve">de janvier 2021 </w:t>
      </w:r>
      <w:r w:rsidRPr="000F5160">
        <w:rPr>
          <w:b/>
          <w:bCs/>
          <w:color w:val="00B050"/>
          <w:lang w:eastAsia="fr-FR"/>
        </w:rPr>
        <w:t xml:space="preserve">pour pallier l’absence de précisions de la SNBC sur le rendement social des différentes mesures permettant d’atteindre </w:t>
      </w:r>
      <w:r w:rsidR="007B6303">
        <w:rPr>
          <w:b/>
          <w:bCs/>
          <w:color w:val="00B050"/>
          <w:lang w:eastAsia="fr-FR"/>
        </w:rPr>
        <w:t>l</w:t>
      </w:r>
      <w:r w:rsidRPr="000F5160">
        <w:rPr>
          <w:b/>
          <w:bCs/>
          <w:color w:val="00B050"/>
          <w:lang w:eastAsia="fr-FR"/>
        </w:rPr>
        <w:t>es objectifs</w:t>
      </w:r>
      <w:r w:rsidR="007B6303">
        <w:rPr>
          <w:b/>
          <w:bCs/>
          <w:color w:val="00B050"/>
          <w:lang w:eastAsia="fr-FR"/>
        </w:rPr>
        <w:t xml:space="preserve"> de la SNBC</w:t>
      </w:r>
      <w:r w:rsidRPr="000F5160">
        <w:rPr>
          <w:b/>
          <w:bCs/>
          <w:color w:val="00B050"/>
          <w:lang w:eastAsia="fr-FR"/>
        </w:rPr>
        <w:t>.</w:t>
      </w:r>
    </w:p>
    <w:p w14:paraId="4DCDADCA" w14:textId="77777777" w:rsidR="000F5160" w:rsidRPr="000F5160" w:rsidRDefault="000F5160" w:rsidP="000F5160">
      <w:pPr>
        <w:jc w:val="both"/>
        <w:rPr>
          <w:color w:val="00B050"/>
          <w:lang w:eastAsia="fr-FR"/>
        </w:rPr>
      </w:pPr>
    </w:p>
    <w:p w14:paraId="3D678BB7" w14:textId="5770BCC4" w:rsidR="002A084C" w:rsidRDefault="000F5160" w:rsidP="000F5160">
      <w:pPr>
        <w:jc w:val="both"/>
        <w:rPr>
          <w:color w:val="00B050"/>
          <w:lang w:eastAsia="fr-FR"/>
        </w:rPr>
      </w:pPr>
      <w:r w:rsidRPr="000F5160">
        <w:rPr>
          <w:color w:val="00B050"/>
          <w:lang w:eastAsia="fr-FR"/>
        </w:rPr>
        <w:t xml:space="preserve">Il est </w:t>
      </w:r>
      <w:r w:rsidR="00132ECF">
        <w:rPr>
          <w:color w:val="00B050"/>
          <w:lang w:eastAsia="fr-FR"/>
        </w:rPr>
        <w:t>intéressant</w:t>
      </w:r>
      <w:r w:rsidRPr="000F5160">
        <w:rPr>
          <w:color w:val="00B050"/>
          <w:lang w:eastAsia="fr-FR"/>
        </w:rPr>
        <w:t xml:space="preserve"> enfin d’effectuer un calcul de la </w:t>
      </w:r>
      <w:r w:rsidRPr="002A084C">
        <w:rPr>
          <w:b/>
          <w:bCs/>
          <w:color w:val="00B050"/>
          <w:lang w:eastAsia="fr-FR"/>
        </w:rPr>
        <w:t>contrevaleur en carbone de cette somme de 14,7 milliards d’euros</w:t>
      </w:r>
      <w:r w:rsidRPr="000F5160">
        <w:rPr>
          <w:color w:val="00B050"/>
          <w:lang w:eastAsia="fr-FR"/>
        </w:rPr>
        <w:t xml:space="preserve">, en s’appuyant sur le calendrier des investissements nécessaires à la réalisation de la SNBC et sur les valeurs du carbone moyennes pour chacune de ces périodes, </w:t>
      </w:r>
      <w:r w:rsidR="00132ECF">
        <w:rPr>
          <w:color w:val="00B050"/>
          <w:lang w:eastAsia="fr-FR"/>
        </w:rPr>
        <w:t>avec</w:t>
      </w:r>
      <w:r w:rsidRPr="000F5160">
        <w:rPr>
          <w:color w:val="00B050"/>
          <w:lang w:eastAsia="fr-FR"/>
        </w:rPr>
        <w:t xml:space="preserve"> l’hypothèse que les investissements de la SNBC sont optimaux. Le montant des économies de carbone réalisées selon ce calcul serait de 40 millions de </w:t>
      </w:r>
      <w:bookmarkStart w:id="129" w:name="_Hlk63935330"/>
      <w:r w:rsidRPr="000F5160">
        <w:rPr>
          <w:color w:val="00B050"/>
          <w:lang w:eastAsia="fr-FR"/>
        </w:rPr>
        <w:t>téqCO2</w:t>
      </w:r>
      <w:bookmarkEnd w:id="129"/>
      <w:r w:rsidRPr="000F5160">
        <w:rPr>
          <w:color w:val="00B050"/>
          <w:lang w:eastAsia="fr-FR"/>
        </w:rPr>
        <w:t xml:space="preserve">, ce qui est un montant très significatif, qui s’inscrit dans la partie haute de la fourchette calculée </w:t>
      </w:r>
      <w:r w:rsidR="00132ECF">
        <w:rPr>
          <w:color w:val="00B050"/>
          <w:lang w:eastAsia="fr-FR"/>
        </w:rPr>
        <w:t>dans le scénario AME</w:t>
      </w:r>
      <w:r w:rsidRPr="000F5160">
        <w:rPr>
          <w:color w:val="00B050"/>
          <w:lang w:eastAsia="fr-FR"/>
        </w:rPr>
        <w:t>.</w:t>
      </w:r>
      <w:r w:rsidR="00F55E40">
        <w:rPr>
          <w:color w:val="00B050"/>
          <w:lang w:eastAsia="fr-FR"/>
        </w:rPr>
        <w:t xml:space="preserve"> Ce </w:t>
      </w:r>
      <w:r w:rsidR="00132ECF">
        <w:rPr>
          <w:color w:val="00B050"/>
          <w:lang w:eastAsia="fr-FR"/>
        </w:rPr>
        <w:t xml:space="preserve">calcul </w:t>
      </w:r>
      <w:r w:rsidR="00F55E40">
        <w:rPr>
          <w:color w:val="00B050"/>
          <w:lang w:eastAsia="fr-FR"/>
        </w:rPr>
        <w:t xml:space="preserve">accrédite une contribution significative du Grand Paris Express au bon accomplissement des objectifs de la SNBC et notamment une évaluation </w:t>
      </w:r>
      <w:r w:rsidR="00D859E4">
        <w:rPr>
          <w:color w:val="00B050"/>
          <w:lang w:eastAsia="fr-FR"/>
        </w:rPr>
        <w:t>du bilan</w:t>
      </w:r>
      <w:r w:rsidR="006078E9">
        <w:rPr>
          <w:color w:val="00B050"/>
          <w:lang w:eastAsia="fr-FR"/>
        </w:rPr>
        <w:t xml:space="preserve"> carbone </w:t>
      </w:r>
      <w:r w:rsidR="00D859E4">
        <w:rPr>
          <w:color w:val="00B050"/>
          <w:lang w:eastAsia="fr-FR"/>
        </w:rPr>
        <w:t xml:space="preserve">du GPE </w:t>
      </w:r>
      <w:r w:rsidR="00F55E40">
        <w:rPr>
          <w:color w:val="00B050"/>
          <w:lang w:eastAsia="fr-FR"/>
        </w:rPr>
        <w:t xml:space="preserve">qui se situe </w:t>
      </w:r>
      <w:r w:rsidR="006078E9">
        <w:rPr>
          <w:color w:val="00B050"/>
          <w:lang w:eastAsia="fr-FR"/>
        </w:rPr>
        <w:t>au minimum à</w:t>
      </w:r>
      <w:r w:rsidRPr="00F55E40">
        <w:rPr>
          <w:color w:val="00B050"/>
          <w:lang w:eastAsia="fr-FR"/>
        </w:rPr>
        <w:t xml:space="preserve"> </w:t>
      </w:r>
      <w:r w:rsidR="00F55E40" w:rsidRPr="00F55E40">
        <w:rPr>
          <w:color w:val="00B050"/>
          <w:lang w:eastAsia="fr-FR"/>
        </w:rPr>
        <w:t>20</w:t>
      </w:r>
      <w:r w:rsidRPr="00F55E40">
        <w:rPr>
          <w:color w:val="00B050"/>
          <w:lang w:eastAsia="fr-FR"/>
        </w:rPr>
        <w:t xml:space="preserve"> millions de téqCO2</w:t>
      </w:r>
      <w:r w:rsidR="00132ECF">
        <w:rPr>
          <w:color w:val="00B050"/>
          <w:lang w:eastAsia="fr-FR"/>
        </w:rPr>
        <w:t xml:space="preserve">, en appliquant la « règle du pouce » au chiffre </w:t>
      </w:r>
      <w:r w:rsidR="006078E9">
        <w:rPr>
          <w:color w:val="00B050"/>
          <w:lang w:eastAsia="fr-FR"/>
        </w:rPr>
        <w:t xml:space="preserve">estimatif </w:t>
      </w:r>
      <w:r w:rsidR="00132ECF">
        <w:rPr>
          <w:color w:val="00B050"/>
          <w:lang w:eastAsia="fr-FR"/>
        </w:rPr>
        <w:t xml:space="preserve">de 40 milliards. </w:t>
      </w:r>
    </w:p>
    <w:p w14:paraId="4C88D4CF" w14:textId="77777777" w:rsidR="002A084C" w:rsidRDefault="002A084C" w:rsidP="000F5160">
      <w:pPr>
        <w:jc w:val="both"/>
        <w:rPr>
          <w:color w:val="00B050"/>
          <w:lang w:eastAsia="fr-FR"/>
        </w:rPr>
      </w:pPr>
    </w:p>
    <w:p w14:paraId="6690F4D9" w14:textId="01D38266" w:rsidR="000F5160" w:rsidRDefault="002A084C" w:rsidP="000F5160">
      <w:pPr>
        <w:jc w:val="both"/>
        <w:rPr>
          <w:b/>
          <w:bCs/>
          <w:color w:val="00B050"/>
          <w:lang w:eastAsia="fr-FR"/>
        </w:rPr>
      </w:pPr>
      <w:r>
        <w:rPr>
          <w:b/>
          <w:bCs/>
          <w:color w:val="00B050"/>
          <w:lang w:eastAsia="fr-FR"/>
        </w:rPr>
        <w:lastRenderedPageBreak/>
        <w:t>Le</w:t>
      </w:r>
      <w:r w:rsidR="00132ECF" w:rsidRPr="00C71DA4">
        <w:rPr>
          <w:b/>
          <w:bCs/>
          <w:color w:val="00B050"/>
          <w:lang w:eastAsia="fr-FR"/>
        </w:rPr>
        <w:t xml:space="preserve"> chiffre d’économies </w:t>
      </w:r>
      <w:r w:rsidR="00C71DA4" w:rsidRPr="00C71DA4">
        <w:rPr>
          <w:b/>
          <w:bCs/>
          <w:color w:val="00B050"/>
          <w:lang w:eastAsia="fr-FR"/>
        </w:rPr>
        <w:t xml:space="preserve">de gaz à effet de serre </w:t>
      </w:r>
      <w:r w:rsidR="00132ECF" w:rsidRPr="00C71DA4">
        <w:rPr>
          <w:b/>
          <w:bCs/>
          <w:color w:val="00B050"/>
          <w:lang w:eastAsia="fr-FR"/>
        </w:rPr>
        <w:t xml:space="preserve">de 20 millions de téqCO2 </w:t>
      </w:r>
      <w:r w:rsidR="00D859E4">
        <w:rPr>
          <w:b/>
          <w:bCs/>
          <w:color w:val="00B050"/>
          <w:lang w:eastAsia="fr-FR"/>
        </w:rPr>
        <w:t xml:space="preserve">minimum </w:t>
      </w:r>
      <w:r w:rsidR="00132ECF" w:rsidRPr="00C71DA4">
        <w:rPr>
          <w:b/>
          <w:bCs/>
          <w:color w:val="00B050"/>
          <w:lang w:eastAsia="fr-FR"/>
        </w:rPr>
        <w:t>est une</w:t>
      </w:r>
      <w:r w:rsidR="000F5160" w:rsidRPr="00C71DA4">
        <w:rPr>
          <w:b/>
          <w:bCs/>
          <w:color w:val="00B050"/>
          <w:lang w:eastAsia="fr-FR"/>
        </w:rPr>
        <w:t xml:space="preserve"> </w:t>
      </w:r>
      <w:r w:rsidR="00F55E40" w:rsidRPr="00C71DA4">
        <w:rPr>
          <w:b/>
          <w:bCs/>
          <w:color w:val="00B050"/>
          <w:lang w:eastAsia="fr-FR"/>
        </w:rPr>
        <w:t xml:space="preserve">donnée intermédiaire entre les scénarios </w:t>
      </w:r>
      <w:r w:rsidR="00C71DA4" w:rsidRPr="00C71DA4">
        <w:rPr>
          <w:b/>
          <w:bCs/>
          <w:color w:val="00B050"/>
          <w:lang w:eastAsia="fr-FR"/>
        </w:rPr>
        <w:t xml:space="preserve">AMS et AME </w:t>
      </w:r>
      <w:r w:rsidR="00F55E40" w:rsidRPr="00C71DA4">
        <w:rPr>
          <w:b/>
          <w:bCs/>
          <w:color w:val="00B050"/>
          <w:lang w:eastAsia="fr-FR"/>
        </w:rPr>
        <w:t>étudiés plus haut</w:t>
      </w:r>
      <w:r w:rsidR="00C71DA4" w:rsidRPr="00C71DA4">
        <w:rPr>
          <w:b/>
          <w:bCs/>
          <w:color w:val="00B050"/>
          <w:lang w:eastAsia="fr-FR"/>
        </w:rPr>
        <w:t xml:space="preserve"> et </w:t>
      </w:r>
      <w:r w:rsidR="000F5160" w:rsidRPr="00C71DA4">
        <w:rPr>
          <w:b/>
          <w:bCs/>
          <w:color w:val="00B050"/>
          <w:lang w:eastAsia="fr-FR"/>
        </w:rPr>
        <w:t xml:space="preserve">pourrait donc servir de référence. Il est clair que le choix </w:t>
      </w:r>
      <w:r w:rsidR="00D859E4">
        <w:rPr>
          <w:b/>
          <w:bCs/>
          <w:color w:val="00B050"/>
          <w:lang w:eastAsia="fr-FR"/>
        </w:rPr>
        <w:t xml:space="preserve">de la SGP </w:t>
      </w:r>
      <w:r w:rsidR="000F5160" w:rsidRPr="00C71DA4">
        <w:rPr>
          <w:b/>
          <w:bCs/>
          <w:color w:val="00B050"/>
          <w:lang w:eastAsia="fr-FR"/>
        </w:rPr>
        <w:t xml:space="preserve">de s’en tenir </w:t>
      </w:r>
      <w:r w:rsidR="00D859E4">
        <w:rPr>
          <w:b/>
          <w:bCs/>
          <w:color w:val="00B050"/>
          <w:lang w:eastAsia="fr-FR"/>
        </w:rPr>
        <w:t xml:space="preserve">dans la présente évaluation </w:t>
      </w:r>
      <w:r w:rsidR="000F5160" w:rsidRPr="00C71DA4">
        <w:rPr>
          <w:b/>
          <w:bCs/>
          <w:color w:val="00B050"/>
          <w:lang w:eastAsia="fr-FR"/>
        </w:rPr>
        <w:t xml:space="preserve">à une application littérale </w:t>
      </w:r>
      <w:r w:rsidR="00D859E4">
        <w:rPr>
          <w:b/>
          <w:bCs/>
          <w:color w:val="00B050"/>
          <w:lang w:eastAsia="fr-FR"/>
        </w:rPr>
        <w:t>du</w:t>
      </w:r>
      <w:r>
        <w:rPr>
          <w:b/>
          <w:bCs/>
          <w:color w:val="00B050"/>
          <w:lang w:eastAsia="fr-FR"/>
        </w:rPr>
        <w:t xml:space="preserve"> scénario AMS</w:t>
      </w:r>
      <w:r w:rsidR="000F5160" w:rsidRPr="00C71DA4">
        <w:rPr>
          <w:b/>
          <w:bCs/>
          <w:color w:val="00B050"/>
          <w:lang w:eastAsia="fr-FR"/>
        </w:rPr>
        <w:t xml:space="preserve"> </w:t>
      </w:r>
      <w:r w:rsidR="00D859E4">
        <w:rPr>
          <w:b/>
          <w:bCs/>
          <w:color w:val="00B050"/>
          <w:lang w:eastAsia="fr-FR"/>
        </w:rPr>
        <w:t xml:space="preserve">dans </w:t>
      </w:r>
      <w:r w:rsidR="00D859E4" w:rsidRPr="00C71DA4">
        <w:rPr>
          <w:b/>
          <w:bCs/>
          <w:color w:val="00B050"/>
          <w:lang w:eastAsia="fr-FR"/>
        </w:rPr>
        <w:t>la manière de prendre en compte la SNBC</w:t>
      </w:r>
      <w:r w:rsidR="00D859E4">
        <w:rPr>
          <w:b/>
          <w:bCs/>
          <w:color w:val="00B050"/>
          <w:lang w:eastAsia="fr-FR"/>
        </w:rPr>
        <w:t xml:space="preserve"> </w:t>
      </w:r>
      <w:r w:rsidR="000F5160" w:rsidRPr="00C71DA4">
        <w:rPr>
          <w:b/>
          <w:bCs/>
          <w:color w:val="00B050"/>
          <w:lang w:eastAsia="fr-FR"/>
        </w:rPr>
        <w:t xml:space="preserve">sous-estime </w:t>
      </w:r>
      <w:r w:rsidR="00F55E40" w:rsidRPr="00C71DA4">
        <w:rPr>
          <w:b/>
          <w:bCs/>
          <w:color w:val="00B050"/>
          <w:lang w:eastAsia="fr-FR"/>
        </w:rPr>
        <w:t xml:space="preserve">considérablement </w:t>
      </w:r>
      <w:r w:rsidR="000F5160" w:rsidRPr="00C71DA4">
        <w:rPr>
          <w:b/>
          <w:bCs/>
          <w:color w:val="00B050"/>
          <w:lang w:eastAsia="fr-FR"/>
        </w:rPr>
        <w:t>le bilan carbone du GPE et la VAN du projet.</w:t>
      </w:r>
    </w:p>
    <w:p w14:paraId="35BCD68F" w14:textId="287FF29C" w:rsidR="004F5CC8" w:rsidRDefault="004F5CC8" w:rsidP="000F5160">
      <w:pPr>
        <w:jc w:val="both"/>
        <w:rPr>
          <w:b/>
          <w:bCs/>
          <w:color w:val="00B050"/>
          <w:lang w:eastAsia="fr-FR"/>
        </w:rPr>
      </w:pPr>
    </w:p>
    <w:p w14:paraId="4F8B0929" w14:textId="767310F5" w:rsidR="004F5CC8" w:rsidRDefault="00C531F6" w:rsidP="000F5160">
      <w:pPr>
        <w:jc w:val="both"/>
        <w:rPr>
          <w:b/>
          <w:bCs/>
          <w:color w:val="00B050"/>
          <w:lang w:eastAsia="fr-FR"/>
        </w:rPr>
      </w:pPr>
      <w:r>
        <w:rPr>
          <w:b/>
          <w:bCs/>
          <w:color w:val="00B050"/>
          <w:lang w:eastAsia="fr-FR"/>
        </w:rPr>
        <w:t>Les recommandations des contre expertises diligentées à l’initiative du SGPI ont ainsi été retenues d’une manière jugée satisfaisante par le rapport de contre-expertise d’avril 2021 établi sur le dossier présenté pour la DM2 de la ligne 18. Ce rapport a posé par ailleurs un cadre méthodologique (voir le cadre ci-dessous) qui sera mis en œuvre dans les prochaines évaluations du GPE présentées par la Société du Grand Paris.</w:t>
      </w:r>
    </w:p>
    <w:p w14:paraId="237B8D2E" w14:textId="55E3D768" w:rsidR="00C531F6" w:rsidRDefault="00C531F6" w:rsidP="000F5160">
      <w:pPr>
        <w:jc w:val="both"/>
        <w:rPr>
          <w:b/>
          <w:bCs/>
          <w:color w:val="00B050"/>
          <w:lang w:eastAsia="fr-FR"/>
        </w:rPr>
      </w:pPr>
    </w:p>
    <w:tbl>
      <w:tblPr>
        <w:tblStyle w:val="Grilledutableau"/>
        <w:tblW w:w="0" w:type="auto"/>
        <w:tblLook w:val="04A0" w:firstRow="1" w:lastRow="0" w:firstColumn="1" w:lastColumn="0" w:noHBand="0" w:noVBand="1"/>
      </w:tblPr>
      <w:tblGrid>
        <w:gridCol w:w="10127"/>
      </w:tblGrid>
      <w:tr w:rsidR="00C531F6" w14:paraId="21B9046E" w14:textId="77777777" w:rsidTr="00C531F6">
        <w:tc>
          <w:tcPr>
            <w:tcW w:w="10127" w:type="dxa"/>
          </w:tcPr>
          <w:p w14:paraId="72FEC958" w14:textId="4E3D07D1" w:rsidR="00C531F6" w:rsidRDefault="00C531F6" w:rsidP="000F5160">
            <w:pPr>
              <w:jc w:val="both"/>
              <w:rPr>
                <w:b/>
                <w:bCs/>
                <w:color w:val="00B050"/>
                <w:lang w:eastAsia="fr-FR"/>
              </w:rPr>
            </w:pPr>
            <w:r w:rsidRPr="0021598D">
              <w:rPr>
                <w:b/>
                <w:bCs/>
                <w:color w:val="00B050"/>
                <w:lang w:eastAsia="fr-FR"/>
              </w:rPr>
              <w:t>Extrait du rapport de contre-expertise d’avril 2021 sur le projet de dossier de demande d’enquête publique modificative n°2 de la L18</w:t>
            </w:r>
          </w:p>
          <w:p w14:paraId="1661C54E" w14:textId="77777777" w:rsidR="0021598D" w:rsidRPr="0021598D" w:rsidRDefault="0021598D" w:rsidP="000F5160">
            <w:pPr>
              <w:jc w:val="both"/>
              <w:rPr>
                <w:b/>
                <w:bCs/>
                <w:color w:val="00B050"/>
                <w:lang w:eastAsia="fr-FR"/>
              </w:rPr>
            </w:pPr>
          </w:p>
          <w:p w14:paraId="00EEE910" w14:textId="77777777" w:rsidR="0021598D" w:rsidRPr="0021598D" w:rsidRDefault="0021598D" w:rsidP="0021598D">
            <w:pPr>
              <w:pStyle w:val="Textenormal"/>
              <w:spacing w:before="0" w:after="0"/>
              <w:rPr>
                <w:color w:val="00B050"/>
              </w:rPr>
            </w:pPr>
            <w:r w:rsidRPr="0021598D">
              <w:rPr>
                <w:color w:val="00B050"/>
              </w:rPr>
              <w:t>La contre-expertise des lignes 15E&amp;O a déjà abordé la question de la valorisation des effets « carbone » d’un projet du type GPE sous l’angle de</w:t>
            </w:r>
            <w:r w:rsidRPr="0021598D" w:rsidDel="109E1EE8">
              <w:rPr>
                <w:color w:val="00B050"/>
              </w:rPr>
              <w:t xml:space="preserve"> </w:t>
            </w:r>
            <w:r w:rsidRPr="0021598D">
              <w:rPr>
                <w:color w:val="00B050"/>
              </w:rPr>
              <w:t>la nouvelle obligation de prendre comme situation de référence</w:t>
            </w:r>
            <w:r w:rsidRPr="0021598D" w:rsidDel="109E1EE8">
              <w:rPr>
                <w:color w:val="00B050"/>
              </w:rPr>
              <w:t xml:space="preserve"> </w:t>
            </w:r>
            <w:r w:rsidRPr="0021598D">
              <w:rPr>
                <w:color w:val="00B050"/>
              </w:rPr>
              <w:t xml:space="preserve">la Stratégie Nationale Bas Carbone (SNBC). Comme c'était le cas dans le dossier des lignes 15E&amp;0, le porteur de projet retient comme évaluation des bénéfices carbone du GPE quand la situation de référence est la SNBC les émissions effectives dues à la construction et à l’exploitation de l’infrastructure diminuées des émissions évitées grâce à la baisse de la circulation routière (report modal) et la réduction de l'étalement urbain permises par l’'infrastructure (densification), valorisées à la Valeur de l’Action pour le Climat. </w:t>
            </w:r>
          </w:p>
          <w:p w14:paraId="686FC747" w14:textId="4BB796F4" w:rsidR="0021598D" w:rsidRPr="0021598D" w:rsidRDefault="0021598D" w:rsidP="0021598D">
            <w:pPr>
              <w:pStyle w:val="Textenormal"/>
              <w:spacing w:before="0" w:after="0"/>
              <w:rPr>
                <w:color w:val="00B050"/>
              </w:rPr>
            </w:pPr>
            <w:r w:rsidRPr="0021598D">
              <w:rPr>
                <w:color w:val="00B050"/>
              </w:rPr>
              <w:t>Le total donne des bénéfices carbone légèrement positifs. Confronté au caractère contradictoire de ce résultat, la réalisation d’infrastructures de transport en commun du type GPE semblant très favorable pour la décarbonation du secteur des transports, le porteur de projet propose dans le dossier des lignes 15E&amp;O</w:t>
            </w:r>
            <w:r w:rsidR="00E70942">
              <w:rPr>
                <w:color w:val="00B050"/>
              </w:rPr>
              <w:t xml:space="preserve"> (</w:t>
            </w:r>
            <w:r w:rsidR="00E70942" w:rsidRPr="00E70942">
              <w:rPr>
                <w:i/>
                <w:iCs/>
                <w:color w:val="00B050"/>
              </w:rPr>
              <w:t>note de la SGP</w:t>
            </w:r>
            <w:r w:rsidR="00E70942">
              <w:rPr>
                <w:i/>
                <w:iCs/>
                <w:color w:val="00B050"/>
              </w:rPr>
              <w:t xml:space="preserve"> ; </w:t>
            </w:r>
            <w:r w:rsidR="00E70942" w:rsidRPr="00E70942">
              <w:rPr>
                <w:i/>
                <w:iCs/>
                <w:color w:val="00B050"/>
              </w:rPr>
              <w:t>ainsi que dans le présent dossier définitif de la DM2 de la ligne 18</w:t>
            </w:r>
            <w:r w:rsidR="00E70942">
              <w:rPr>
                <w:color w:val="00B050"/>
              </w:rPr>
              <w:t xml:space="preserve">) </w:t>
            </w:r>
            <w:r w:rsidR="00E70942" w:rsidRPr="0021598D">
              <w:rPr>
                <w:color w:val="00B050"/>
              </w:rPr>
              <w:t>une</w:t>
            </w:r>
            <w:r w:rsidRPr="0021598D">
              <w:rPr>
                <w:color w:val="00B050"/>
              </w:rPr>
              <w:t xml:space="preserve"> méthode originale que les contre-experts ont examinée. Ils ont reconnu l’intérêt de chercher à avancer sur le plan méthodologique et ont fait les recommandations suivantes : </w:t>
            </w:r>
          </w:p>
          <w:p w14:paraId="0E5E6E3D" w14:textId="77777777" w:rsidR="0021598D" w:rsidRPr="0021598D" w:rsidRDefault="0021598D" w:rsidP="0021598D">
            <w:pPr>
              <w:pStyle w:val="Textenormal"/>
              <w:numPr>
                <w:ilvl w:val="0"/>
                <w:numId w:val="42"/>
              </w:numPr>
              <w:spacing w:before="0" w:after="0"/>
              <w:rPr>
                <w:rFonts w:eastAsiaTheme="minorEastAsia"/>
                <w:color w:val="00B050"/>
              </w:rPr>
            </w:pPr>
            <w:r w:rsidRPr="0021598D">
              <w:rPr>
                <w:color w:val="00B050"/>
              </w:rPr>
              <w:t>expliciter les hypothèses et méthodes de calcul adoptées par la SGP pour calculer les réductions d’émission de CO</w:t>
            </w:r>
            <w:r w:rsidRPr="0021598D">
              <w:rPr>
                <w:color w:val="00B050"/>
                <w:vertAlign w:val="subscript"/>
              </w:rPr>
              <w:t>2 </w:t>
            </w:r>
            <w:r w:rsidRPr="0021598D">
              <w:rPr>
                <w:color w:val="00B050"/>
              </w:rPr>
              <w:t>;</w:t>
            </w:r>
          </w:p>
          <w:p w14:paraId="71454551" w14:textId="0EE550EE" w:rsidR="0021598D" w:rsidRPr="0021598D" w:rsidRDefault="0021598D" w:rsidP="0021598D">
            <w:pPr>
              <w:pStyle w:val="Textenormal"/>
              <w:numPr>
                <w:ilvl w:val="0"/>
                <w:numId w:val="42"/>
              </w:numPr>
              <w:spacing w:before="0" w:after="0"/>
              <w:rPr>
                <w:rFonts w:eastAsiaTheme="minorEastAsia"/>
                <w:color w:val="00B050"/>
              </w:rPr>
            </w:pPr>
            <w:r w:rsidRPr="0021598D">
              <w:rPr>
                <w:color w:val="00B050"/>
              </w:rPr>
              <w:t>en attendant de pouvoir disposer d’une meilleure méthode, ne retenir dans le calcul des gains environnementaux par rapport au scénario de référence SNBC que les effets standards et l’effet d’augmentation de la flexibilité modale ;</w:t>
            </w:r>
          </w:p>
          <w:p w14:paraId="09812798" w14:textId="77777777" w:rsidR="0021598D" w:rsidRPr="0021598D" w:rsidRDefault="0021598D" w:rsidP="0021598D">
            <w:pPr>
              <w:pStyle w:val="Textenormal"/>
              <w:numPr>
                <w:ilvl w:val="0"/>
                <w:numId w:val="41"/>
              </w:numPr>
              <w:spacing w:before="0" w:after="0"/>
              <w:rPr>
                <w:rFonts w:asciiTheme="minorHAnsi" w:eastAsiaTheme="minorEastAsia" w:hAnsiTheme="minorHAnsi" w:cstheme="minorBidi"/>
                <w:color w:val="00B050"/>
                <w:szCs w:val="22"/>
              </w:rPr>
            </w:pPr>
            <w:r w:rsidRPr="0021598D">
              <w:rPr>
                <w:color w:val="00B050"/>
              </w:rPr>
              <w:t>pour utiliser dans les évaluations le scénario SNBC avec mesures supplémentaires comme situation de référence, il convient que ce scénario soit explicité : description des investissements publics et privés nécessaires à l’atteinte de l’objectif, mise en œuvre de la trajectoire du prix du carbone.</w:t>
            </w:r>
          </w:p>
          <w:p w14:paraId="3AD8ACBD" w14:textId="77777777" w:rsidR="0021598D" w:rsidRPr="0021598D" w:rsidRDefault="0021598D" w:rsidP="0021598D">
            <w:pPr>
              <w:pStyle w:val="Textenormal"/>
              <w:spacing w:before="0" w:after="0"/>
              <w:rPr>
                <w:color w:val="00B050"/>
              </w:rPr>
            </w:pPr>
            <w:r w:rsidRPr="0021598D">
              <w:rPr>
                <w:color w:val="00B050"/>
              </w:rPr>
              <w:t>La dernière recommandation n’est pas du ressort du porteur de projet mais de celui des équipes qui réalisent la SNBC. Les deux premières ont été prises en compte dans la nouvelle pièce H datée du printemps 2021 d’une façon que les contre-experts trouvent satisfaisante. Les hypothèses et méthodes de calcul des réductions d'émissions sont expliquées clairement. L'effet de changement de norme sociale (changements de comportements, par imitation, induits par le GPE), mis en doute par les contre-experts qui considèrent que c’est la SNBC elle-même qui va changer la norme sociale, n’a pas été repris.</w:t>
            </w:r>
          </w:p>
          <w:p w14:paraId="2567A32E" w14:textId="77777777" w:rsidR="0021598D" w:rsidRPr="0021598D" w:rsidRDefault="0021598D" w:rsidP="0021598D">
            <w:pPr>
              <w:pStyle w:val="Textenormal"/>
              <w:spacing w:before="0" w:after="0"/>
              <w:rPr>
                <w:color w:val="00B050"/>
              </w:rPr>
            </w:pPr>
            <w:r w:rsidRPr="0021598D">
              <w:rPr>
                <w:color w:val="00B050"/>
              </w:rPr>
              <w:t>L’effet d’augmentation de la flexibilité modale est expliqué plus clairement. Cet effet provient du fait qu’une infrastructure comme le GPE augmente l’espace des choix à la disposition des usagers, ou, autrement dit, rend moins coûteux le changement de mode de transport, et que ceci a une valeur non prise en compte dans les évaluations conventionnelles.</w:t>
            </w:r>
          </w:p>
          <w:p w14:paraId="13EBF15B" w14:textId="77777777" w:rsidR="0021598D" w:rsidRPr="0021598D" w:rsidRDefault="0021598D" w:rsidP="0021598D">
            <w:pPr>
              <w:pStyle w:val="Textenormal"/>
              <w:spacing w:before="0" w:after="0"/>
              <w:rPr>
                <w:color w:val="00B050"/>
              </w:rPr>
            </w:pPr>
            <w:r w:rsidRPr="0021598D">
              <w:rPr>
                <w:color w:val="00B050"/>
              </w:rPr>
              <w:t xml:space="preserve">Il subsiste un besoin d’approfondissement méthodologique sur la façon d'évaluer un projet du type GPE par rapport à une situation de référence dans laquelle la décarbonation est supposée en cours de réalisation. </w:t>
            </w:r>
          </w:p>
          <w:p w14:paraId="5D96FB23" w14:textId="77777777" w:rsidR="0021598D" w:rsidRPr="0021598D" w:rsidRDefault="0021598D" w:rsidP="0021598D">
            <w:pPr>
              <w:pStyle w:val="Textenormal"/>
              <w:spacing w:before="0" w:after="0"/>
              <w:rPr>
                <w:color w:val="00B050"/>
              </w:rPr>
            </w:pPr>
            <w:r w:rsidRPr="0021598D">
              <w:rPr>
                <w:color w:val="00B050"/>
              </w:rPr>
              <w:t xml:space="preserve">Les contre-experts ont  initié un travail théorique en ce sens. Il montre que dans le cas où la situation de référence est le fil de l'eau, la VAN du projet dans la dimension de la réduction d'émissions de gaz à effet de serre qu’il permet est déterminée par la différence entre la Valeur de l’Action pour le Climat initiale (Quinet, 2019) et le coût d’'abattement « en budget carbone » du projet (tel qu’il est abordé dans les travaux animés actuellement à France Stratégie par Patrick Criqui). Quand la situation de référence est la SNBC, la VAN est déterminée par la différence entre le coût d’abattement en budget carbone de celle-ci et celui du projet. Elle </w:t>
            </w:r>
            <w:r w:rsidRPr="0021598D">
              <w:rPr>
                <w:color w:val="00B050"/>
              </w:rPr>
              <w:t xml:space="preserve">est positive si le projet fait mieux que la SNBC en matière de coût d’abattement. S’il existe une probabilité que la SNBC ne soit pas entièrement réalisée, la VAN du projet est augmentée du fait qu’il permet des réductions d’émissions certaines alors que celles de la SNBC sont aléatoires. Enfin, le projet peut avoir des effets d’entrainement sur le reste de l'économie, permettant de rendre la réalisation de la SNBC plus facile. C’est l’effet de flexibilité modale évoqué par le porteur de projet, qui augmente en effet la VAN. </w:t>
            </w:r>
          </w:p>
          <w:p w14:paraId="4E13FF8D" w14:textId="77777777" w:rsidR="00C531F6" w:rsidRDefault="0021598D" w:rsidP="0021598D">
            <w:pPr>
              <w:pStyle w:val="Textenormal"/>
              <w:spacing w:before="0" w:after="0"/>
              <w:rPr>
                <w:color w:val="00B050"/>
              </w:rPr>
            </w:pPr>
            <w:r w:rsidRPr="0021598D">
              <w:rPr>
                <w:color w:val="00B050"/>
              </w:rPr>
              <w:t xml:space="preserve">Ces différents effets, mis en évidence par le modèle théorique, demandent à être chiffrés soigneusement. En particulier le coût d’abattement en valeur carbone du projet devrait être calculé. Celui de la SNBC également (mais ce n'est pas du ressort du porteur de projet). Les effets d’entrainement demandent également un effort de quantification important. </w:t>
            </w:r>
          </w:p>
          <w:p w14:paraId="5706964C" w14:textId="77777777" w:rsidR="0021598D" w:rsidRDefault="0021598D" w:rsidP="0021598D">
            <w:pPr>
              <w:pStyle w:val="Textenormal"/>
              <w:spacing w:before="0" w:after="0"/>
              <w:rPr>
                <w:color w:val="00B050"/>
              </w:rPr>
            </w:pPr>
          </w:p>
          <w:p w14:paraId="596C1045" w14:textId="451D6A65" w:rsidR="0021598D" w:rsidRPr="0021598D" w:rsidRDefault="0021598D" w:rsidP="0021598D">
            <w:pPr>
              <w:pStyle w:val="Textenormal"/>
              <w:spacing w:before="0" w:after="0"/>
              <w:rPr>
                <w:b/>
                <w:bCs/>
                <w:color w:val="00B050"/>
              </w:rPr>
            </w:pPr>
            <w:r w:rsidRPr="0021598D">
              <w:rPr>
                <w:b/>
                <w:bCs/>
                <w:color w:val="00B050"/>
              </w:rPr>
              <w:t>La méthode proposée par ce rapport de contre-expertise va être donner lieu de la part de la Société du rand Paris aux études nécessaires pour en assurer la mise en œuvre dans les prochaines évaluations du GRAND Paris Express et de ses différentes lignes.</w:t>
            </w:r>
          </w:p>
        </w:tc>
      </w:tr>
    </w:tbl>
    <w:p w14:paraId="20CB9C61" w14:textId="77777777" w:rsidR="00C531F6" w:rsidRPr="000F5160" w:rsidRDefault="00C531F6" w:rsidP="000F5160">
      <w:pPr>
        <w:jc w:val="both"/>
        <w:rPr>
          <w:color w:val="00B050"/>
          <w:lang w:eastAsia="fr-FR"/>
        </w:rPr>
      </w:pPr>
    </w:p>
    <w:p w14:paraId="74536A79" w14:textId="77777777" w:rsidR="00503AE0" w:rsidRPr="00150A72" w:rsidRDefault="00503AE0" w:rsidP="00503AE0">
      <w:pPr>
        <w:keepNext/>
        <w:keepLines/>
        <w:spacing w:before="200"/>
        <w:jc w:val="both"/>
        <w:outlineLvl w:val="3"/>
        <w:rPr>
          <w:rFonts w:eastAsia="Times New Roman"/>
          <w:bCs/>
          <w:i/>
          <w:iCs/>
          <w:color w:val="931638"/>
          <w:szCs w:val="20"/>
        </w:rPr>
      </w:pPr>
      <w:r w:rsidRPr="00150A72">
        <w:rPr>
          <w:rFonts w:eastAsia="Times New Roman"/>
          <w:bCs/>
          <w:i/>
          <w:iCs/>
          <w:color w:val="931638"/>
          <w:szCs w:val="20"/>
        </w:rPr>
        <w:t>L</w:t>
      </w:r>
      <w:r>
        <w:rPr>
          <w:rFonts w:eastAsia="Times New Roman"/>
          <w:bCs/>
          <w:i/>
          <w:iCs/>
          <w:color w:val="931638"/>
          <w:szCs w:val="20"/>
        </w:rPr>
        <w:t xml:space="preserve">’ensemble des </w:t>
      </w:r>
      <w:r w:rsidRPr="00150A72">
        <w:rPr>
          <w:rFonts w:eastAsia="Times New Roman"/>
          <w:bCs/>
          <w:i/>
          <w:iCs/>
          <w:color w:val="931638"/>
          <w:szCs w:val="20"/>
        </w:rPr>
        <w:t xml:space="preserve">effets environnementaux </w:t>
      </w:r>
    </w:p>
    <w:p w14:paraId="6C7E04DF" w14:textId="77777777" w:rsidR="00503AE0" w:rsidRDefault="00503AE0" w:rsidP="00150A72">
      <w:pPr>
        <w:jc w:val="both"/>
        <w:rPr>
          <w:szCs w:val="20"/>
        </w:rPr>
      </w:pPr>
    </w:p>
    <w:p w14:paraId="25FB62F6" w14:textId="17B0A578" w:rsidR="00150A72" w:rsidRDefault="00D037B1" w:rsidP="00150A72">
      <w:pPr>
        <w:jc w:val="both"/>
        <w:rPr>
          <w:szCs w:val="20"/>
        </w:rPr>
      </w:pPr>
      <w:r>
        <w:rPr>
          <w:szCs w:val="20"/>
        </w:rPr>
        <w:t xml:space="preserve">Avec </w:t>
      </w:r>
      <w:r w:rsidR="00503AE0">
        <w:rPr>
          <w:szCs w:val="20"/>
        </w:rPr>
        <w:t>les</w:t>
      </w:r>
      <w:r>
        <w:rPr>
          <w:szCs w:val="20"/>
        </w:rPr>
        <w:t xml:space="preserve"> choix pruden</w:t>
      </w:r>
      <w:r w:rsidR="00F4047B">
        <w:rPr>
          <w:szCs w:val="20"/>
        </w:rPr>
        <w:t>t</w:t>
      </w:r>
      <w:r w:rsidR="00503AE0">
        <w:rPr>
          <w:szCs w:val="20"/>
        </w:rPr>
        <w:t xml:space="preserve">s décrits </w:t>
      </w:r>
      <w:r w:rsidR="00F21EB2">
        <w:rPr>
          <w:szCs w:val="20"/>
        </w:rPr>
        <w:t>ci-dessus</w:t>
      </w:r>
      <w:r w:rsidR="00F4047B">
        <w:rPr>
          <w:szCs w:val="20"/>
        </w:rPr>
        <w:t>, le</w:t>
      </w:r>
      <w:r w:rsidR="000F2D05" w:rsidRPr="00D40E9A">
        <w:rPr>
          <w:szCs w:val="20"/>
        </w:rPr>
        <w:t xml:space="preserve"> bilan </w:t>
      </w:r>
      <w:r w:rsidR="00F4047B">
        <w:rPr>
          <w:szCs w:val="20"/>
        </w:rPr>
        <w:t xml:space="preserve">des effets environnementaux </w:t>
      </w:r>
      <w:r w:rsidR="000F2D05" w:rsidRPr="00D40E9A">
        <w:rPr>
          <w:szCs w:val="20"/>
        </w:rPr>
        <w:t>est le suivant</w:t>
      </w:r>
      <w:r w:rsidR="00150A72" w:rsidRPr="00D40E9A">
        <w:rPr>
          <w:szCs w:val="20"/>
        </w:rPr>
        <w:t xml:space="preserve"> : </w:t>
      </w:r>
    </w:p>
    <w:p w14:paraId="6BB0BB12" w14:textId="77777777" w:rsidR="00B66342" w:rsidRDefault="00B66342" w:rsidP="00150A72">
      <w:pPr>
        <w:jc w:val="both"/>
        <w:rPr>
          <w:szCs w:val="20"/>
        </w:rPr>
      </w:pPr>
    </w:p>
    <w:tbl>
      <w:tblPr>
        <w:tblW w:w="7340" w:type="dxa"/>
        <w:tblCellMar>
          <w:left w:w="70" w:type="dxa"/>
          <w:right w:w="70" w:type="dxa"/>
        </w:tblCellMar>
        <w:tblLook w:val="04A0" w:firstRow="1" w:lastRow="0" w:firstColumn="1" w:lastColumn="0" w:noHBand="0" w:noVBand="1"/>
      </w:tblPr>
      <w:tblGrid>
        <w:gridCol w:w="4120"/>
        <w:gridCol w:w="1660"/>
        <w:gridCol w:w="1560"/>
      </w:tblGrid>
      <w:tr w:rsidR="00B66342" w:rsidRPr="00B66342" w14:paraId="7F94A957" w14:textId="77777777" w:rsidTr="00B66342">
        <w:trPr>
          <w:trHeight w:val="57"/>
        </w:trPr>
        <w:tc>
          <w:tcPr>
            <w:tcW w:w="7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4399D532" w14:textId="77777777" w:rsidR="00B66342" w:rsidRPr="00B66342" w:rsidRDefault="00B66342" w:rsidP="00B66342">
            <w:pPr>
              <w:jc w:val="center"/>
              <w:rPr>
                <w:rFonts w:eastAsia="Times New Roman" w:cs="Calibri"/>
                <w:b/>
                <w:bCs/>
                <w:color w:val="931638"/>
                <w:szCs w:val="20"/>
                <w:lang w:eastAsia="fr-FR"/>
              </w:rPr>
            </w:pPr>
            <w:r w:rsidRPr="00B66342">
              <w:rPr>
                <w:rFonts w:eastAsia="Times New Roman" w:cs="Calibri"/>
                <w:b/>
                <w:bCs/>
                <w:color w:val="931638"/>
                <w:szCs w:val="20"/>
                <w:lang w:eastAsia="fr-FR"/>
              </w:rPr>
              <w:t>Option basse de projet</w:t>
            </w:r>
          </w:p>
        </w:tc>
      </w:tr>
      <w:tr w:rsidR="00B66342" w:rsidRPr="00B66342" w14:paraId="5CC55549" w14:textId="77777777" w:rsidTr="00B66342">
        <w:trPr>
          <w:trHeight w:val="57"/>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05316811" w14:textId="77777777" w:rsidR="00B66342" w:rsidRPr="00B66342" w:rsidRDefault="00B66342" w:rsidP="00B66342">
            <w:pPr>
              <w:jc w:val="both"/>
              <w:rPr>
                <w:rFonts w:eastAsia="Times New Roman" w:cs="Calibri"/>
                <w:i/>
                <w:iCs/>
                <w:color w:val="000000"/>
                <w:szCs w:val="20"/>
                <w:lang w:eastAsia="fr-FR"/>
              </w:rPr>
            </w:pPr>
            <w:r w:rsidRPr="00B66342">
              <w:rPr>
                <w:rFonts w:eastAsia="Times New Roman" w:cs="Calibri"/>
                <w:i/>
                <w:iCs/>
                <w:color w:val="000000"/>
                <w:szCs w:val="20"/>
                <w:lang w:eastAsia="fr-FR"/>
              </w:rPr>
              <w:t>Avantages en milliards d’euros</w:t>
            </w:r>
          </w:p>
        </w:tc>
        <w:tc>
          <w:tcPr>
            <w:tcW w:w="1660" w:type="dxa"/>
            <w:tcBorders>
              <w:top w:val="nil"/>
              <w:left w:val="nil"/>
              <w:bottom w:val="single" w:sz="8" w:space="0" w:color="auto"/>
              <w:right w:val="single" w:sz="8" w:space="0" w:color="auto"/>
            </w:tcBorders>
            <w:shd w:val="clear" w:color="auto" w:fill="auto"/>
            <w:vAlign w:val="center"/>
            <w:hideMark/>
          </w:tcPr>
          <w:p w14:paraId="53721896" w14:textId="77777777" w:rsidR="00B66342" w:rsidRPr="00B66342" w:rsidRDefault="00B66342" w:rsidP="00B66342">
            <w:pPr>
              <w:jc w:val="center"/>
              <w:rPr>
                <w:rFonts w:eastAsia="Times New Roman" w:cs="Calibri"/>
                <w:color w:val="000000"/>
                <w:szCs w:val="20"/>
                <w:lang w:eastAsia="fr-FR"/>
              </w:rPr>
            </w:pPr>
            <w:r w:rsidRPr="00B66342">
              <w:rPr>
                <w:rFonts w:eastAsia="Times New Roman" w:cs="Calibri"/>
                <w:color w:val="000000"/>
                <w:szCs w:val="20"/>
                <w:lang w:eastAsia="fr-FR"/>
              </w:rPr>
              <w:t>Euros 2010</w:t>
            </w:r>
          </w:p>
        </w:tc>
        <w:tc>
          <w:tcPr>
            <w:tcW w:w="1560" w:type="dxa"/>
            <w:tcBorders>
              <w:top w:val="nil"/>
              <w:left w:val="nil"/>
              <w:bottom w:val="single" w:sz="8" w:space="0" w:color="auto"/>
              <w:right w:val="single" w:sz="8" w:space="0" w:color="auto"/>
            </w:tcBorders>
            <w:shd w:val="clear" w:color="auto" w:fill="auto"/>
            <w:vAlign w:val="center"/>
            <w:hideMark/>
          </w:tcPr>
          <w:p w14:paraId="5B26061C" w14:textId="77777777" w:rsidR="00B66342" w:rsidRPr="00B66342" w:rsidRDefault="00B66342" w:rsidP="00B66342">
            <w:pPr>
              <w:jc w:val="center"/>
              <w:rPr>
                <w:rFonts w:eastAsia="Times New Roman" w:cs="Calibri"/>
                <w:color w:val="000000"/>
                <w:szCs w:val="20"/>
                <w:lang w:eastAsia="fr-FR"/>
              </w:rPr>
            </w:pPr>
            <w:r w:rsidRPr="00B66342">
              <w:rPr>
                <w:rFonts w:eastAsia="Times New Roman" w:cs="Calibri"/>
                <w:color w:val="000000"/>
                <w:szCs w:val="20"/>
                <w:lang w:eastAsia="fr-FR"/>
              </w:rPr>
              <w:t>Euros 2015</w:t>
            </w:r>
          </w:p>
        </w:tc>
      </w:tr>
      <w:tr w:rsidR="00B66342" w:rsidRPr="00B66342" w14:paraId="2E421A76" w14:textId="77777777" w:rsidTr="00B66342">
        <w:trPr>
          <w:trHeight w:val="57"/>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1965A7B1" w14:textId="77777777" w:rsidR="00B66342" w:rsidRPr="00B66342" w:rsidRDefault="00B66342" w:rsidP="00B66342">
            <w:pPr>
              <w:jc w:val="both"/>
              <w:rPr>
                <w:rFonts w:eastAsia="Times New Roman" w:cs="Calibri"/>
                <w:color w:val="931638"/>
                <w:szCs w:val="20"/>
                <w:lang w:eastAsia="fr-FR"/>
              </w:rPr>
            </w:pPr>
            <w:r w:rsidRPr="00B66342">
              <w:rPr>
                <w:rFonts w:eastAsia="Times New Roman" w:cs="Calibri"/>
                <w:color w:val="931638"/>
                <w:szCs w:val="20"/>
                <w:lang w:eastAsia="fr-FR"/>
              </w:rPr>
              <w:t>Pollution</w:t>
            </w:r>
          </w:p>
        </w:tc>
        <w:tc>
          <w:tcPr>
            <w:tcW w:w="1660" w:type="dxa"/>
            <w:tcBorders>
              <w:top w:val="nil"/>
              <w:left w:val="nil"/>
              <w:bottom w:val="single" w:sz="8" w:space="0" w:color="auto"/>
              <w:right w:val="single" w:sz="8" w:space="0" w:color="auto"/>
            </w:tcBorders>
            <w:shd w:val="clear" w:color="auto" w:fill="auto"/>
            <w:vAlign w:val="center"/>
            <w:hideMark/>
          </w:tcPr>
          <w:p w14:paraId="6BDEE06E"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0,18</w:t>
            </w:r>
          </w:p>
        </w:tc>
        <w:tc>
          <w:tcPr>
            <w:tcW w:w="1560" w:type="dxa"/>
            <w:tcBorders>
              <w:top w:val="nil"/>
              <w:left w:val="nil"/>
              <w:bottom w:val="single" w:sz="8" w:space="0" w:color="auto"/>
              <w:right w:val="single" w:sz="8" w:space="0" w:color="auto"/>
            </w:tcBorders>
            <w:shd w:val="clear" w:color="auto" w:fill="auto"/>
            <w:vAlign w:val="center"/>
            <w:hideMark/>
          </w:tcPr>
          <w:p w14:paraId="6054BF77"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0,19</w:t>
            </w:r>
          </w:p>
        </w:tc>
      </w:tr>
      <w:tr w:rsidR="00B66342" w:rsidRPr="00B66342" w14:paraId="5B2886B9" w14:textId="77777777" w:rsidTr="00B66342">
        <w:trPr>
          <w:trHeight w:val="57"/>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38FDFFBA" w14:textId="39360CCC" w:rsidR="00B66342" w:rsidRPr="00B66342" w:rsidRDefault="00B66342" w:rsidP="00B66342">
            <w:pPr>
              <w:jc w:val="both"/>
              <w:rPr>
                <w:rFonts w:eastAsia="Times New Roman" w:cs="Calibri"/>
                <w:color w:val="931638"/>
                <w:szCs w:val="20"/>
                <w:lang w:eastAsia="fr-FR"/>
              </w:rPr>
            </w:pPr>
            <w:r w:rsidRPr="00B66342">
              <w:rPr>
                <w:rFonts w:eastAsia="Times New Roman" w:cs="Calibri"/>
                <w:color w:val="931638"/>
                <w:szCs w:val="20"/>
                <w:lang w:eastAsia="fr-FR"/>
              </w:rPr>
              <w:t>Br</w:t>
            </w:r>
            <w:r>
              <w:rPr>
                <w:rFonts w:eastAsia="Times New Roman" w:cs="Calibri"/>
                <w:color w:val="931638"/>
                <w:szCs w:val="20"/>
                <w:lang w:eastAsia="fr-FR"/>
              </w:rPr>
              <w:t>ui</w:t>
            </w:r>
            <w:r w:rsidRPr="00B66342">
              <w:rPr>
                <w:rFonts w:eastAsia="Times New Roman" w:cs="Calibri"/>
                <w:color w:val="931638"/>
                <w:szCs w:val="20"/>
                <w:lang w:eastAsia="fr-FR"/>
              </w:rPr>
              <w:t>t</w:t>
            </w:r>
          </w:p>
        </w:tc>
        <w:tc>
          <w:tcPr>
            <w:tcW w:w="1660" w:type="dxa"/>
            <w:tcBorders>
              <w:top w:val="nil"/>
              <w:left w:val="nil"/>
              <w:bottom w:val="single" w:sz="8" w:space="0" w:color="auto"/>
              <w:right w:val="single" w:sz="8" w:space="0" w:color="auto"/>
            </w:tcBorders>
            <w:shd w:val="clear" w:color="auto" w:fill="auto"/>
            <w:vAlign w:val="center"/>
            <w:hideMark/>
          </w:tcPr>
          <w:p w14:paraId="03485AC4"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0,01</w:t>
            </w:r>
          </w:p>
        </w:tc>
        <w:tc>
          <w:tcPr>
            <w:tcW w:w="1560" w:type="dxa"/>
            <w:tcBorders>
              <w:top w:val="nil"/>
              <w:left w:val="nil"/>
              <w:bottom w:val="single" w:sz="8" w:space="0" w:color="auto"/>
              <w:right w:val="single" w:sz="8" w:space="0" w:color="auto"/>
            </w:tcBorders>
            <w:shd w:val="clear" w:color="auto" w:fill="auto"/>
            <w:vAlign w:val="center"/>
            <w:hideMark/>
          </w:tcPr>
          <w:p w14:paraId="09CEBCAA"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0,01</w:t>
            </w:r>
          </w:p>
        </w:tc>
      </w:tr>
      <w:tr w:rsidR="00B66342" w:rsidRPr="00B66342" w14:paraId="5E7E17B1" w14:textId="77777777" w:rsidTr="00B66342">
        <w:trPr>
          <w:trHeight w:val="57"/>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3CC5442F" w14:textId="77777777" w:rsidR="00B66342" w:rsidRPr="00B66342" w:rsidRDefault="00B66342" w:rsidP="00B66342">
            <w:pPr>
              <w:jc w:val="both"/>
              <w:rPr>
                <w:rFonts w:eastAsia="Times New Roman" w:cs="Calibri"/>
                <w:color w:val="931638"/>
                <w:szCs w:val="20"/>
                <w:lang w:eastAsia="fr-FR"/>
              </w:rPr>
            </w:pPr>
            <w:r w:rsidRPr="00B66342">
              <w:rPr>
                <w:rFonts w:eastAsia="Times New Roman" w:cs="Calibri"/>
                <w:color w:val="931638"/>
                <w:szCs w:val="20"/>
                <w:lang w:eastAsia="fr-FR"/>
              </w:rPr>
              <w:t>Effets amont-aval</w:t>
            </w:r>
          </w:p>
        </w:tc>
        <w:tc>
          <w:tcPr>
            <w:tcW w:w="1660" w:type="dxa"/>
            <w:tcBorders>
              <w:top w:val="nil"/>
              <w:left w:val="nil"/>
              <w:bottom w:val="single" w:sz="8" w:space="0" w:color="auto"/>
              <w:right w:val="single" w:sz="8" w:space="0" w:color="auto"/>
            </w:tcBorders>
            <w:shd w:val="clear" w:color="auto" w:fill="auto"/>
            <w:vAlign w:val="center"/>
            <w:hideMark/>
          </w:tcPr>
          <w:p w14:paraId="76D59996"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0,05</w:t>
            </w:r>
          </w:p>
        </w:tc>
        <w:tc>
          <w:tcPr>
            <w:tcW w:w="1560" w:type="dxa"/>
            <w:tcBorders>
              <w:top w:val="nil"/>
              <w:left w:val="nil"/>
              <w:bottom w:val="single" w:sz="8" w:space="0" w:color="auto"/>
              <w:right w:val="single" w:sz="8" w:space="0" w:color="auto"/>
            </w:tcBorders>
            <w:shd w:val="clear" w:color="auto" w:fill="auto"/>
            <w:vAlign w:val="center"/>
            <w:hideMark/>
          </w:tcPr>
          <w:p w14:paraId="7B71F983"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0,06</w:t>
            </w:r>
          </w:p>
        </w:tc>
      </w:tr>
      <w:tr w:rsidR="00B66342" w:rsidRPr="00B66342" w14:paraId="1A270010" w14:textId="77777777" w:rsidTr="00B66342">
        <w:trPr>
          <w:trHeight w:val="57"/>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265FB9F1" w14:textId="77777777" w:rsidR="00B66342" w:rsidRPr="00B66342" w:rsidRDefault="00B66342" w:rsidP="00B66342">
            <w:pPr>
              <w:jc w:val="both"/>
              <w:rPr>
                <w:rFonts w:eastAsia="Times New Roman" w:cs="Calibri"/>
                <w:color w:val="931638"/>
                <w:szCs w:val="20"/>
                <w:lang w:eastAsia="fr-FR"/>
              </w:rPr>
            </w:pPr>
            <w:r w:rsidRPr="00B66342">
              <w:rPr>
                <w:rFonts w:eastAsia="Times New Roman" w:cs="Calibri"/>
                <w:color w:val="931638"/>
                <w:szCs w:val="20"/>
                <w:lang w:eastAsia="fr-FR"/>
              </w:rPr>
              <w:t>Sécurité</w:t>
            </w:r>
          </w:p>
        </w:tc>
        <w:tc>
          <w:tcPr>
            <w:tcW w:w="1660" w:type="dxa"/>
            <w:tcBorders>
              <w:top w:val="nil"/>
              <w:left w:val="nil"/>
              <w:bottom w:val="single" w:sz="8" w:space="0" w:color="auto"/>
              <w:right w:val="single" w:sz="8" w:space="0" w:color="auto"/>
            </w:tcBorders>
            <w:shd w:val="clear" w:color="auto" w:fill="auto"/>
            <w:vAlign w:val="center"/>
            <w:hideMark/>
          </w:tcPr>
          <w:p w14:paraId="416D27D2"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0,30</w:t>
            </w:r>
          </w:p>
        </w:tc>
        <w:tc>
          <w:tcPr>
            <w:tcW w:w="1560" w:type="dxa"/>
            <w:tcBorders>
              <w:top w:val="nil"/>
              <w:left w:val="nil"/>
              <w:bottom w:val="single" w:sz="8" w:space="0" w:color="auto"/>
              <w:right w:val="single" w:sz="8" w:space="0" w:color="auto"/>
            </w:tcBorders>
            <w:shd w:val="clear" w:color="auto" w:fill="auto"/>
            <w:vAlign w:val="center"/>
            <w:hideMark/>
          </w:tcPr>
          <w:p w14:paraId="139D71E4"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0,32</w:t>
            </w:r>
          </w:p>
        </w:tc>
      </w:tr>
      <w:tr w:rsidR="00B66342" w:rsidRPr="00B66342" w14:paraId="2F8FD498" w14:textId="77777777" w:rsidTr="00B66342">
        <w:trPr>
          <w:trHeight w:val="57"/>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653A1D2F" w14:textId="77777777" w:rsidR="00B66342" w:rsidRPr="00B66342" w:rsidRDefault="00B66342" w:rsidP="00B66342">
            <w:pPr>
              <w:jc w:val="both"/>
              <w:rPr>
                <w:rFonts w:eastAsia="Times New Roman" w:cs="Calibri"/>
                <w:color w:val="931638"/>
                <w:szCs w:val="20"/>
                <w:lang w:eastAsia="fr-FR"/>
              </w:rPr>
            </w:pPr>
            <w:r w:rsidRPr="00B66342">
              <w:rPr>
                <w:rFonts w:eastAsia="Times New Roman" w:cs="Calibri"/>
                <w:color w:val="931638"/>
                <w:szCs w:val="20"/>
                <w:lang w:eastAsia="fr-FR"/>
              </w:rPr>
              <w:t>Effets de serre</w:t>
            </w:r>
          </w:p>
        </w:tc>
        <w:tc>
          <w:tcPr>
            <w:tcW w:w="1660" w:type="dxa"/>
            <w:tcBorders>
              <w:top w:val="nil"/>
              <w:left w:val="nil"/>
              <w:bottom w:val="single" w:sz="8" w:space="0" w:color="auto"/>
              <w:right w:val="single" w:sz="8" w:space="0" w:color="auto"/>
            </w:tcBorders>
            <w:shd w:val="clear" w:color="auto" w:fill="auto"/>
            <w:vAlign w:val="center"/>
            <w:hideMark/>
          </w:tcPr>
          <w:p w14:paraId="017E76D5"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0,19</w:t>
            </w:r>
          </w:p>
        </w:tc>
        <w:tc>
          <w:tcPr>
            <w:tcW w:w="1560" w:type="dxa"/>
            <w:tcBorders>
              <w:top w:val="nil"/>
              <w:left w:val="nil"/>
              <w:bottom w:val="single" w:sz="8" w:space="0" w:color="auto"/>
              <w:right w:val="single" w:sz="8" w:space="0" w:color="auto"/>
            </w:tcBorders>
            <w:shd w:val="clear" w:color="auto" w:fill="auto"/>
            <w:vAlign w:val="center"/>
            <w:hideMark/>
          </w:tcPr>
          <w:p w14:paraId="6BA18C4A" w14:textId="77777777" w:rsidR="00B66342" w:rsidRPr="00B66342" w:rsidRDefault="00B66342" w:rsidP="00B66342">
            <w:pPr>
              <w:jc w:val="center"/>
              <w:rPr>
                <w:rFonts w:eastAsia="Times New Roman" w:cs="Calibri"/>
                <w:color w:val="00B050"/>
                <w:szCs w:val="20"/>
                <w:lang w:eastAsia="fr-FR"/>
              </w:rPr>
            </w:pPr>
            <w:r w:rsidRPr="00B66342">
              <w:rPr>
                <w:rFonts w:eastAsia="Times New Roman" w:cs="Calibri"/>
                <w:color w:val="00B050"/>
                <w:szCs w:val="20"/>
                <w:lang w:eastAsia="fr-FR"/>
              </w:rPr>
              <w:t>0,20</w:t>
            </w:r>
          </w:p>
        </w:tc>
      </w:tr>
      <w:tr w:rsidR="00B66342" w:rsidRPr="00B66342" w14:paraId="4F9975C7" w14:textId="77777777" w:rsidTr="00B66342">
        <w:trPr>
          <w:trHeight w:val="57"/>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3BDB84D7" w14:textId="0268B11D" w:rsidR="00B66342" w:rsidRPr="00B66342" w:rsidRDefault="00B66342" w:rsidP="00B66342">
            <w:pPr>
              <w:jc w:val="both"/>
              <w:rPr>
                <w:rFonts w:eastAsia="Times New Roman" w:cs="Calibri"/>
                <w:b/>
                <w:bCs/>
                <w:color w:val="931638"/>
                <w:szCs w:val="20"/>
                <w:lang w:eastAsia="fr-FR"/>
              </w:rPr>
            </w:pPr>
            <w:r w:rsidRPr="00B66342">
              <w:rPr>
                <w:rFonts w:eastAsia="Times New Roman" w:cs="Calibri"/>
                <w:b/>
                <w:bCs/>
                <w:color w:val="931638"/>
                <w:szCs w:val="20"/>
                <w:lang w:eastAsia="fr-FR"/>
              </w:rPr>
              <w:t>Total des gains environnementaux</w:t>
            </w:r>
          </w:p>
        </w:tc>
        <w:tc>
          <w:tcPr>
            <w:tcW w:w="1660" w:type="dxa"/>
            <w:tcBorders>
              <w:top w:val="nil"/>
              <w:left w:val="nil"/>
              <w:bottom w:val="single" w:sz="8" w:space="0" w:color="auto"/>
              <w:right w:val="single" w:sz="8" w:space="0" w:color="auto"/>
            </w:tcBorders>
            <w:shd w:val="clear" w:color="auto" w:fill="auto"/>
            <w:vAlign w:val="center"/>
            <w:hideMark/>
          </w:tcPr>
          <w:p w14:paraId="6F83F9BB" w14:textId="77777777" w:rsidR="00B66342" w:rsidRPr="00B66342" w:rsidRDefault="00B66342" w:rsidP="00B66342">
            <w:pPr>
              <w:jc w:val="center"/>
              <w:rPr>
                <w:rFonts w:eastAsia="Times New Roman" w:cs="Calibri"/>
                <w:b/>
                <w:bCs/>
                <w:color w:val="00B050"/>
                <w:szCs w:val="20"/>
                <w:lang w:eastAsia="fr-FR"/>
              </w:rPr>
            </w:pPr>
            <w:r w:rsidRPr="00B66342">
              <w:rPr>
                <w:rFonts w:eastAsia="Times New Roman" w:cs="Calibri"/>
                <w:b/>
                <w:bCs/>
                <w:color w:val="00B050"/>
                <w:szCs w:val="20"/>
                <w:lang w:eastAsia="fr-FR"/>
              </w:rPr>
              <w:t>0,73</w:t>
            </w:r>
          </w:p>
        </w:tc>
        <w:tc>
          <w:tcPr>
            <w:tcW w:w="1560" w:type="dxa"/>
            <w:tcBorders>
              <w:top w:val="nil"/>
              <w:left w:val="nil"/>
              <w:bottom w:val="single" w:sz="8" w:space="0" w:color="auto"/>
              <w:right w:val="single" w:sz="8" w:space="0" w:color="auto"/>
            </w:tcBorders>
            <w:shd w:val="clear" w:color="auto" w:fill="auto"/>
            <w:vAlign w:val="center"/>
            <w:hideMark/>
          </w:tcPr>
          <w:p w14:paraId="35105BAB" w14:textId="77777777" w:rsidR="00B66342" w:rsidRPr="00B66342" w:rsidRDefault="00B66342" w:rsidP="00B66342">
            <w:pPr>
              <w:jc w:val="center"/>
              <w:rPr>
                <w:rFonts w:eastAsia="Times New Roman" w:cs="Calibri"/>
                <w:b/>
                <w:bCs/>
                <w:color w:val="00B050"/>
                <w:szCs w:val="20"/>
                <w:lang w:eastAsia="fr-FR"/>
              </w:rPr>
            </w:pPr>
            <w:r w:rsidRPr="00B66342">
              <w:rPr>
                <w:rFonts w:eastAsia="Times New Roman" w:cs="Calibri"/>
                <w:b/>
                <w:bCs/>
                <w:color w:val="00B050"/>
                <w:szCs w:val="20"/>
                <w:lang w:eastAsia="fr-FR"/>
              </w:rPr>
              <w:t>0,77</w:t>
            </w:r>
          </w:p>
        </w:tc>
      </w:tr>
    </w:tbl>
    <w:p w14:paraId="7F6BADFE" w14:textId="77777777" w:rsidR="00B66342" w:rsidRPr="000F2D05" w:rsidRDefault="00B66342" w:rsidP="00150A72">
      <w:pPr>
        <w:jc w:val="both"/>
        <w:rPr>
          <w:color w:val="FF0000"/>
          <w:szCs w:val="20"/>
        </w:rPr>
      </w:pPr>
    </w:p>
    <w:p w14:paraId="1B5FD43D" w14:textId="124DFE16" w:rsidR="00C05E3E" w:rsidRPr="00F4047B" w:rsidRDefault="00F4047B" w:rsidP="00150A72">
      <w:pPr>
        <w:jc w:val="both"/>
        <w:rPr>
          <w:b/>
          <w:szCs w:val="20"/>
        </w:rPr>
      </w:pPr>
      <w:r w:rsidRPr="00F4047B">
        <w:rPr>
          <w:b/>
          <w:szCs w:val="20"/>
        </w:rPr>
        <w:t xml:space="preserve">Il convient de souligner à ce stade que ce choix </w:t>
      </w:r>
      <w:r>
        <w:rPr>
          <w:b/>
          <w:szCs w:val="20"/>
        </w:rPr>
        <w:t xml:space="preserve">de </w:t>
      </w:r>
      <w:r w:rsidRPr="00F4047B">
        <w:rPr>
          <w:b/>
          <w:szCs w:val="20"/>
        </w:rPr>
        <w:t>pruden</w:t>
      </w:r>
      <w:r>
        <w:rPr>
          <w:b/>
          <w:szCs w:val="20"/>
        </w:rPr>
        <w:t>ce</w:t>
      </w:r>
      <w:r w:rsidRPr="00F4047B">
        <w:rPr>
          <w:b/>
          <w:szCs w:val="20"/>
        </w:rPr>
        <w:t xml:space="preserve"> dans l’évaluation entraîne une sous-estimation des bénéfices de l’ordre de </w:t>
      </w:r>
      <w:r w:rsidR="00105E02">
        <w:rPr>
          <w:b/>
          <w:szCs w:val="20"/>
        </w:rPr>
        <w:t>l’ordre d’une dizaine de</w:t>
      </w:r>
      <w:r w:rsidRPr="00F4047B">
        <w:rPr>
          <w:b/>
          <w:szCs w:val="20"/>
        </w:rPr>
        <w:t xml:space="preserve"> milliards d’euros.</w:t>
      </w:r>
    </w:p>
    <w:p w14:paraId="3583AB99" w14:textId="77777777" w:rsidR="00C71DA4" w:rsidRPr="00C05E3E" w:rsidRDefault="00C71DA4" w:rsidP="00150A72">
      <w:pPr>
        <w:jc w:val="both"/>
        <w:rPr>
          <w:b/>
          <w:color w:val="FF0000"/>
          <w:szCs w:val="20"/>
        </w:rPr>
      </w:pPr>
    </w:p>
    <w:p w14:paraId="197A583E" w14:textId="24AC9730" w:rsidR="00EE52AE" w:rsidRDefault="00EE52AE" w:rsidP="00150A72">
      <w:pPr>
        <w:jc w:val="both"/>
        <w:rPr>
          <w:szCs w:val="20"/>
        </w:rPr>
      </w:pPr>
      <w:r w:rsidRPr="00150A72">
        <w:rPr>
          <w:rFonts w:eastAsia="Times New Roman"/>
          <w:bCs/>
          <w:i/>
          <w:iCs/>
          <w:color w:val="931638"/>
          <w:szCs w:val="20"/>
        </w:rPr>
        <w:t>Les effets urbains</w:t>
      </w:r>
    </w:p>
    <w:p w14:paraId="340CB56B" w14:textId="77777777" w:rsidR="00EE52AE" w:rsidRDefault="00EE52AE" w:rsidP="00150A72">
      <w:pPr>
        <w:jc w:val="both"/>
        <w:rPr>
          <w:szCs w:val="20"/>
        </w:rPr>
      </w:pPr>
    </w:p>
    <w:p w14:paraId="3AEC099D" w14:textId="6CFFE4DC" w:rsidR="00EE52AE" w:rsidRPr="00F4047B" w:rsidRDefault="00F4047B" w:rsidP="00EE52AE">
      <w:pPr>
        <w:jc w:val="both"/>
        <w:rPr>
          <w:szCs w:val="20"/>
        </w:rPr>
      </w:pPr>
      <w:bookmarkStart w:id="130" w:name="_Hlk43708874"/>
      <w:r w:rsidRPr="00F4047B">
        <w:rPr>
          <w:szCs w:val="20"/>
        </w:rPr>
        <w:t>Les</w:t>
      </w:r>
      <w:r w:rsidR="00EE52AE" w:rsidRPr="00F4047B">
        <w:rPr>
          <w:szCs w:val="20"/>
        </w:rPr>
        <w:t xml:space="preserve"> bénéfices concernent également des surplus collectifs liés à </w:t>
      </w:r>
      <w:r w:rsidR="009F680F">
        <w:rPr>
          <w:szCs w:val="20"/>
        </w:rPr>
        <w:t>un moindre étalement</w:t>
      </w:r>
      <w:r w:rsidR="00EE52AE" w:rsidRPr="00F4047B">
        <w:rPr>
          <w:szCs w:val="20"/>
        </w:rPr>
        <w:t xml:space="preserve"> de la croissance de la ville ; dans le long terme, la réalisation du projet de métro automatique permettra un développement urbain plus compact que celui qui se produirait si la mobilité à la périphérie de Paris ne pouvait compter que sur </w:t>
      </w:r>
      <w:r w:rsidR="004D0C17">
        <w:rPr>
          <w:szCs w:val="20"/>
        </w:rPr>
        <w:t>la voie routière</w:t>
      </w:r>
      <w:r w:rsidR="00EE52AE" w:rsidRPr="00F4047B">
        <w:rPr>
          <w:szCs w:val="20"/>
        </w:rPr>
        <w:t xml:space="preserve">. Or, un développement urbain </w:t>
      </w:r>
      <w:r w:rsidR="009F680F">
        <w:rPr>
          <w:szCs w:val="20"/>
        </w:rPr>
        <w:t>un peu plus c</w:t>
      </w:r>
      <w:r w:rsidR="00EE52AE" w:rsidRPr="00F4047B">
        <w:rPr>
          <w:szCs w:val="20"/>
        </w:rPr>
        <w:t xml:space="preserve">ompact est moins coûteux pour la collectivité qu’un développement peu dense de type pavillonnaire. Il est aussi moins énergivore et plus respectueux de l’environnement. Les coûts externes liés à l’étalement urbain correspondent, en effet, aux coûts marginaux de la construction des nouveaux bâtiments en termes de consommation d’espace, d’équipements, d’infrastructures et de services publics. Les coûts unitaires résultant de l’étalement urbain seront donc plus élevés dans un contexte urbain à faible densité que dans un environnement urbain dense, à croissance de population et d’activité donnée. Ces coûts ne sont généralement pas couverts par les ménages ou l’activité qui les créent mais par la collectivité </w:t>
      </w:r>
      <w:r w:rsidR="00D36AD4" w:rsidRPr="00F4047B">
        <w:rPr>
          <w:szCs w:val="20"/>
        </w:rPr>
        <w:t>tout</w:t>
      </w:r>
      <w:r w:rsidR="00EE52AE" w:rsidRPr="00F4047B">
        <w:rPr>
          <w:szCs w:val="20"/>
        </w:rPr>
        <w:t xml:space="preserve"> entière, c’est pourquoi on parle de « coûts externes ». Les coûts externes pris en compte dans ce bilan socio-économique sont :</w:t>
      </w:r>
    </w:p>
    <w:p w14:paraId="0C39A1E8" w14:textId="77777777" w:rsidR="00EE52AE" w:rsidRPr="00F4047B" w:rsidRDefault="00EE52AE" w:rsidP="0083506E">
      <w:pPr>
        <w:numPr>
          <w:ilvl w:val="0"/>
          <w:numId w:val="4"/>
        </w:numPr>
        <w:ind w:left="714" w:hanging="357"/>
        <w:jc w:val="both"/>
        <w:rPr>
          <w:szCs w:val="20"/>
        </w:rPr>
      </w:pPr>
      <w:r w:rsidRPr="00F4047B">
        <w:rPr>
          <w:szCs w:val="20"/>
        </w:rPr>
        <w:t>les coûts liés à la consommation des espaces ruraux situés en périphérie, en lien avec la valeur monétaire que leur accordent les citoyens ;</w:t>
      </w:r>
    </w:p>
    <w:p w14:paraId="1A04FAE7" w14:textId="77777777" w:rsidR="00EE52AE" w:rsidRPr="00F4047B" w:rsidRDefault="00EE52AE" w:rsidP="0083506E">
      <w:pPr>
        <w:numPr>
          <w:ilvl w:val="0"/>
          <w:numId w:val="4"/>
        </w:numPr>
        <w:ind w:left="714" w:hanging="357"/>
        <w:jc w:val="both"/>
        <w:rPr>
          <w:szCs w:val="20"/>
        </w:rPr>
      </w:pPr>
      <w:r w:rsidRPr="00F4047B">
        <w:rPr>
          <w:szCs w:val="20"/>
        </w:rPr>
        <w:t>les investissements d’extension des voiries et réseaux divers (VRD) nécessaires à l’extension des zones d’habitat et d’activité ;</w:t>
      </w:r>
    </w:p>
    <w:p w14:paraId="4C1A3D8B" w14:textId="77777777" w:rsidR="00EE52AE" w:rsidRPr="00F4047B" w:rsidRDefault="00EE52AE" w:rsidP="0083506E">
      <w:pPr>
        <w:numPr>
          <w:ilvl w:val="0"/>
          <w:numId w:val="4"/>
        </w:numPr>
        <w:ind w:left="714" w:hanging="357"/>
        <w:jc w:val="both"/>
        <w:rPr>
          <w:szCs w:val="20"/>
        </w:rPr>
      </w:pPr>
      <w:r w:rsidRPr="00F4047B">
        <w:rPr>
          <w:szCs w:val="20"/>
        </w:rPr>
        <w:t>les suppléments de coûts d’exploitation des services publics et de rénovation des VRD causés par la dispersion des habitations dans les zones peu denses.</w:t>
      </w:r>
    </w:p>
    <w:p w14:paraId="25B7DE3B" w14:textId="77777777" w:rsidR="00EE52AE" w:rsidRPr="00780A09" w:rsidRDefault="00EE52AE" w:rsidP="00EE52AE">
      <w:pPr>
        <w:jc w:val="both"/>
        <w:rPr>
          <w:color w:val="FF0000"/>
          <w:szCs w:val="20"/>
        </w:rPr>
      </w:pPr>
    </w:p>
    <w:p w14:paraId="53394CD8" w14:textId="77777777" w:rsidR="00677AE2" w:rsidRPr="00677AE2" w:rsidRDefault="00F4047B" w:rsidP="00EE52AE">
      <w:pPr>
        <w:jc w:val="both"/>
        <w:rPr>
          <w:szCs w:val="20"/>
        </w:rPr>
      </w:pPr>
      <w:r w:rsidRPr="00677AE2">
        <w:rPr>
          <w:szCs w:val="20"/>
        </w:rPr>
        <w:lastRenderedPageBreak/>
        <w:t>Les recherches économétriques effectuées sur les grandes métropoles françaises</w:t>
      </w:r>
      <w:r w:rsidRPr="00677AE2">
        <w:rPr>
          <w:szCs w:val="20"/>
          <w:vertAlign w:val="superscript"/>
        </w:rPr>
        <w:footnoteReference w:id="64"/>
      </w:r>
      <w:r w:rsidRPr="00677AE2">
        <w:rPr>
          <w:szCs w:val="20"/>
        </w:rPr>
        <w:t xml:space="preserve"> montrent bien que la densification a également des effets bénéfiques sur les coûts des services publics locaux jusqu’à un certain niveau de densité de la population et de l’emploi, et des effets négatifs au-delà d’un seuil qui est atteint seulement dans des zones très denses comme l’est par exemple Paris intra-muros. </w:t>
      </w:r>
    </w:p>
    <w:p w14:paraId="0AEBA0FE" w14:textId="77777777" w:rsidR="00677AE2" w:rsidRDefault="00677AE2" w:rsidP="00EE52AE">
      <w:pPr>
        <w:jc w:val="both"/>
        <w:rPr>
          <w:color w:val="FF0000"/>
          <w:szCs w:val="20"/>
        </w:rPr>
      </w:pPr>
    </w:p>
    <w:p w14:paraId="19D54405" w14:textId="2054E087" w:rsidR="00EE52AE" w:rsidRPr="00F4047B" w:rsidRDefault="00EE52AE" w:rsidP="00EE52AE">
      <w:pPr>
        <w:jc w:val="both"/>
        <w:rPr>
          <w:szCs w:val="20"/>
        </w:rPr>
      </w:pPr>
      <w:r w:rsidRPr="00F4047B">
        <w:rPr>
          <w:szCs w:val="20"/>
        </w:rPr>
        <w:t>Les gains urbains sont calculés comme pour le schéma d’ensemble, en supposant qu’ils atteignent leur régime de croisière à l’horizon de 2035 et qu’ils n’évolueront plus après cette date. Il s’agit d’une hypothèse qui minore fortement les bénéfices urbains de</w:t>
      </w:r>
      <w:r w:rsidR="004D0C17">
        <w:rPr>
          <w:szCs w:val="20"/>
        </w:rPr>
        <w:t>s</w:t>
      </w:r>
      <w:r w:rsidRPr="00F4047B">
        <w:rPr>
          <w:szCs w:val="20"/>
        </w:rPr>
        <w:t xml:space="preserve"> lignes, car on constate déjà en 2020 une très grande dynamique urbaine dans les quartiers de gare du Grand Paris Express situés autour des différentes lignes, et par ailleurs, leur réalisation aura une très grande influence sur les comportements de motorisation, compte tenu de la congestion déjà observée et prévisible dans les zones concernées</w:t>
      </w:r>
      <w:r w:rsidR="004D0C17">
        <w:rPr>
          <w:szCs w:val="20"/>
        </w:rPr>
        <w:t> ;</w:t>
      </w:r>
      <w:r w:rsidRPr="00F4047B">
        <w:rPr>
          <w:szCs w:val="20"/>
        </w:rPr>
        <w:t xml:space="preserve"> </w:t>
      </w:r>
      <w:r w:rsidR="004D0C17">
        <w:rPr>
          <w:szCs w:val="20"/>
        </w:rPr>
        <w:t xml:space="preserve">elle </w:t>
      </w:r>
      <w:r w:rsidRPr="00F4047B">
        <w:rPr>
          <w:szCs w:val="20"/>
        </w:rPr>
        <w:t xml:space="preserve">entraînera des gains cumulatifs ultérieurs. Le niveau des gains associés à la forme urbaine peut s’avérer nettement plus élevé en fonction des mesures d’accompagnement qui seront envisagées par la politique globale d’aménagement des différentes zones concernées. </w:t>
      </w:r>
    </w:p>
    <w:bookmarkEnd w:id="130"/>
    <w:p w14:paraId="259F2B57" w14:textId="77777777" w:rsidR="00EE52AE" w:rsidRPr="00780A09" w:rsidRDefault="00EE52AE" w:rsidP="00EE52AE">
      <w:pPr>
        <w:jc w:val="both"/>
        <w:rPr>
          <w:color w:val="FF0000"/>
          <w:szCs w:val="20"/>
        </w:rPr>
      </w:pPr>
    </w:p>
    <w:p w14:paraId="08AD0C24" w14:textId="28854B52" w:rsidR="00150A72" w:rsidRPr="00D40E9A" w:rsidRDefault="00150A72" w:rsidP="00150A72">
      <w:pPr>
        <w:jc w:val="both"/>
        <w:rPr>
          <w:szCs w:val="20"/>
        </w:rPr>
      </w:pPr>
      <w:r w:rsidRPr="00D40E9A">
        <w:rPr>
          <w:szCs w:val="20"/>
        </w:rPr>
        <w:t xml:space="preserve">D’autres coûts externes importants, tels ceux liés à l’éducation, à la santé et à la sécurité, </w:t>
      </w:r>
      <w:r w:rsidR="003E4A26" w:rsidRPr="00D40E9A">
        <w:rPr>
          <w:szCs w:val="20"/>
        </w:rPr>
        <w:t xml:space="preserve">n’ont </w:t>
      </w:r>
      <w:r w:rsidRPr="00D40E9A">
        <w:rPr>
          <w:szCs w:val="20"/>
        </w:rPr>
        <w:t xml:space="preserve">pas été pris en compte dans le calcul, car </w:t>
      </w:r>
      <w:r w:rsidR="003E4A26" w:rsidRPr="00D40E9A">
        <w:rPr>
          <w:szCs w:val="20"/>
        </w:rPr>
        <w:t xml:space="preserve">on ne dispose </w:t>
      </w:r>
      <w:r w:rsidRPr="00D40E9A">
        <w:rPr>
          <w:szCs w:val="20"/>
        </w:rPr>
        <w:t xml:space="preserve">pas de références en la matière. </w:t>
      </w:r>
    </w:p>
    <w:p w14:paraId="71B77381" w14:textId="77777777" w:rsidR="00150A72" w:rsidRPr="00150A72" w:rsidRDefault="00150A72" w:rsidP="00150A72">
      <w:pPr>
        <w:jc w:val="both"/>
        <w:rPr>
          <w:szCs w:val="20"/>
        </w:rPr>
      </w:pPr>
    </w:p>
    <w:p w14:paraId="25D6FF12" w14:textId="45F2EF83" w:rsidR="00150A72" w:rsidRDefault="00150A72" w:rsidP="00150A72">
      <w:pPr>
        <w:jc w:val="both"/>
        <w:rPr>
          <w:szCs w:val="20"/>
        </w:rPr>
      </w:pPr>
      <w:r w:rsidRPr="00150A72">
        <w:rPr>
          <w:szCs w:val="20"/>
        </w:rPr>
        <w:t xml:space="preserve">L’évaluation statique de ces avantages annuels </w:t>
      </w:r>
      <w:r w:rsidR="004C3929">
        <w:rPr>
          <w:szCs w:val="20"/>
        </w:rPr>
        <w:t>est</w:t>
      </w:r>
      <w:r w:rsidRPr="00150A72">
        <w:rPr>
          <w:szCs w:val="20"/>
        </w:rPr>
        <w:t xml:space="preserve"> la suivante </w:t>
      </w:r>
      <w:r w:rsidR="00826559" w:rsidRPr="00150A72">
        <w:rPr>
          <w:szCs w:val="20"/>
        </w:rPr>
        <w:t>:</w:t>
      </w:r>
      <w:r w:rsidRPr="00150A72">
        <w:rPr>
          <w:szCs w:val="20"/>
        </w:rPr>
        <w:t xml:space="preserve"> </w:t>
      </w:r>
    </w:p>
    <w:p w14:paraId="6CAF0F88" w14:textId="335414B1" w:rsidR="003E2BBC" w:rsidRDefault="003E2BBC" w:rsidP="00150A72">
      <w:pPr>
        <w:jc w:val="both"/>
        <w:rPr>
          <w:szCs w:val="20"/>
        </w:rPr>
      </w:pPr>
    </w:p>
    <w:tbl>
      <w:tblPr>
        <w:tblW w:w="6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32"/>
        <w:gridCol w:w="1395"/>
        <w:gridCol w:w="1396"/>
      </w:tblGrid>
      <w:tr w:rsidR="00150A72" w:rsidRPr="00150A72" w14:paraId="501727D2" w14:textId="77777777" w:rsidTr="00320D6E">
        <w:trPr>
          <w:trHeight w:val="227"/>
          <w:jc w:val="center"/>
        </w:trPr>
        <w:tc>
          <w:tcPr>
            <w:tcW w:w="6623" w:type="dxa"/>
            <w:gridSpan w:val="3"/>
            <w:vAlign w:val="center"/>
          </w:tcPr>
          <w:p w14:paraId="2EB77BDA" w14:textId="53569E98" w:rsidR="00150A72" w:rsidRPr="00150A72" w:rsidRDefault="00150A72" w:rsidP="00150A72">
            <w:pPr>
              <w:jc w:val="center"/>
              <w:rPr>
                <w:rFonts w:cs="Calibri"/>
                <w:szCs w:val="20"/>
                <w:lang w:eastAsia="fr-FR"/>
              </w:rPr>
            </w:pPr>
            <w:r w:rsidRPr="00150A72">
              <w:rPr>
                <w:rFonts w:cs="Calibri"/>
                <w:b/>
                <w:color w:val="931638"/>
                <w:szCs w:val="20"/>
                <w:lang w:eastAsia="fr-FR"/>
              </w:rPr>
              <w:t xml:space="preserve">Option </w:t>
            </w:r>
            <w:r w:rsidR="004C3929">
              <w:rPr>
                <w:rFonts w:cs="Calibri"/>
                <w:b/>
                <w:color w:val="931638"/>
                <w:szCs w:val="20"/>
                <w:lang w:eastAsia="fr-FR"/>
              </w:rPr>
              <w:t>basse</w:t>
            </w:r>
            <w:r w:rsidRPr="00150A72">
              <w:rPr>
                <w:rFonts w:cs="Calibri"/>
                <w:b/>
                <w:color w:val="931638"/>
                <w:szCs w:val="20"/>
                <w:lang w:eastAsia="fr-FR"/>
              </w:rPr>
              <w:t xml:space="preserve"> de projet</w:t>
            </w:r>
          </w:p>
        </w:tc>
      </w:tr>
      <w:tr w:rsidR="00150A72" w:rsidRPr="00150A72" w14:paraId="1B0F2397" w14:textId="77777777" w:rsidTr="00320D6E">
        <w:trPr>
          <w:trHeight w:val="227"/>
          <w:jc w:val="center"/>
        </w:trPr>
        <w:tc>
          <w:tcPr>
            <w:tcW w:w="3832" w:type="dxa"/>
            <w:vAlign w:val="center"/>
          </w:tcPr>
          <w:p w14:paraId="235F8406" w14:textId="50B8EB6D" w:rsidR="00150A72" w:rsidRPr="00150A72" w:rsidRDefault="004C3929" w:rsidP="00150A72">
            <w:pPr>
              <w:jc w:val="both"/>
              <w:rPr>
                <w:rFonts w:cs="Calibri"/>
                <w:i/>
                <w:iCs/>
                <w:szCs w:val="20"/>
                <w:lang w:eastAsia="fr-FR"/>
              </w:rPr>
            </w:pPr>
            <w:r>
              <w:rPr>
                <w:rFonts w:cs="Calibri"/>
                <w:i/>
                <w:szCs w:val="20"/>
                <w:lang w:eastAsia="fr-FR"/>
              </w:rPr>
              <w:t>Avantages</w:t>
            </w:r>
            <w:r w:rsidR="00150A72" w:rsidRPr="00150A72">
              <w:rPr>
                <w:rFonts w:cs="Calibri"/>
                <w:i/>
                <w:szCs w:val="20"/>
                <w:lang w:eastAsia="fr-FR"/>
              </w:rPr>
              <w:t xml:space="preserve"> en</w:t>
            </w:r>
            <w:r w:rsidR="00150A72" w:rsidRPr="00150A72">
              <w:rPr>
                <w:rFonts w:cs="Calibri"/>
                <w:i/>
                <w:iCs/>
                <w:szCs w:val="20"/>
                <w:lang w:eastAsia="fr-FR"/>
              </w:rPr>
              <w:t xml:space="preserve"> milliards </w:t>
            </w:r>
          </w:p>
        </w:tc>
        <w:tc>
          <w:tcPr>
            <w:tcW w:w="1395" w:type="dxa"/>
            <w:vAlign w:val="bottom"/>
          </w:tcPr>
          <w:p w14:paraId="3D1C36BA" w14:textId="4A456745" w:rsidR="00150A72" w:rsidRPr="00150A72" w:rsidRDefault="004C3929" w:rsidP="00150A72">
            <w:pPr>
              <w:jc w:val="center"/>
              <w:rPr>
                <w:rFonts w:cs="Calibri"/>
                <w:szCs w:val="20"/>
                <w:lang w:eastAsia="fr-FR"/>
              </w:rPr>
            </w:pPr>
            <w:r>
              <w:rPr>
                <w:rFonts w:cs="Calibri"/>
                <w:szCs w:val="20"/>
                <w:lang w:eastAsia="fr-FR"/>
              </w:rPr>
              <w:t>Euros 2010</w:t>
            </w:r>
          </w:p>
        </w:tc>
        <w:tc>
          <w:tcPr>
            <w:tcW w:w="1396" w:type="dxa"/>
            <w:vAlign w:val="bottom"/>
          </w:tcPr>
          <w:p w14:paraId="7E6C47E5" w14:textId="5FB40962" w:rsidR="00150A72" w:rsidRPr="00150A72" w:rsidRDefault="004C3929" w:rsidP="00150A72">
            <w:pPr>
              <w:jc w:val="center"/>
              <w:rPr>
                <w:rFonts w:cs="Calibri"/>
                <w:szCs w:val="20"/>
                <w:lang w:eastAsia="fr-FR"/>
              </w:rPr>
            </w:pPr>
            <w:r>
              <w:rPr>
                <w:rFonts w:cs="Calibri"/>
                <w:szCs w:val="20"/>
                <w:lang w:eastAsia="fr-FR"/>
              </w:rPr>
              <w:t>Euros 2015</w:t>
            </w:r>
          </w:p>
        </w:tc>
      </w:tr>
      <w:tr w:rsidR="00B66342" w:rsidRPr="00150A72" w14:paraId="02D433C9" w14:textId="77777777" w:rsidTr="0087255E">
        <w:trPr>
          <w:trHeight w:val="293"/>
          <w:jc w:val="center"/>
        </w:trPr>
        <w:tc>
          <w:tcPr>
            <w:tcW w:w="3832" w:type="dxa"/>
            <w:vAlign w:val="bottom"/>
          </w:tcPr>
          <w:p w14:paraId="2ED51406" w14:textId="77777777" w:rsidR="00B66342" w:rsidRPr="00150A72" w:rsidRDefault="00B66342" w:rsidP="00B66342">
            <w:pPr>
              <w:jc w:val="both"/>
              <w:rPr>
                <w:rFonts w:cs="Calibri"/>
                <w:color w:val="FF0000"/>
                <w:szCs w:val="20"/>
                <w:lang w:eastAsia="fr-FR"/>
              </w:rPr>
            </w:pPr>
            <w:r w:rsidRPr="00150A72">
              <w:rPr>
                <w:rFonts w:cs="Calibri"/>
                <w:color w:val="931638"/>
                <w:szCs w:val="20"/>
                <w:lang w:eastAsia="fr-FR"/>
              </w:rPr>
              <w:t>Gains urbains</w:t>
            </w:r>
          </w:p>
        </w:tc>
        <w:tc>
          <w:tcPr>
            <w:tcW w:w="1395" w:type="dxa"/>
          </w:tcPr>
          <w:p w14:paraId="3F6DFE8D" w14:textId="018763DC" w:rsidR="00B66342" w:rsidRPr="00B66342" w:rsidRDefault="00B66342" w:rsidP="00B66342">
            <w:pPr>
              <w:jc w:val="center"/>
              <w:rPr>
                <w:rFonts w:cs="Calibri"/>
                <w:color w:val="00B050"/>
                <w:szCs w:val="20"/>
                <w:lang w:eastAsia="fr-FR"/>
              </w:rPr>
            </w:pPr>
            <w:r w:rsidRPr="00B66342">
              <w:rPr>
                <w:color w:val="00B050"/>
              </w:rPr>
              <w:t>7,49</w:t>
            </w:r>
          </w:p>
        </w:tc>
        <w:tc>
          <w:tcPr>
            <w:tcW w:w="1396" w:type="dxa"/>
          </w:tcPr>
          <w:p w14:paraId="79CB2EED" w14:textId="48282154" w:rsidR="00B66342" w:rsidRPr="00B66342" w:rsidRDefault="00B66342" w:rsidP="00B66342">
            <w:pPr>
              <w:jc w:val="center"/>
              <w:rPr>
                <w:rFonts w:cs="Calibri"/>
                <w:color w:val="00B050"/>
                <w:szCs w:val="20"/>
                <w:lang w:eastAsia="fr-FR"/>
              </w:rPr>
            </w:pPr>
            <w:r w:rsidRPr="00B66342">
              <w:rPr>
                <w:color w:val="00B050"/>
              </w:rPr>
              <w:t>7,90</w:t>
            </w:r>
          </w:p>
        </w:tc>
      </w:tr>
    </w:tbl>
    <w:p w14:paraId="21D358E6" w14:textId="66F25B4F" w:rsidR="003E2BBC" w:rsidRDefault="003E2BBC" w:rsidP="00150A72">
      <w:pPr>
        <w:jc w:val="both"/>
        <w:rPr>
          <w:szCs w:val="20"/>
        </w:rPr>
      </w:pPr>
    </w:p>
    <w:p w14:paraId="592B1E0B" w14:textId="04A952DD" w:rsidR="00443CDD" w:rsidRPr="00150A72" w:rsidRDefault="00150A72" w:rsidP="00150A72">
      <w:pPr>
        <w:jc w:val="both"/>
        <w:rPr>
          <w:szCs w:val="20"/>
        </w:rPr>
      </w:pPr>
      <w:r w:rsidRPr="00150A72">
        <w:rPr>
          <w:szCs w:val="20"/>
        </w:rPr>
        <w:t>Les gains urbains devraient en toute rigueur comporter également une valeur d’option car la réalisation du métro automatique donne une flexibilité pour les décisions publiques futures que n’offre pas le scénario au fil de l’eau. Cependant la réflexion est encore ouverte pour trouver une méthode opérationnelle pour quantifier aussi bien ces effets cumulatifs que la valeur d’option.</w:t>
      </w:r>
    </w:p>
    <w:p w14:paraId="2B320CBC" w14:textId="77777777" w:rsidR="00150A72" w:rsidRPr="00150A72" w:rsidRDefault="00150A72" w:rsidP="00150A72">
      <w:pPr>
        <w:keepNext/>
        <w:keepLines/>
        <w:spacing w:before="200"/>
        <w:jc w:val="both"/>
        <w:outlineLvl w:val="3"/>
        <w:rPr>
          <w:rFonts w:eastAsia="Times New Roman"/>
          <w:bCs/>
          <w:i/>
          <w:iCs/>
          <w:color w:val="931638"/>
          <w:szCs w:val="20"/>
        </w:rPr>
      </w:pPr>
      <w:r w:rsidRPr="00150A72">
        <w:rPr>
          <w:rFonts w:eastAsia="Times New Roman"/>
          <w:bCs/>
          <w:i/>
          <w:iCs/>
          <w:color w:val="931638"/>
          <w:szCs w:val="20"/>
        </w:rPr>
        <w:t xml:space="preserve">Les effets économiques </w:t>
      </w:r>
    </w:p>
    <w:p w14:paraId="3A1F4A76" w14:textId="77777777" w:rsidR="00150A72" w:rsidRPr="00150A72" w:rsidRDefault="00150A72" w:rsidP="00150A72">
      <w:pPr>
        <w:jc w:val="both"/>
        <w:rPr>
          <w:szCs w:val="20"/>
        </w:rPr>
      </w:pPr>
    </w:p>
    <w:p w14:paraId="5D785341" w14:textId="77777777" w:rsidR="00150A72" w:rsidRPr="00150A72" w:rsidRDefault="00150A72" w:rsidP="00150A72">
      <w:pPr>
        <w:jc w:val="both"/>
        <w:rPr>
          <w:szCs w:val="20"/>
        </w:rPr>
      </w:pPr>
      <w:r w:rsidRPr="00150A72">
        <w:rPr>
          <w:szCs w:val="20"/>
        </w:rPr>
        <w:t xml:space="preserve">Les effets économiques se situent à plusieurs niveaux. </w:t>
      </w:r>
    </w:p>
    <w:p w14:paraId="140E7D2D" w14:textId="77777777" w:rsidR="00D81C2E" w:rsidRDefault="00D81C2E" w:rsidP="00150A72">
      <w:pPr>
        <w:jc w:val="both"/>
        <w:rPr>
          <w:b/>
          <w:szCs w:val="20"/>
        </w:rPr>
      </w:pPr>
    </w:p>
    <w:p w14:paraId="64A3B1AC" w14:textId="38CD74B3" w:rsidR="009F680F" w:rsidRPr="00150A72" w:rsidRDefault="00150A72" w:rsidP="00150A72">
      <w:pPr>
        <w:jc w:val="both"/>
        <w:rPr>
          <w:szCs w:val="20"/>
        </w:rPr>
      </w:pPr>
      <w:r w:rsidRPr="00150A72">
        <w:rPr>
          <w:b/>
          <w:szCs w:val="20"/>
        </w:rPr>
        <w:t>Les activités vont se développer plus fortement dans les différentes zones agglomérées de la première couronne</w:t>
      </w:r>
      <w:r w:rsidRPr="00150A72">
        <w:rPr>
          <w:szCs w:val="20"/>
        </w:rPr>
        <w:t>, là où la productivité est plus élevée, plutôt que dans les zones périphériques où les productivités sont les plus faibles. Ces réallocations directes de la croissance et cette densification relative dans les zones déjà les plus productives se traduisent par deux types d</w:t>
      </w:r>
      <w:r w:rsidR="00D40E9A">
        <w:rPr>
          <w:szCs w:val="20"/>
        </w:rPr>
        <w:t xml:space="preserve">’effets d’agglomération </w:t>
      </w:r>
      <w:r w:rsidRPr="00150A72">
        <w:rPr>
          <w:szCs w:val="20"/>
        </w:rPr>
        <w:t>complémentaires :</w:t>
      </w:r>
    </w:p>
    <w:p w14:paraId="710AED0B" w14:textId="405EA188" w:rsidR="00150A72" w:rsidRPr="00150A72" w:rsidRDefault="00150A72" w:rsidP="00105E02">
      <w:pPr>
        <w:numPr>
          <w:ilvl w:val="0"/>
          <w:numId w:val="40"/>
        </w:numPr>
        <w:jc w:val="both"/>
        <w:rPr>
          <w:szCs w:val="20"/>
        </w:rPr>
      </w:pPr>
      <w:r w:rsidRPr="00C97B58">
        <w:rPr>
          <w:szCs w:val="20"/>
        </w:rPr>
        <w:t xml:space="preserve">d’une part, des </w:t>
      </w:r>
      <w:r w:rsidR="00D40E9A">
        <w:rPr>
          <w:szCs w:val="20"/>
        </w:rPr>
        <w:t xml:space="preserve">effets statiques, </w:t>
      </w:r>
      <w:r w:rsidRPr="00C97B58">
        <w:rPr>
          <w:szCs w:val="20"/>
        </w:rPr>
        <w:t xml:space="preserve">surcroîts de productivité entraînés par l’augmentation de la </w:t>
      </w:r>
      <w:r w:rsidR="00D40E9A">
        <w:rPr>
          <w:szCs w:val="20"/>
        </w:rPr>
        <w:t xml:space="preserve">simple </w:t>
      </w:r>
      <w:r w:rsidRPr="00C97B58">
        <w:rPr>
          <w:szCs w:val="20"/>
        </w:rPr>
        <w:t xml:space="preserve">densité des activités </w:t>
      </w:r>
      <w:r w:rsidR="00D40E9A">
        <w:rPr>
          <w:szCs w:val="20"/>
        </w:rPr>
        <w:t>(</w:t>
      </w:r>
      <w:r w:rsidRPr="00C97B58">
        <w:rPr>
          <w:szCs w:val="20"/>
        </w:rPr>
        <w:t>l’amélioration du potentiel marchand n’est pas encore</w:t>
      </w:r>
      <w:r w:rsidR="00826559" w:rsidRPr="00C97B58">
        <w:rPr>
          <w:szCs w:val="20"/>
        </w:rPr>
        <w:t xml:space="preserve"> pris</w:t>
      </w:r>
      <w:r w:rsidR="00D40E9A">
        <w:rPr>
          <w:szCs w:val="20"/>
        </w:rPr>
        <w:t>e</w:t>
      </w:r>
      <w:r w:rsidRPr="00C97B58">
        <w:rPr>
          <w:szCs w:val="20"/>
        </w:rPr>
        <w:t xml:space="preserve"> en compte dans cette évaluation de </w:t>
      </w:r>
      <w:r w:rsidR="00A962C2" w:rsidRPr="00C97B58">
        <w:rPr>
          <w:szCs w:val="20"/>
        </w:rPr>
        <w:t>2020</w:t>
      </w:r>
      <w:r w:rsidR="00D40E9A">
        <w:rPr>
          <w:szCs w:val="20"/>
        </w:rPr>
        <w:t xml:space="preserve"> comme on l’a vu plus haut</w:t>
      </w:r>
      <w:r w:rsidR="00830DC0" w:rsidRPr="00C97B58">
        <w:rPr>
          <w:szCs w:val="20"/>
        </w:rPr>
        <w:t>)</w:t>
      </w:r>
      <w:r w:rsidR="00830DC0" w:rsidRPr="00150A72">
        <w:rPr>
          <w:szCs w:val="20"/>
        </w:rPr>
        <w:t xml:space="preserve"> ;</w:t>
      </w:r>
    </w:p>
    <w:p w14:paraId="4B34BCBA" w14:textId="732AF936" w:rsidR="00150A72" w:rsidRPr="00150A72" w:rsidRDefault="00150A72" w:rsidP="00105E02">
      <w:pPr>
        <w:numPr>
          <w:ilvl w:val="0"/>
          <w:numId w:val="40"/>
        </w:numPr>
        <w:jc w:val="both"/>
        <w:rPr>
          <w:szCs w:val="20"/>
        </w:rPr>
      </w:pPr>
      <w:r w:rsidRPr="00150A72">
        <w:rPr>
          <w:szCs w:val="20"/>
        </w:rPr>
        <w:t xml:space="preserve">d’autre part, </w:t>
      </w:r>
      <w:r w:rsidR="00D40E9A">
        <w:rPr>
          <w:szCs w:val="20"/>
        </w:rPr>
        <w:t xml:space="preserve">des effets dynamiques </w:t>
      </w:r>
      <w:r w:rsidRPr="00150A72">
        <w:rPr>
          <w:szCs w:val="20"/>
        </w:rPr>
        <w:t>car les études récentes montrent que les qualifications et productivités des travailleurs progressent plus vite dans un environnement de haute productivité, au-delà de la préférence des personnes les plus qualifiées et des entreprises de forte valeur ajoutée pour les grandes agglomérations.</w:t>
      </w:r>
    </w:p>
    <w:p w14:paraId="4138FD9E" w14:textId="77777777" w:rsidR="00150A72" w:rsidRPr="00150A72" w:rsidRDefault="00150A72" w:rsidP="00150A72">
      <w:pPr>
        <w:jc w:val="both"/>
        <w:rPr>
          <w:szCs w:val="20"/>
        </w:rPr>
      </w:pPr>
    </w:p>
    <w:p w14:paraId="42666C44" w14:textId="33F71886" w:rsidR="00150A72" w:rsidRPr="00150A72" w:rsidRDefault="00150A72" w:rsidP="00150A72">
      <w:pPr>
        <w:jc w:val="both"/>
        <w:rPr>
          <w:bCs/>
          <w:szCs w:val="20"/>
        </w:rPr>
      </w:pPr>
      <w:r w:rsidRPr="00150A72">
        <w:rPr>
          <w:bCs/>
          <w:szCs w:val="20"/>
        </w:rPr>
        <w:t>Les prévisions de la répartition des emplois et de la population utilisées par la Société du Grand Paris pour apprécier l’impact de la réalisation du Grand Paris Express sur la densification du développement de la région d’Île-de-France sont issues de l’analyse des résultats donnés par le modèle UrbanSim</w:t>
      </w:r>
      <w:r w:rsidR="004D0C17">
        <w:rPr>
          <w:bCs/>
          <w:szCs w:val="20"/>
        </w:rPr>
        <w:t>, comme on l’a vu plus haut (pages 25 et 37-38)</w:t>
      </w:r>
      <w:r w:rsidRPr="00150A72">
        <w:rPr>
          <w:bCs/>
          <w:szCs w:val="20"/>
        </w:rPr>
        <w:t>.</w:t>
      </w:r>
    </w:p>
    <w:p w14:paraId="330EC990" w14:textId="75488A56" w:rsidR="00150A72" w:rsidRPr="00A97B5D" w:rsidRDefault="00150A72" w:rsidP="00150A72">
      <w:pPr>
        <w:jc w:val="both"/>
        <w:rPr>
          <w:szCs w:val="20"/>
        </w:rPr>
      </w:pPr>
      <w:r w:rsidRPr="00A97B5D">
        <w:rPr>
          <w:szCs w:val="20"/>
        </w:rPr>
        <w:t xml:space="preserve">Les effets </w:t>
      </w:r>
      <w:r w:rsidR="00440D42" w:rsidRPr="00A97B5D">
        <w:rPr>
          <w:szCs w:val="20"/>
        </w:rPr>
        <w:t xml:space="preserve">d’agglomération </w:t>
      </w:r>
      <w:r w:rsidRPr="00A97B5D">
        <w:rPr>
          <w:szCs w:val="20"/>
        </w:rPr>
        <w:t xml:space="preserve">liés à cette réallocation </w:t>
      </w:r>
      <w:r w:rsidR="00A97B5D" w:rsidRPr="00A97B5D">
        <w:rPr>
          <w:szCs w:val="20"/>
        </w:rPr>
        <w:t xml:space="preserve">spatiale </w:t>
      </w:r>
      <w:r w:rsidRPr="00A97B5D">
        <w:rPr>
          <w:szCs w:val="20"/>
        </w:rPr>
        <w:t xml:space="preserve">de la croissance </w:t>
      </w:r>
      <w:r w:rsidR="00D81C2E" w:rsidRPr="00A97B5D">
        <w:rPr>
          <w:szCs w:val="20"/>
        </w:rPr>
        <w:t>sont les suivants</w:t>
      </w:r>
      <w:r w:rsidRPr="00A97B5D">
        <w:rPr>
          <w:rFonts w:cs="Cambria"/>
          <w:szCs w:val="20"/>
          <w:vertAlign w:val="superscript"/>
        </w:rPr>
        <w:footnoteReference w:id="65"/>
      </w:r>
      <w:r w:rsidRPr="00A97B5D">
        <w:rPr>
          <w:szCs w:val="20"/>
        </w:rPr>
        <w:t>.</w:t>
      </w:r>
    </w:p>
    <w:p w14:paraId="59577A0B" w14:textId="77777777" w:rsidR="00150A72" w:rsidRPr="00150A72" w:rsidRDefault="00150A72" w:rsidP="00150A72">
      <w:pPr>
        <w:jc w:val="both"/>
        <w:rPr>
          <w:szCs w:val="20"/>
        </w:rPr>
      </w:pPr>
    </w:p>
    <w:tbl>
      <w:tblPr>
        <w:tblW w:w="6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32"/>
        <w:gridCol w:w="1531"/>
        <w:gridCol w:w="1531"/>
      </w:tblGrid>
      <w:tr w:rsidR="00150A72" w:rsidRPr="00150A72" w14:paraId="59E8CF6F" w14:textId="77777777" w:rsidTr="00320D6E">
        <w:trPr>
          <w:trHeight w:val="227"/>
          <w:jc w:val="center"/>
        </w:trPr>
        <w:tc>
          <w:tcPr>
            <w:tcW w:w="6894" w:type="dxa"/>
            <w:gridSpan w:val="3"/>
            <w:vAlign w:val="center"/>
          </w:tcPr>
          <w:p w14:paraId="0BF1E4F2" w14:textId="2AC3D5FD" w:rsidR="00150A72" w:rsidRPr="006A3171" w:rsidRDefault="00150A72" w:rsidP="00150A72">
            <w:pPr>
              <w:jc w:val="center"/>
              <w:rPr>
                <w:rFonts w:cs="Calibri"/>
                <w:color w:val="931638"/>
                <w:szCs w:val="20"/>
                <w:lang w:eastAsia="fr-FR"/>
              </w:rPr>
            </w:pPr>
            <w:r w:rsidRPr="006A3171">
              <w:rPr>
                <w:rFonts w:cs="Calibri"/>
                <w:b/>
                <w:color w:val="931638"/>
                <w:szCs w:val="20"/>
                <w:lang w:eastAsia="fr-FR"/>
              </w:rPr>
              <w:t xml:space="preserve">Option </w:t>
            </w:r>
            <w:r w:rsidR="00D81C2E" w:rsidRPr="006A3171">
              <w:rPr>
                <w:rFonts w:cs="Calibri"/>
                <w:b/>
                <w:color w:val="931638"/>
                <w:szCs w:val="20"/>
                <w:lang w:eastAsia="fr-FR"/>
              </w:rPr>
              <w:t>basse</w:t>
            </w:r>
            <w:r w:rsidRPr="006A3171">
              <w:rPr>
                <w:rFonts w:cs="Calibri"/>
                <w:b/>
                <w:color w:val="931638"/>
                <w:szCs w:val="20"/>
                <w:lang w:eastAsia="fr-FR"/>
              </w:rPr>
              <w:t xml:space="preserve"> de projet</w:t>
            </w:r>
          </w:p>
        </w:tc>
      </w:tr>
      <w:tr w:rsidR="00150A72" w:rsidRPr="00150A72" w14:paraId="76C7CD9A" w14:textId="77777777" w:rsidTr="00320D6E">
        <w:trPr>
          <w:trHeight w:val="227"/>
          <w:jc w:val="center"/>
        </w:trPr>
        <w:tc>
          <w:tcPr>
            <w:tcW w:w="3832" w:type="dxa"/>
            <w:vAlign w:val="center"/>
          </w:tcPr>
          <w:p w14:paraId="536AC604" w14:textId="3BECB45B" w:rsidR="00150A72" w:rsidRPr="00150A72" w:rsidRDefault="00D81C2E" w:rsidP="00150A72">
            <w:pPr>
              <w:jc w:val="both"/>
              <w:rPr>
                <w:rFonts w:cs="Calibri"/>
                <w:i/>
                <w:iCs/>
                <w:szCs w:val="20"/>
                <w:lang w:eastAsia="fr-FR"/>
              </w:rPr>
            </w:pPr>
            <w:r>
              <w:rPr>
                <w:rFonts w:cs="Calibri"/>
                <w:szCs w:val="20"/>
                <w:lang w:eastAsia="fr-FR"/>
              </w:rPr>
              <w:t>Avantages en</w:t>
            </w:r>
            <w:r w:rsidR="00150A72" w:rsidRPr="00150A72">
              <w:rPr>
                <w:rFonts w:cs="Calibri"/>
                <w:i/>
                <w:iCs/>
                <w:szCs w:val="20"/>
                <w:lang w:eastAsia="fr-FR"/>
              </w:rPr>
              <w:t xml:space="preserve"> milliards </w:t>
            </w:r>
          </w:p>
        </w:tc>
        <w:tc>
          <w:tcPr>
            <w:tcW w:w="1531" w:type="dxa"/>
            <w:vAlign w:val="bottom"/>
          </w:tcPr>
          <w:p w14:paraId="7C243F80" w14:textId="580B0341" w:rsidR="00150A72" w:rsidRPr="00150A72" w:rsidRDefault="00D81C2E" w:rsidP="00150A72">
            <w:pPr>
              <w:jc w:val="center"/>
              <w:rPr>
                <w:rFonts w:cs="Calibri"/>
                <w:szCs w:val="20"/>
                <w:lang w:eastAsia="fr-FR"/>
              </w:rPr>
            </w:pPr>
            <w:r>
              <w:rPr>
                <w:rFonts w:cs="Calibri"/>
                <w:szCs w:val="20"/>
                <w:lang w:eastAsia="fr-FR"/>
              </w:rPr>
              <w:t>Euros 2010</w:t>
            </w:r>
          </w:p>
        </w:tc>
        <w:tc>
          <w:tcPr>
            <w:tcW w:w="1531" w:type="dxa"/>
            <w:vAlign w:val="bottom"/>
          </w:tcPr>
          <w:p w14:paraId="15A50544" w14:textId="4335D763" w:rsidR="00150A72" w:rsidRPr="00150A72" w:rsidRDefault="00D81C2E" w:rsidP="00150A72">
            <w:pPr>
              <w:jc w:val="center"/>
              <w:rPr>
                <w:rFonts w:cs="Calibri"/>
                <w:szCs w:val="20"/>
                <w:lang w:eastAsia="fr-FR"/>
              </w:rPr>
            </w:pPr>
            <w:r>
              <w:rPr>
                <w:rFonts w:cs="Calibri"/>
                <w:szCs w:val="20"/>
                <w:lang w:eastAsia="fr-FR"/>
              </w:rPr>
              <w:t>Euros 2015</w:t>
            </w:r>
          </w:p>
        </w:tc>
      </w:tr>
      <w:tr w:rsidR="00B66342" w:rsidRPr="00150A72" w14:paraId="37CD3F73" w14:textId="77777777" w:rsidTr="00875BA2">
        <w:trPr>
          <w:trHeight w:val="206"/>
          <w:jc w:val="center"/>
        </w:trPr>
        <w:tc>
          <w:tcPr>
            <w:tcW w:w="3832" w:type="dxa"/>
            <w:vAlign w:val="bottom"/>
          </w:tcPr>
          <w:p w14:paraId="02C9AC18" w14:textId="77777777" w:rsidR="00B66342" w:rsidRPr="00150A72" w:rsidRDefault="00B66342" w:rsidP="00B66342">
            <w:pPr>
              <w:jc w:val="both"/>
              <w:rPr>
                <w:rFonts w:cs="Calibri"/>
                <w:color w:val="931638"/>
                <w:szCs w:val="20"/>
                <w:lang w:eastAsia="fr-FR"/>
              </w:rPr>
            </w:pPr>
            <w:r w:rsidRPr="00150A72">
              <w:rPr>
                <w:rFonts w:cs="Calibri"/>
                <w:color w:val="931638"/>
                <w:szCs w:val="20"/>
                <w:lang w:eastAsia="fr-FR"/>
              </w:rPr>
              <w:t>Effets d’agglomération</w:t>
            </w:r>
          </w:p>
        </w:tc>
        <w:tc>
          <w:tcPr>
            <w:tcW w:w="1531" w:type="dxa"/>
          </w:tcPr>
          <w:p w14:paraId="0DDBCC18" w14:textId="61B262C6" w:rsidR="00B66342" w:rsidRPr="00B66342" w:rsidRDefault="00B66342" w:rsidP="00B66342">
            <w:pPr>
              <w:jc w:val="center"/>
            </w:pPr>
            <w:r w:rsidRPr="00B66342">
              <w:t>11,27</w:t>
            </w:r>
          </w:p>
        </w:tc>
        <w:tc>
          <w:tcPr>
            <w:tcW w:w="1531" w:type="dxa"/>
          </w:tcPr>
          <w:p w14:paraId="4431711D" w14:textId="5363E4F5" w:rsidR="00B66342" w:rsidRPr="00B66342" w:rsidRDefault="00B66342" w:rsidP="00B66342">
            <w:pPr>
              <w:jc w:val="center"/>
            </w:pPr>
            <w:r w:rsidRPr="00B66342">
              <w:t>11,90</w:t>
            </w:r>
          </w:p>
        </w:tc>
      </w:tr>
    </w:tbl>
    <w:p w14:paraId="5807F76B" w14:textId="05754D91" w:rsidR="00150A72" w:rsidRDefault="00150A72" w:rsidP="00150A72">
      <w:pPr>
        <w:jc w:val="both"/>
        <w:rPr>
          <w:szCs w:val="20"/>
        </w:rPr>
      </w:pPr>
    </w:p>
    <w:p w14:paraId="44AB9924" w14:textId="5A5CB278" w:rsidR="00150A72" w:rsidRPr="00150A72" w:rsidRDefault="00150A72" w:rsidP="00150A72">
      <w:pPr>
        <w:jc w:val="both"/>
        <w:rPr>
          <w:szCs w:val="20"/>
        </w:rPr>
      </w:pPr>
      <w:r w:rsidRPr="00150A72">
        <w:rPr>
          <w:szCs w:val="20"/>
        </w:rPr>
        <w:t>La littérature économique existante indique que l’élasticité productivité-densité (c’est-à-dire le rapport entre le pourcentage d’augmentation de la productivité moyenne des entreprises et celui de la densité de l’emploi) est inscrite dans une fourchette très large, comprise entre 1,5% et 5%, les données moyennes pour le passé en France étant de 2,4%. Ces élasticités sont plus fortes pour les secteurs des services ou les activités les plus innovantes, et en moyenne plus fortes pour les grandes métropoles, comme l’ont montré les études faites aux Etats-Unis. Dans la mesure où les études économétriques actuelles ne fournissent pas de données directement applicables à la métropole parisienne, la Société du Grand Paris avait retenu cette donnée moyenne de 2,4% pour les effets directs d’agglomération, et s’est inspirée de la méthode utilisée au Royaume-Uni pour le projet Crossrail pour le calcul des effets de réallocation intra régionale de la croissance de l’emploi. Par exemple, si on avait appliqué directement la méthode utilisée au Royaume-Uni aussi bien pour les effets d’agglomération que pour les effets de réallocation intra régionale de la croissance de l’emploi, le niveau des bénéfices aurait été au moins de</w:t>
      </w:r>
      <w:r w:rsidRPr="00150A72">
        <w:rPr>
          <w:i/>
          <w:color w:val="FF0000"/>
          <w:szCs w:val="20"/>
        </w:rPr>
        <w:t xml:space="preserve"> </w:t>
      </w:r>
      <w:r w:rsidRPr="00150A72">
        <w:rPr>
          <w:szCs w:val="20"/>
        </w:rPr>
        <w:t>2 milliards d’euros</w:t>
      </w:r>
      <w:r w:rsidRPr="00150A72">
        <w:rPr>
          <w:i/>
          <w:szCs w:val="20"/>
        </w:rPr>
        <w:t xml:space="preserve"> </w:t>
      </w:r>
      <w:r w:rsidRPr="00150A72">
        <w:rPr>
          <w:szCs w:val="20"/>
        </w:rPr>
        <w:t xml:space="preserve">en moyenne annuelle en 2035, soit le double de ce qui est retenu dans la présente évaluation. </w:t>
      </w:r>
      <w:r w:rsidR="00A73FCD">
        <w:rPr>
          <w:szCs w:val="20"/>
        </w:rPr>
        <w:t>On s’appuie sur les prévisions de croissance différentielle de l’emploi par commune pour effectuer la balance entre</w:t>
      </w:r>
      <w:r w:rsidR="004D0C17">
        <w:rPr>
          <w:szCs w:val="20"/>
        </w:rPr>
        <w:t xml:space="preserve"> d’une part</w:t>
      </w:r>
      <w:r w:rsidR="00A73FCD">
        <w:rPr>
          <w:szCs w:val="20"/>
        </w:rPr>
        <w:t xml:space="preserve"> les effets positifs mesurables dans les zones </w:t>
      </w:r>
      <w:r w:rsidR="004D0C17">
        <w:rPr>
          <w:szCs w:val="20"/>
        </w:rPr>
        <w:t>où</w:t>
      </w:r>
      <w:r w:rsidR="00A73FCD">
        <w:rPr>
          <w:szCs w:val="20"/>
        </w:rPr>
        <w:t xml:space="preserve"> la réalisation du Grand Paris Express aura un effet positif sur la croissance différentielle de l’emploi et donc sur l’augmentation de la densité et </w:t>
      </w:r>
      <w:r w:rsidR="004D0C17">
        <w:rPr>
          <w:szCs w:val="20"/>
        </w:rPr>
        <w:t xml:space="preserve">d’autre part </w:t>
      </w:r>
      <w:r w:rsidR="00A73FCD">
        <w:rPr>
          <w:szCs w:val="20"/>
        </w:rPr>
        <w:t>les effets négatifs dans les zones où au contraire la mise en service du Grand Paris Express aura un effet négatif sur la croissance différentielle de l’emploi et donc de la densité de l’emploi.</w:t>
      </w:r>
    </w:p>
    <w:p w14:paraId="30F23F89" w14:textId="77777777" w:rsidR="00685955" w:rsidRDefault="00685955" w:rsidP="00150A72">
      <w:pPr>
        <w:jc w:val="both"/>
        <w:rPr>
          <w:szCs w:val="20"/>
        </w:rPr>
      </w:pPr>
    </w:p>
    <w:p w14:paraId="53B2B7BF" w14:textId="74138B93" w:rsidR="00A97B5D" w:rsidRPr="00A97B5D" w:rsidRDefault="00150A72" w:rsidP="00150A72">
      <w:pPr>
        <w:jc w:val="both"/>
        <w:rPr>
          <w:b/>
          <w:bCs/>
          <w:szCs w:val="20"/>
        </w:rPr>
      </w:pPr>
      <w:r w:rsidRPr="00150A72">
        <w:rPr>
          <w:szCs w:val="20"/>
        </w:rPr>
        <w:t xml:space="preserve">Les connaissances nouvelles intervenues au cours de ces dernières années sur les effets d’agglomération permettent désormais d’approcher ces questions </w:t>
      </w:r>
      <w:r w:rsidR="004D0C17">
        <w:rPr>
          <w:szCs w:val="20"/>
        </w:rPr>
        <w:t xml:space="preserve">d’une manière plus fine </w:t>
      </w:r>
      <w:r w:rsidRPr="00150A72">
        <w:rPr>
          <w:szCs w:val="20"/>
        </w:rPr>
        <w:t xml:space="preserve">et </w:t>
      </w:r>
      <w:r w:rsidR="00105E02" w:rsidRPr="00150A72">
        <w:rPr>
          <w:szCs w:val="20"/>
        </w:rPr>
        <w:t xml:space="preserve">de quantifier </w:t>
      </w:r>
      <w:r w:rsidRPr="00150A72">
        <w:rPr>
          <w:szCs w:val="20"/>
        </w:rPr>
        <w:t xml:space="preserve">les effets d’une </w:t>
      </w:r>
      <w:r w:rsidR="009F3B0F" w:rsidRPr="00A97B5D">
        <w:rPr>
          <w:szCs w:val="20"/>
        </w:rPr>
        <w:t xml:space="preserve">façon </w:t>
      </w:r>
      <w:r w:rsidRPr="00150A72">
        <w:rPr>
          <w:szCs w:val="20"/>
        </w:rPr>
        <w:t xml:space="preserve">plus robuste. </w:t>
      </w:r>
      <w:r w:rsidR="004D0C17">
        <w:rPr>
          <w:szCs w:val="20"/>
        </w:rPr>
        <w:t>Le</w:t>
      </w:r>
      <w:r w:rsidR="00A97B5D">
        <w:rPr>
          <w:szCs w:val="20"/>
        </w:rPr>
        <w:t xml:space="preserve"> </w:t>
      </w:r>
      <w:r w:rsidRPr="00150A72">
        <w:rPr>
          <w:szCs w:val="20"/>
        </w:rPr>
        <w:t xml:space="preserve">Conseil Scientifique a </w:t>
      </w:r>
      <w:r w:rsidR="00A97B5D">
        <w:rPr>
          <w:szCs w:val="20"/>
        </w:rPr>
        <w:t>bien souligné</w:t>
      </w:r>
      <w:r w:rsidRPr="00150A72">
        <w:rPr>
          <w:szCs w:val="20"/>
        </w:rPr>
        <w:t xml:space="preserve"> que les effets d’agglomération calculés sur la base des estimations des élasticités productivité-densité sont essentiellement liés au changement de densité et que « selon cette vision, qui cherche à écarter tout double compte et tout biais d’endogénéité,  les effets d’agglomération sont considérés comme nuls s’il n’y a pas de changement dans les localisations, ce qui peut conduire à des résultats paradoxaux et à une sous-estimation probable de ces effets ».</w:t>
      </w:r>
      <w:r w:rsidR="00D81C2E">
        <w:rPr>
          <w:szCs w:val="20"/>
        </w:rPr>
        <w:t xml:space="preserve"> </w:t>
      </w:r>
      <w:r w:rsidRPr="00150A72">
        <w:rPr>
          <w:szCs w:val="20"/>
        </w:rPr>
        <w:t xml:space="preserve">Les résultats les plus récents des études effectuées sur les variations de productivité associées à la fois aux effets de potentiel de marché et aux effets de la densification, en éliminant les doubles comptes, suggèrent en effet que l’évaluation complète des effets d’agglomération </w:t>
      </w:r>
      <w:r w:rsidR="00030029">
        <w:rPr>
          <w:szCs w:val="20"/>
        </w:rPr>
        <w:t>pourrait</w:t>
      </w:r>
      <w:r w:rsidRPr="00150A72">
        <w:rPr>
          <w:szCs w:val="20"/>
        </w:rPr>
        <w:t xml:space="preserve"> </w:t>
      </w:r>
      <w:r w:rsidR="00826559" w:rsidRPr="00150A72">
        <w:rPr>
          <w:szCs w:val="20"/>
        </w:rPr>
        <w:t xml:space="preserve">être </w:t>
      </w:r>
      <w:r w:rsidR="009F680F">
        <w:rPr>
          <w:szCs w:val="20"/>
        </w:rPr>
        <w:t xml:space="preserve">très </w:t>
      </w:r>
      <w:r w:rsidR="00826559" w:rsidRPr="00150A72">
        <w:rPr>
          <w:szCs w:val="20"/>
        </w:rPr>
        <w:t>supérieure</w:t>
      </w:r>
      <w:r w:rsidRPr="00150A72">
        <w:rPr>
          <w:szCs w:val="20"/>
        </w:rPr>
        <w:t xml:space="preserve"> </w:t>
      </w:r>
      <w:r w:rsidR="00030029">
        <w:rPr>
          <w:szCs w:val="20"/>
        </w:rPr>
        <w:t>aux chiffres fournis dans la présente évaluation</w:t>
      </w:r>
      <w:r w:rsidRPr="00150A72">
        <w:rPr>
          <w:szCs w:val="20"/>
          <w:vertAlign w:val="superscript"/>
        </w:rPr>
        <w:footnoteReference w:id="66"/>
      </w:r>
      <w:r w:rsidR="00030029">
        <w:rPr>
          <w:szCs w:val="20"/>
        </w:rPr>
        <w:t>.</w:t>
      </w:r>
      <w:r w:rsidR="00A97B5D">
        <w:rPr>
          <w:szCs w:val="20"/>
        </w:rPr>
        <w:t xml:space="preserve"> </w:t>
      </w:r>
      <w:r w:rsidR="00A97B5D" w:rsidRPr="00A97B5D">
        <w:rPr>
          <w:b/>
          <w:bCs/>
          <w:szCs w:val="20"/>
        </w:rPr>
        <w:t xml:space="preserve">Les premiers calculs effectués pour apprécier cette sous-estimation montrent que ce sont entre 5 milliards et 10 milliards d’euros qu’il conviendrait d’ajouter </w:t>
      </w:r>
      <w:r w:rsidR="004D0C17">
        <w:rPr>
          <w:b/>
          <w:bCs/>
          <w:szCs w:val="20"/>
        </w:rPr>
        <w:t xml:space="preserve">aux résultats retenus dans ce document </w:t>
      </w:r>
      <w:r w:rsidR="00A97B5D" w:rsidRPr="00A97B5D">
        <w:rPr>
          <w:b/>
          <w:bCs/>
          <w:szCs w:val="20"/>
        </w:rPr>
        <w:t>pour tenir compte des améliorations de productivité induites par le renforcement de l’accessibilité interne de la région.</w:t>
      </w:r>
    </w:p>
    <w:p w14:paraId="12FD9085" w14:textId="77777777" w:rsidR="00150A72" w:rsidRPr="00150A72" w:rsidRDefault="00150A72" w:rsidP="00150A72">
      <w:pPr>
        <w:jc w:val="both"/>
        <w:rPr>
          <w:szCs w:val="20"/>
        </w:rPr>
      </w:pPr>
    </w:p>
    <w:p w14:paraId="593DD6D5" w14:textId="02ED4654" w:rsidR="00150A72" w:rsidRPr="00150A72" w:rsidRDefault="00150A72" w:rsidP="00150A72">
      <w:pPr>
        <w:pBdr>
          <w:top w:val="single" w:sz="8" w:space="1" w:color="931638"/>
          <w:left w:val="single" w:sz="8" w:space="4" w:color="931638"/>
          <w:bottom w:val="single" w:sz="8" w:space="1" w:color="931638"/>
          <w:right w:val="single" w:sz="8" w:space="4" w:color="931638"/>
        </w:pBdr>
        <w:shd w:val="clear" w:color="auto" w:fill="E6D8C3"/>
        <w:ind w:left="284"/>
        <w:jc w:val="both"/>
      </w:pPr>
      <w:r w:rsidRPr="00150A72">
        <w:rPr>
          <w:b/>
        </w:rPr>
        <w:t>Les très grandes infrastructures de transport et l’économie</w:t>
      </w:r>
      <w:r w:rsidRPr="00150A72">
        <w:rPr>
          <w:b/>
          <w:vertAlign w:val="superscript"/>
        </w:rPr>
        <w:footnoteReference w:id="67"/>
      </w:r>
      <w:r w:rsidRPr="00150A72">
        <w:rPr>
          <w:b/>
        </w:rPr>
        <w:t> :</w:t>
      </w:r>
    </w:p>
    <w:p w14:paraId="34678EC2" w14:textId="77777777" w:rsidR="00150A72" w:rsidRPr="00150A72" w:rsidRDefault="00150A72" w:rsidP="00150A72">
      <w:pPr>
        <w:pBdr>
          <w:top w:val="single" w:sz="8" w:space="1" w:color="931638"/>
          <w:left w:val="single" w:sz="8" w:space="4" w:color="931638"/>
          <w:bottom w:val="single" w:sz="8" w:space="1" w:color="931638"/>
          <w:right w:val="single" w:sz="8" w:space="4" w:color="931638"/>
        </w:pBdr>
        <w:shd w:val="clear" w:color="auto" w:fill="E6D8C3"/>
        <w:ind w:left="284"/>
        <w:jc w:val="both"/>
      </w:pPr>
      <w:r w:rsidRPr="00150A72">
        <w:rPr>
          <w:szCs w:val="20"/>
        </w:rPr>
        <w:t xml:space="preserve">Les très grandes infrastructures de réseaux (ferrés, électriques, routiers, numériques…) sont particulièrement difficiles à appréhender pour les économistes. Certains de ces investissements ne peuvent en effet s’apprécier qu’à l’échelle du siècle car leurs effets cumulatifs sont considérables. Les analyses de caractère marginaliste mises en œuvre pour les apprécier sont particulièrement réductrices, d’autant plus que celles-ci sont basées sur des projections tendancielles. Que seraient Paris ou Londres, dans leur dynamique économique et leur rayonnement international, si on n’avait </w:t>
      </w:r>
      <w:r w:rsidRPr="00150A72">
        <w:rPr>
          <w:szCs w:val="20"/>
        </w:rPr>
        <w:lastRenderedPageBreak/>
        <w:t>pas réalisé au XIX</w:t>
      </w:r>
      <w:r w:rsidRPr="00150A72">
        <w:rPr>
          <w:szCs w:val="20"/>
          <w:vertAlign w:val="superscript"/>
        </w:rPr>
        <w:t>ème</w:t>
      </w:r>
      <w:r w:rsidRPr="00150A72">
        <w:rPr>
          <w:szCs w:val="20"/>
        </w:rPr>
        <w:t xml:space="preserve"> siècle les grandes infrastructures que sont les égouts ou le métro, ou que serait la carte de la quasi-totalité des grands pays avancés sans les chemins de fer ? La rentabilité a posteriori de ces grandes infrastructures est beaucoup plus importante que ce qui aurait pu être prévu avec les techniques d’évaluation socio-économique aujourd’hui en vigueur.</w:t>
      </w:r>
    </w:p>
    <w:p w14:paraId="3C1E9F01" w14:textId="746CBF4B" w:rsidR="00150A72" w:rsidRPr="00150A72" w:rsidRDefault="00150A72" w:rsidP="00150A72">
      <w:pPr>
        <w:pBdr>
          <w:top w:val="single" w:sz="8" w:space="1" w:color="931638"/>
          <w:left w:val="single" w:sz="8" w:space="4" w:color="931638"/>
          <w:bottom w:val="single" w:sz="8" w:space="1" w:color="931638"/>
          <w:right w:val="single" w:sz="8" w:space="4" w:color="931638"/>
        </w:pBdr>
        <w:shd w:val="clear" w:color="auto" w:fill="E6D8C3"/>
        <w:ind w:left="284"/>
        <w:jc w:val="both"/>
        <w:rPr>
          <w:szCs w:val="20"/>
        </w:rPr>
      </w:pPr>
      <w:r w:rsidRPr="00150A72">
        <w:rPr>
          <w:szCs w:val="20"/>
        </w:rPr>
        <w:t>La littérature scientifique existante tend à conclure aujourd’hui à un impact réel des grandes infrastructures de réseaux sur la localisation des activités et même à un effet positif sur la croissance. Le changement de potentiel marchand rendu possible par les infrastructures attire l’activité économique et la population. Le déploiement des infrastructures</w:t>
      </w:r>
      <w:r w:rsidR="00074935">
        <w:rPr>
          <w:szCs w:val="20"/>
        </w:rPr>
        <w:t xml:space="preserve"> urbaines</w:t>
      </w:r>
      <w:r w:rsidRPr="00150A72">
        <w:rPr>
          <w:szCs w:val="20"/>
        </w:rPr>
        <w:t>, facilitant la mobilité des biens et des personnes, peut permettre de pallier l’un des principaux problèmes des économies urbaines : la ségrégation des populations et le fait que des quartiers entiers soient maintenus à l’écart du marché du travail, car le marché foncier tend à regrouper aux mêmes endroits les personnes ayant les mêmes disponibilités à payer. Certains habitants peuvent de plus se trouver piégés dans le chômage, ayant un coût d’accès trop important aux emplois pour pouvoir efficacement chercher du travail. Si leurs quartiers sont desservis par les nouveaux réseaux, les investissements dans les infrastructures permettent de résoudre une partie des difficultés d’accès à l’emploi des populations les plus défavorisées.</w:t>
      </w:r>
    </w:p>
    <w:p w14:paraId="4E63863E" w14:textId="77777777" w:rsidR="00150A72" w:rsidRPr="00150A72" w:rsidRDefault="00150A72" w:rsidP="00150A72">
      <w:pPr>
        <w:pBdr>
          <w:top w:val="single" w:sz="8" w:space="1" w:color="931638"/>
          <w:left w:val="single" w:sz="8" w:space="4" w:color="931638"/>
          <w:bottom w:val="single" w:sz="8" w:space="1" w:color="931638"/>
          <w:right w:val="single" w:sz="8" w:space="4" w:color="931638"/>
        </w:pBdr>
        <w:shd w:val="clear" w:color="auto" w:fill="E6D8C3"/>
        <w:ind w:left="284"/>
        <w:jc w:val="both"/>
      </w:pPr>
      <w:r w:rsidRPr="00150A72">
        <w:rPr>
          <w:szCs w:val="20"/>
        </w:rPr>
        <w:t>La rentabilité de l’infrastructure s’apprécie à la faveur des flux attendus compte tenu des populations et des emplois constatés. Elle doit également intégrer les effets de l’infrastructure sur les choix de déplacement (modes de transports et itinéraires), ceux des nouvelles gares et des nouvelles connexions sur l’attractivité et la densité des quartiers environnants, que ce soit pour accueillir des entreprises ou des ménages. Plus largement, elle devrait inclure les effets à long terme de ces changements sur l’évolution des aménités urbaines et des préférences des acteurs économiques (notamment l’idée qu’ils se font des différents quartiers).</w:t>
      </w:r>
    </w:p>
    <w:p w14:paraId="3B22D05F" w14:textId="77777777" w:rsidR="00150A72" w:rsidRPr="00150A72" w:rsidRDefault="00150A72" w:rsidP="00150A72">
      <w:pPr>
        <w:pBdr>
          <w:top w:val="single" w:sz="8" w:space="1" w:color="931638"/>
          <w:left w:val="single" w:sz="8" w:space="4" w:color="931638"/>
          <w:bottom w:val="single" w:sz="8" w:space="1" w:color="931638"/>
          <w:right w:val="single" w:sz="8" w:space="4" w:color="931638"/>
        </w:pBdr>
        <w:shd w:val="clear" w:color="auto" w:fill="E6D8C3"/>
        <w:ind w:left="284"/>
        <w:jc w:val="both"/>
      </w:pPr>
      <w:r w:rsidRPr="00150A72">
        <w:rPr>
          <w:szCs w:val="20"/>
        </w:rPr>
        <w:t>Compte tenu de l’impact à long terme de ces grandes infrastructures urbaines, et de la forte incertitude sur la quantification de leurs effets, l’intérêt économique de ces investissements dépend d’une séquence de décisions publiques futures qui vont en augmenter l’impact, et est souvent le fruit d’un processus auto-entretenu d’anticipations : la stabilité, la réactivité et l’implication des institutions dans l’accompagnement des projets sont donc fondamentales pour leur réussite. Les options prises aujourd’hui en matière d’infrastructures de transports en commun seront déterminantes : les décisions actuelles favorisant la densification sont un facteur favorable pour le futur, et nécessaire car, à défaut, la poursuite de l’étalement urbain rendrait encore plus difficile la densification de demain.</w:t>
      </w:r>
    </w:p>
    <w:p w14:paraId="5C53D2B1" w14:textId="77777777" w:rsidR="00105E02" w:rsidRPr="00150A72" w:rsidRDefault="00105E02" w:rsidP="00105E02">
      <w:pPr>
        <w:jc w:val="both"/>
        <w:rPr>
          <w:szCs w:val="20"/>
        </w:rPr>
      </w:pPr>
    </w:p>
    <w:p w14:paraId="16C6C245" w14:textId="77777777" w:rsidR="00105E02" w:rsidRPr="00150A72" w:rsidRDefault="00105E02" w:rsidP="00105E02">
      <w:pPr>
        <w:jc w:val="both"/>
        <w:rPr>
          <w:szCs w:val="20"/>
        </w:rPr>
      </w:pPr>
      <w:r w:rsidRPr="00150A72">
        <w:rPr>
          <w:szCs w:val="20"/>
        </w:rPr>
        <w:t xml:space="preserve">Par ailleurs, </w:t>
      </w:r>
      <w:r w:rsidRPr="00150A72">
        <w:rPr>
          <w:b/>
          <w:szCs w:val="20"/>
        </w:rPr>
        <w:t>la création du réseau du Grand Paris</w:t>
      </w:r>
      <w:r>
        <w:rPr>
          <w:b/>
          <w:szCs w:val="20"/>
        </w:rPr>
        <w:t xml:space="preserve"> Express</w:t>
      </w:r>
      <w:r w:rsidRPr="00150A72">
        <w:rPr>
          <w:b/>
          <w:szCs w:val="20"/>
        </w:rPr>
        <w:t xml:space="preserve"> aura un effet sur la croissance de l’emploi</w:t>
      </w:r>
      <w:r w:rsidRPr="00150A72">
        <w:rPr>
          <w:szCs w:val="20"/>
        </w:rPr>
        <w:t xml:space="preserve">. </w:t>
      </w:r>
    </w:p>
    <w:p w14:paraId="2CE37324" w14:textId="77777777" w:rsidR="00A92F98" w:rsidRPr="00150A72" w:rsidRDefault="00A92F98" w:rsidP="00A92F98">
      <w:pPr>
        <w:jc w:val="both"/>
        <w:rPr>
          <w:szCs w:val="20"/>
        </w:rPr>
      </w:pPr>
    </w:p>
    <w:p w14:paraId="2CC50804" w14:textId="77777777" w:rsidR="00A92F98" w:rsidRPr="00A97B5D" w:rsidRDefault="00A92F98" w:rsidP="00A92F98">
      <w:pPr>
        <w:jc w:val="both"/>
        <w:rPr>
          <w:szCs w:val="20"/>
        </w:rPr>
      </w:pPr>
      <w:r w:rsidRPr="00A97B5D">
        <w:rPr>
          <w:szCs w:val="20"/>
        </w:rPr>
        <w:t xml:space="preserve">Les travaux intervenus depuis les années 2010 permettent d’assurer aujourd’hui avec une certaine robustesse la réalité de l’impact de la réalisation du Grand Paris Express sur l’emploi, et même de considérer que </w:t>
      </w:r>
      <w:r w:rsidRPr="00A97B5D">
        <w:rPr>
          <w:b/>
          <w:bCs/>
          <w:szCs w:val="20"/>
        </w:rPr>
        <w:t>le niveau des emplois créés à long terme se situe entre 115</w:t>
      </w:r>
      <w:r>
        <w:rPr>
          <w:b/>
          <w:bCs/>
          <w:szCs w:val="20"/>
        </w:rPr>
        <w:t> </w:t>
      </w:r>
      <w:r w:rsidRPr="00A97B5D">
        <w:rPr>
          <w:b/>
          <w:bCs/>
          <w:szCs w:val="20"/>
        </w:rPr>
        <w:t>000 et 315</w:t>
      </w:r>
      <w:r>
        <w:rPr>
          <w:b/>
          <w:bCs/>
          <w:szCs w:val="20"/>
        </w:rPr>
        <w:t> </w:t>
      </w:r>
      <w:r w:rsidRPr="00A97B5D">
        <w:rPr>
          <w:b/>
          <w:bCs/>
          <w:szCs w:val="20"/>
        </w:rPr>
        <w:t>000 emplois, et probablement aux alentours de 200</w:t>
      </w:r>
      <w:r>
        <w:rPr>
          <w:b/>
          <w:bCs/>
          <w:szCs w:val="20"/>
        </w:rPr>
        <w:t> </w:t>
      </w:r>
      <w:r w:rsidRPr="00A97B5D">
        <w:rPr>
          <w:b/>
          <w:bCs/>
          <w:szCs w:val="20"/>
        </w:rPr>
        <w:t>000 emplois</w:t>
      </w:r>
      <w:r w:rsidRPr="00A97B5D">
        <w:rPr>
          <w:szCs w:val="20"/>
          <w:vertAlign w:val="superscript"/>
        </w:rPr>
        <w:footnoteReference w:id="68"/>
      </w:r>
      <w:r w:rsidRPr="00A97B5D">
        <w:rPr>
          <w:szCs w:val="20"/>
        </w:rPr>
        <w:t xml:space="preserve">. </w:t>
      </w:r>
      <w:r w:rsidRPr="00B8382F">
        <w:rPr>
          <w:b/>
          <w:bCs/>
          <w:szCs w:val="20"/>
        </w:rPr>
        <w:t>Le scénario bas reste cependant le scénario de base de ce présent document, ce qui fait perdre à la valorisation des emplois un montant très élevé de bénéfices qui peut être d’un niveau équivalent aux bénéfices liés aux nouveaux emplois tels que repris dans la présente évaluation.</w:t>
      </w:r>
    </w:p>
    <w:p w14:paraId="41A0A90C" w14:textId="77777777" w:rsidR="00114ABB" w:rsidRDefault="00114ABB" w:rsidP="00114ABB">
      <w:pPr>
        <w:jc w:val="both"/>
        <w:rPr>
          <w:szCs w:val="20"/>
        </w:rPr>
      </w:pPr>
    </w:p>
    <w:p w14:paraId="0A479121" w14:textId="77777777" w:rsidR="0069226C" w:rsidRDefault="0069226C" w:rsidP="0069226C">
      <w:pPr>
        <w:jc w:val="both"/>
        <w:rPr>
          <w:b/>
          <w:color w:val="FF0000"/>
          <w:sz w:val="22"/>
          <w:szCs w:val="20"/>
        </w:rPr>
      </w:pPr>
    </w:p>
    <w:p w14:paraId="76976172" w14:textId="77777777" w:rsidR="0069226C" w:rsidRDefault="0069226C" w:rsidP="0069226C">
      <w:pPr>
        <w:jc w:val="both"/>
        <w:rPr>
          <w:szCs w:val="20"/>
        </w:rPr>
      </w:pPr>
      <w:r w:rsidRPr="00150A72">
        <w:rPr>
          <w:szCs w:val="20"/>
        </w:rPr>
        <w:t>Les emplois de haute valeur ajoutée, pour lesquels la région capitale est en concurrence avec les autres grandes métropoles mondiales, ne sont que faiblement captés au détriment du reste du territoire, mais plutôt au détriment des autres grandes métropoles européennes ou mondiales avec lesquelles la région capitale est en concurrence pour l’attraction des emplois internationaux. Les emplois de proximité (ou présentiels) induits ne sont pas compensés par des suppressions d’emplois dans les autres régions et il en est de même des emplois certes de moindre qualification probablement créés du fait de l’amélioration du marché du travail de la région : dans ces conditions, les 115</w:t>
      </w:r>
      <w:r>
        <w:rPr>
          <w:szCs w:val="20"/>
        </w:rPr>
        <w:t> </w:t>
      </w:r>
      <w:r w:rsidRPr="00150A72">
        <w:rPr>
          <w:szCs w:val="20"/>
        </w:rPr>
        <w:t xml:space="preserve">000 emplois </w:t>
      </w:r>
      <w:r w:rsidRPr="00150A72">
        <w:rPr>
          <w:szCs w:val="20"/>
        </w:rPr>
        <w:t xml:space="preserve">supplémentaires associés à l’option </w:t>
      </w:r>
      <w:r>
        <w:rPr>
          <w:szCs w:val="20"/>
        </w:rPr>
        <w:t>basse</w:t>
      </w:r>
      <w:r w:rsidRPr="00150A72">
        <w:rPr>
          <w:szCs w:val="20"/>
        </w:rPr>
        <w:t xml:space="preserve"> à un horizon 2030 sont une création d’emplois nets nouveaux pour le pays, comme l’ont montré les simulations effectuées avec l’aide du modèle RHOMOLO de la commission européenne et le modèle REGINA.  </w:t>
      </w:r>
    </w:p>
    <w:p w14:paraId="054D21FA" w14:textId="77777777" w:rsidR="004246BE" w:rsidRDefault="004246BE" w:rsidP="004412E1">
      <w:pPr>
        <w:jc w:val="both"/>
        <w:rPr>
          <w:szCs w:val="20"/>
        </w:rPr>
      </w:pPr>
    </w:p>
    <w:p w14:paraId="4B8217B6" w14:textId="7A09CC36" w:rsidR="00114ABB" w:rsidRPr="00150A72" w:rsidRDefault="00114ABB" w:rsidP="00114ABB">
      <w:pPr>
        <w:jc w:val="both"/>
        <w:rPr>
          <w:szCs w:val="20"/>
        </w:rPr>
      </w:pPr>
      <w:r w:rsidRPr="00150A72">
        <w:rPr>
          <w:szCs w:val="20"/>
        </w:rPr>
        <w:t xml:space="preserve">Le PIB additionnel pour le pays est donc de </w:t>
      </w:r>
      <w:r w:rsidR="00A46C4F">
        <w:rPr>
          <w:szCs w:val="20"/>
        </w:rPr>
        <w:t>12</w:t>
      </w:r>
      <w:r w:rsidRPr="00150A72">
        <w:rPr>
          <w:szCs w:val="20"/>
        </w:rPr>
        <w:t xml:space="preserve"> milliards d’euros sur la base d’un PIB moyen par emploi de 10</w:t>
      </w:r>
      <w:r w:rsidR="00A46C4F">
        <w:rPr>
          <w:szCs w:val="20"/>
        </w:rPr>
        <w:t>7</w:t>
      </w:r>
      <w:r w:rsidR="0084080B">
        <w:rPr>
          <w:szCs w:val="20"/>
        </w:rPr>
        <w:t> </w:t>
      </w:r>
      <w:r w:rsidRPr="00150A72">
        <w:rPr>
          <w:szCs w:val="20"/>
        </w:rPr>
        <w:t>000 euros dans la région Île-de-France, en valeur 201</w:t>
      </w:r>
      <w:r w:rsidR="00A46C4F">
        <w:rPr>
          <w:szCs w:val="20"/>
        </w:rPr>
        <w:t>5</w:t>
      </w:r>
      <w:r w:rsidRPr="00150A72">
        <w:rPr>
          <w:szCs w:val="20"/>
        </w:rPr>
        <w:t xml:space="preserve">. Il faut souligner qu’une augmentation du PIB dans la région Île-de-France bénéficie directement à l’ensemble des autres régions françaises du fait des dispositifs redistributifs à l’échelle du pays car, </w:t>
      </w:r>
      <w:r w:rsidR="00672C86">
        <w:rPr>
          <w:szCs w:val="20"/>
        </w:rPr>
        <w:t>comme on l’a montré et à l’encontre des idées reçues</w:t>
      </w:r>
      <w:r w:rsidRPr="00150A72">
        <w:rPr>
          <w:szCs w:val="20"/>
        </w:rPr>
        <w:t xml:space="preserve">, la richesse produite en Île-de-France nourrit la province. La redistribution entre Paris et la province a augmenté fortement à partir des années 1980 ; </w:t>
      </w:r>
      <w:r w:rsidR="00C36348">
        <w:rPr>
          <w:szCs w:val="20"/>
        </w:rPr>
        <w:t xml:space="preserve">d’après les dernières statistiques disponibles de l’INSEE, </w:t>
      </w:r>
      <w:r w:rsidRPr="00150A72">
        <w:rPr>
          <w:szCs w:val="20"/>
        </w:rPr>
        <w:t>la part de la production de l’Île-de-France dans le PIB de la France a augmenté (3</w:t>
      </w:r>
      <w:r w:rsidR="00C36348">
        <w:rPr>
          <w:szCs w:val="20"/>
        </w:rPr>
        <w:t>1,0</w:t>
      </w:r>
      <w:r w:rsidRPr="00150A72">
        <w:rPr>
          <w:szCs w:val="20"/>
        </w:rPr>
        <w:t>% en 201</w:t>
      </w:r>
      <w:r w:rsidR="00C36348">
        <w:rPr>
          <w:szCs w:val="20"/>
        </w:rPr>
        <w:t>5</w:t>
      </w:r>
      <w:r w:rsidRPr="00150A72">
        <w:rPr>
          <w:szCs w:val="20"/>
        </w:rPr>
        <w:t>), mais sa part du revenu disponible du pays n’a cessé de diminuer (22,</w:t>
      </w:r>
      <w:r w:rsidR="00C36348">
        <w:rPr>
          <w:szCs w:val="20"/>
        </w:rPr>
        <w:t>2</w:t>
      </w:r>
      <w:r w:rsidRPr="00150A72">
        <w:rPr>
          <w:szCs w:val="20"/>
        </w:rPr>
        <w:t>% en 201</w:t>
      </w:r>
      <w:r w:rsidR="00C36348">
        <w:rPr>
          <w:szCs w:val="20"/>
        </w:rPr>
        <w:t>5</w:t>
      </w:r>
      <w:r w:rsidRPr="00150A72">
        <w:rPr>
          <w:szCs w:val="20"/>
        </w:rPr>
        <w:t xml:space="preserve">), alors que les chiffres étaient de 27% et de 25% au moment des Trente Glorieuses. </w:t>
      </w:r>
    </w:p>
    <w:p w14:paraId="58D47F9A" w14:textId="77777777" w:rsidR="003E2BBC" w:rsidRDefault="003E2BBC" w:rsidP="00150A72">
      <w:pPr>
        <w:jc w:val="both"/>
        <w:rPr>
          <w:szCs w:val="20"/>
        </w:rPr>
      </w:pPr>
    </w:p>
    <w:p w14:paraId="6B3012A8" w14:textId="48214D60" w:rsidR="00150A72" w:rsidRPr="00B8382F" w:rsidRDefault="00150A72" w:rsidP="00150A72">
      <w:pPr>
        <w:jc w:val="both"/>
        <w:rPr>
          <w:szCs w:val="20"/>
        </w:rPr>
      </w:pPr>
      <w:r w:rsidRPr="00B8382F">
        <w:rPr>
          <w:szCs w:val="20"/>
        </w:rPr>
        <w:t xml:space="preserve">L’évaluation du surplus de bien-être associé à ces créations </w:t>
      </w:r>
      <w:r w:rsidR="00826559" w:rsidRPr="00B8382F">
        <w:rPr>
          <w:szCs w:val="20"/>
        </w:rPr>
        <w:t xml:space="preserve">d’emplois </w:t>
      </w:r>
      <w:r w:rsidR="00D81C2E" w:rsidRPr="00B8382F">
        <w:rPr>
          <w:szCs w:val="20"/>
        </w:rPr>
        <w:t>peut être faite</w:t>
      </w:r>
      <w:r w:rsidRPr="00B8382F">
        <w:rPr>
          <w:szCs w:val="20"/>
        </w:rPr>
        <w:t xml:space="preserve"> de </w:t>
      </w:r>
      <w:r w:rsidR="00D81C2E" w:rsidRPr="00B8382F">
        <w:rPr>
          <w:szCs w:val="20"/>
        </w:rPr>
        <w:t xml:space="preserve">deux </w:t>
      </w:r>
      <w:r w:rsidRPr="00B8382F">
        <w:rPr>
          <w:szCs w:val="20"/>
        </w:rPr>
        <w:t xml:space="preserve">manières. </w:t>
      </w:r>
    </w:p>
    <w:p w14:paraId="2E489D76" w14:textId="77777777" w:rsidR="00150A72" w:rsidRPr="00150A72" w:rsidRDefault="00150A72" w:rsidP="00150A72">
      <w:pPr>
        <w:jc w:val="both"/>
        <w:rPr>
          <w:szCs w:val="20"/>
        </w:rPr>
      </w:pPr>
    </w:p>
    <w:p w14:paraId="32CD7708" w14:textId="1D7A2C86" w:rsidR="00150A72" w:rsidRPr="00150A72" w:rsidRDefault="00150A72" w:rsidP="00150A72">
      <w:pPr>
        <w:jc w:val="both"/>
        <w:rPr>
          <w:szCs w:val="20"/>
        </w:rPr>
      </w:pPr>
      <w:r w:rsidRPr="00150A72">
        <w:rPr>
          <w:szCs w:val="20"/>
        </w:rPr>
        <w:t>Une première approche consist</w:t>
      </w:r>
      <w:r w:rsidR="00D81C2E">
        <w:rPr>
          <w:szCs w:val="20"/>
        </w:rPr>
        <w:t>e</w:t>
      </w:r>
      <w:r w:rsidRPr="00150A72">
        <w:rPr>
          <w:szCs w:val="20"/>
        </w:rPr>
        <w:t xml:space="preserve"> à appliquer un taux de « coin </w:t>
      </w:r>
      <w:r w:rsidR="00886274" w:rsidRPr="00B8382F">
        <w:rPr>
          <w:szCs w:val="20"/>
        </w:rPr>
        <w:t>socio-fiscal</w:t>
      </w:r>
      <w:r w:rsidR="00672C86">
        <w:rPr>
          <w:szCs w:val="20"/>
        </w:rPr>
        <w:t> »</w:t>
      </w:r>
      <w:r w:rsidR="00886274" w:rsidRPr="00B8382F">
        <w:rPr>
          <w:szCs w:val="20"/>
        </w:rPr>
        <w:t xml:space="preserve"> </w:t>
      </w:r>
      <w:r w:rsidR="00672C86" w:rsidRPr="00150A72">
        <w:rPr>
          <w:szCs w:val="20"/>
        </w:rPr>
        <w:t>au surcroît de PIB attendu</w:t>
      </w:r>
      <w:r w:rsidRPr="00150A72">
        <w:rPr>
          <w:szCs w:val="20"/>
        </w:rPr>
        <w:t xml:space="preserve"> (</w:t>
      </w:r>
      <w:r w:rsidR="00672C86">
        <w:rPr>
          <w:szCs w:val="20"/>
        </w:rPr>
        <w:t xml:space="preserve">le </w:t>
      </w:r>
      <w:r w:rsidR="00672C86" w:rsidRPr="00150A72">
        <w:rPr>
          <w:szCs w:val="20"/>
        </w:rPr>
        <w:t xml:space="preserve">« coin </w:t>
      </w:r>
      <w:r w:rsidR="00672C86" w:rsidRPr="00B8382F">
        <w:rPr>
          <w:szCs w:val="20"/>
        </w:rPr>
        <w:t>socio-fiscal</w:t>
      </w:r>
      <w:r w:rsidR="00672C86">
        <w:rPr>
          <w:szCs w:val="20"/>
        </w:rPr>
        <w:t> »</w:t>
      </w:r>
      <w:r w:rsidR="00672C86" w:rsidRPr="00B8382F">
        <w:rPr>
          <w:szCs w:val="20"/>
        </w:rPr>
        <w:t xml:space="preserve"> </w:t>
      </w:r>
      <w:r w:rsidR="00672C86">
        <w:rPr>
          <w:szCs w:val="20"/>
        </w:rPr>
        <w:t xml:space="preserve">est </w:t>
      </w:r>
      <w:r w:rsidRPr="00150A72">
        <w:rPr>
          <w:szCs w:val="20"/>
        </w:rPr>
        <w:t xml:space="preserve">l’écart entre le coût salarial total supporté par l’employeur et le revenu net disponible du salarié, </w:t>
      </w:r>
      <w:r w:rsidR="00672C86">
        <w:rPr>
          <w:szCs w:val="20"/>
        </w:rPr>
        <w:t xml:space="preserve">et est </w:t>
      </w:r>
      <w:r w:rsidRPr="00150A72">
        <w:rPr>
          <w:szCs w:val="20"/>
        </w:rPr>
        <w:t xml:space="preserve">égal à la somme des cotisations sociales et de l’impôt sur le revenu). Avec un taux </w:t>
      </w:r>
      <w:r w:rsidR="00A46C4F">
        <w:rPr>
          <w:szCs w:val="20"/>
        </w:rPr>
        <w:t xml:space="preserve">minimum </w:t>
      </w:r>
      <w:r w:rsidRPr="00150A72">
        <w:rPr>
          <w:szCs w:val="20"/>
        </w:rPr>
        <w:t>de 4</w:t>
      </w:r>
      <w:r w:rsidR="00A46C4F">
        <w:rPr>
          <w:szCs w:val="20"/>
        </w:rPr>
        <w:t>0</w:t>
      </w:r>
      <w:r w:rsidRPr="00150A72">
        <w:rPr>
          <w:szCs w:val="20"/>
        </w:rPr>
        <w:t xml:space="preserve">%, appliqué à </w:t>
      </w:r>
      <w:r w:rsidR="00A46C4F">
        <w:rPr>
          <w:szCs w:val="20"/>
        </w:rPr>
        <w:t>12</w:t>
      </w:r>
      <w:r w:rsidRPr="00150A72">
        <w:rPr>
          <w:szCs w:val="20"/>
        </w:rPr>
        <w:t xml:space="preserve"> milliards d’euros, cela donnait un minimum de 4,</w:t>
      </w:r>
      <w:r w:rsidR="00A46C4F">
        <w:rPr>
          <w:szCs w:val="20"/>
        </w:rPr>
        <w:t>8</w:t>
      </w:r>
      <w:r w:rsidRPr="00150A72">
        <w:rPr>
          <w:szCs w:val="20"/>
        </w:rPr>
        <w:t xml:space="preserve"> milliards d’euros par an en valeur 201</w:t>
      </w:r>
      <w:r w:rsidR="00A46C4F">
        <w:rPr>
          <w:szCs w:val="20"/>
        </w:rPr>
        <w:t>5</w:t>
      </w:r>
      <w:r w:rsidRPr="00150A72">
        <w:rPr>
          <w:szCs w:val="20"/>
        </w:rPr>
        <w:t xml:space="preserve">. C’est ce chiffre considérable qui aurait dû être retenu en toute hypothèse (comme le prescrivent d‘ailleurs les instructions en vigueur au Royaume Uni). </w:t>
      </w:r>
    </w:p>
    <w:p w14:paraId="0F5C4C78" w14:textId="77777777" w:rsidR="00150A72" w:rsidRPr="00150A72" w:rsidRDefault="00150A72" w:rsidP="00150A72">
      <w:pPr>
        <w:jc w:val="both"/>
        <w:rPr>
          <w:szCs w:val="20"/>
        </w:rPr>
      </w:pPr>
    </w:p>
    <w:p w14:paraId="7FDF3687" w14:textId="77777777" w:rsidR="00A13130" w:rsidRDefault="00150A72" w:rsidP="00150A72">
      <w:pPr>
        <w:jc w:val="both"/>
        <w:rPr>
          <w:szCs w:val="20"/>
        </w:rPr>
      </w:pPr>
      <w:r w:rsidRPr="00150A72">
        <w:rPr>
          <w:szCs w:val="20"/>
        </w:rPr>
        <w:t>Une deuxième approche</w:t>
      </w:r>
      <w:r w:rsidR="004246BE">
        <w:rPr>
          <w:szCs w:val="20"/>
        </w:rPr>
        <w:t xml:space="preserve"> nettement</w:t>
      </w:r>
      <w:r w:rsidRPr="00150A72">
        <w:rPr>
          <w:szCs w:val="20"/>
        </w:rPr>
        <w:t xml:space="preserve"> plus restrictive </w:t>
      </w:r>
      <w:r w:rsidR="00D81C2E">
        <w:rPr>
          <w:szCs w:val="20"/>
        </w:rPr>
        <w:t>est</w:t>
      </w:r>
      <w:r w:rsidRPr="00150A72">
        <w:rPr>
          <w:szCs w:val="20"/>
        </w:rPr>
        <w:t xml:space="preserve"> </w:t>
      </w:r>
      <w:r w:rsidR="004246BE">
        <w:rPr>
          <w:szCs w:val="20"/>
        </w:rPr>
        <w:t xml:space="preserve">retenue ici par prudence. Elle consiste à </w:t>
      </w:r>
      <w:r w:rsidRPr="00150A72">
        <w:rPr>
          <w:szCs w:val="20"/>
        </w:rPr>
        <w:t>considérer que le surplus lié à ces créations d’emplois provient des économies réalisées par l’Etat du fait de la réduction du chômage associée à ces emplois supplémentaires. Pour calculer ces économies, on pouvait partir des données publiées par le Ministère du travail qui avait évalué à 50,1 milliards d’euros en 2010 les dépenses en faveur du marché du travail. Par ailleurs, le montant des seules allocations chômage représente la moitié de ce chiffre pour un total de 2,5 millions de chômeurs en 2010, et donc 10</w:t>
      </w:r>
      <w:r w:rsidR="00481342">
        <w:rPr>
          <w:szCs w:val="20"/>
        </w:rPr>
        <w:t> </w:t>
      </w:r>
      <w:r w:rsidRPr="00150A72">
        <w:rPr>
          <w:szCs w:val="20"/>
        </w:rPr>
        <w:t>000 euros par chômeu</w:t>
      </w:r>
      <w:r w:rsidR="00B8382F">
        <w:rPr>
          <w:szCs w:val="20"/>
        </w:rPr>
        <w:t xml:space="preserve">r </w:t>
      </w:r>
      <w:r w:rsidR="00B8382F" w:rsidRPr="00677AE2">
        <w:rPr>
          <w:szCs w:val="20"/>
        </w:rPr>
        <w:t>et</w:t>
      </w:r>
      <w:r w:rsidR="00886274" w:rsidRPr="00677AE2">
        <w:rPr>
          <w:szCs w:val="20"/>
        </w:rPr>
        <w:t xml:space="preserve"> pour chacun des 115</w:t>
      </w:r>
      <w:r w:rsidR="00481342">
        <w:rPr>
          <w:szCs w:val="20"/>
        </w:rPr>
        <w:t> </w:t>
      </w:r>
      <w:r w:rsidR="00886274" w:rsidRPr="00677AE2">
        <w:rPr>
          <w:szCs w:val="20"/>
        </w:rPr>
        <w:t>000 emplois créés</w:t>
      </w:r>
      <w:r w:rsidRPr="00677AE2">
        <w:rPr>
          <w:szCs w:val="20"/>
        </w:rPr>
        <w:t xml:space="preserve">. Les calculs </w:t>
      </w:r>
      <w:r w:rsidR="008103CD" w:rsidRPr="00677AE2">
        <w:rPr>
          <w:szCs w:val="20"/>
        </w:rPr>
        <w:t>peuvent</w:t>
      </w:r>
      <w:r w:rsidRPr="00677AE2">
        <w:rPr>
          <w:szCs w:val="20"/>
        </w:rPr>
        <w:t xml:space="preserve"> également s’appuyer sur les différentes évaluations faites des mesures </w:t>
      </w:r>
      <w:r w:rsidR="009E449A" w:rsidRPr="00677AE2">
        <w:rPr>
          <w:szCs w:val="20"/>
        </w:rPr>
        <w:t xml:space="preserve">socio-fiscales </w:t>
      </w:r>
      <w:r w:rsidRPr="00677AE2">
        <w:rPr>
          <w:szCs w:val="20"/>
        </w:rPr>
        <w:t xml:space="preserve">d’incitation à la création d’emploi, qui mettent en avant </w:t>
      </w:r>
      <w:r w:rsidRPr="00150A72">
        <w:rPr>
          <w:szCs w:val="20"/>
        </w:rPr>
        <w:t>une large fourchette d’évaluation du coût public de la création d’emploi de 8</w:t>
      </w:r>
      <w:r w:rsidR="00481342">
        <w:rPr>
          <w:szCs w:val="20"/>
        </w:rPr>
        <w:t> </w:t>
      </w:r>
      <w:r w:rsidRPr="00150A72">
        <w:rPr>
          <w:szCs w:val="20"/>
        </w:rPr>
        <w:t>000 à 20</w:t>
      </w:r>
      <w:r w:rsidR="00481342">
        <w:rPr>
          <w:szCs w:val="20"/>
        </w:rPr>
        <w:t> </w:t>
      </w:r>
      <w:r w:rsidRPr="00150A72">
        <w:rPr>
          <w:szCs w:val="20"/>
        </w:rPr>
        <w:t>000 euros par emploi à des fourchettes plus importantes, allant jusqu’à 48</w:t>
      </w:r>
      <w:r w:rsidR="00481342">
        <w:rPr>
          <w:szCs w:val="20"/>
        </w:rPr>
        <w:t> </w:t>
      </w:r>
      <w:r w:rsidRPr="00150A72">
        <w:rPr>
          <w:szCs w:val="20"/>
        </w:rPr>
        <w:t>000 euros suivant les auteurs</w:t>
      </w:r>
      <w:r w:rsidRPr="00150A72">
        <w:rPr>
          <w:szCs w:val="20"/>
          <w:vertAlign w:val="superscript"/>
        </w:rPr>
        <w:footnoteReference w:id="69"/>
      </w:r>
      <w:r w:rsidRPr="00150A72">
        <w:rPr>
          <w:szCs w:val="20"/>
        </w:rPr>
        <w:t xml:space="preserve">. </w:t>
      </w:r>
      <w:r w:rsidR="00B8382F" w:rsidRPr="00B8382F">
        <w:rPr>
          <w:szCs w:val="20"/>
        </w:rPr>
        <w:t>Cette donnée de 10</w:t>
      </w:r>
      <w:r w:rsidR="00481342">
        <w:rPr>
          <w:szCs w:val="20"/>
        </w:rPr>
        <w:t> </w:t>
      </w:r>
      <w:r w:rsidR="00B8382F" w:rsidRPr="00B8382F">
        <w:rPr>
          <w:szCs w:val="20"/>
        </w:rPr>
        <w:t xml:space="preserve">000 euros par emploi peut même être considérée comme trop prudente. Le rapport de </w:t>
      </w:r>
      <w:r w:rsidR="00830DC0" w:rsidRPr="00B8382F">
        <w:rPr>
          <w:szCs w:val="20"/>
        </w:rPr>
        <w:t>contre-expertise</w:t>
      </w:r>
      <w:r w:rsidR="00B8382F" w:rsidRPr="00B8382F">
        <w:rPr>
          <w:szCs w:val="20"/>
        </w:rPr>
        <w:t xml:space="preserve"> réalisé en 2019-2020 à la demande du Secrétariat général pour l’investissement souligne dans une note en bas de la page 39 « qu’en toute rigueur » un chiffre de 19</w:t>
      </w:r>
      <w:r w:rsidR="00481342">
        <w:rPr>
          <w:szCs w:val="20"/>
        </w:rPr>
        <w:t> </w:t>
      </w:r>
      <w:r w:rsidR="00B8382F" w:rsidRPr="00B8382F">
        <w:rPr>
          <w:szCs w:val="20"/>
        </w:rPr>
        <w:t xml:space="preserve">000 euros pourrait être utilisé, ce qui donnerait une valorisation des emplois induits par la mise en service du GPE de près de 40 milliards d’euros. </w:t>
      </w:r>
    </w:p>
    <w:p w14:paraId="5F6BBD1F" w14:textId="77777777" w:rsidR="00503AE0" w:rsidRDefault="00503AE0" w:rsidP="00150A72">
      <w:pPr>
        <w:jc w:val="both"/>
        <w:rPr>
          <w:szCs w:val="20"/>
        </w:rPr>
      </w:pPr>
    </w:p>
    <w:p w14:paraId="6765280E" w14:textId="60ACC76E" w:rsidR="00B8382F" w:rsidRDefault="00150A72" w:rsidP="00150A72">
      <w:pPr>
        <w:jc w:val="both"/>
        <w:rPr>
          <w:szCs w:val="20"/>
        </w:rPr>
      </w:pPr>
      <w:r w:rsidRPr="00150A72">
        <w:rPr>
          <w:szCs w:val="20"/>
        </w:rPr>
        <w:t xml:space="preserve">Il faut noter que la plupart de ces évaluations concernent la création d’emplois de basse qualification, alors qu’un pourcentage significatif des emplois induits par le projet du Grand Paris concerne des emplois de haute qualification. </w:t>
      </w:r>
    </w:p>
    <w:p w14:paraId="623B85AF" w14:textId="77777777" w:rsidR="00B8382F" w:rsidRDefault="00B8382F" w:rsidP="00150A72">
      <w:pPr>
        <w:jc w:val="both"/>
        <w:rPr>
          <w:szCs w:val="20"/>
        </w:rPr>
      </w:pPr>
    </w:p>
    <w:p w14:paraId="71AF9908" w14:textId="14833466" w:rsidR="00150A72" w:rsidRPr="00150A72" w:rsidRDefault="00150A72" w:rsidP="00150A72">
      <w:pPr>
        <w:jc w:val="both"/>
        <w:rPr>
          <w:szCs w:val="20"/>
        </w:rPr>
      </w:pPr>
      <w:r w:rsidRPr="00150A72">
        <w:rPr>
          <w:szCs w:val="20"/>
        </w:rPr>
        <w:t xml:space="preserve">On </w:t>
      </w:r>
      <w:r w:rsidR="00672C86">
        <w:rPr>
          <w:szCs w:val="20"/>
        </w:rPr>
        <w:t xml:space="preserve">a </w:t>
      </w:r>
      <w:r w:rsidR="008103CD">
        <w:rPr>
          <w:szCs w:val="20"/>
        </w:rPr>
        <w:t>ret</w:t>
      </w:r>
      <w:r w:rsidR="00672C86">
        <w:rPr>
          <w:szCs w:val="20"/>
        </w:rPr>
        <w:t>enu</w:t>
      </w:r>
      <w:r w:rsidRPr="00150A72">
        <w:rPr>
          <w:szCs w:val="20"/>
        </w:rPr>
        <w:t xml:space="preserve"> </w:t>
      </w:r>
      <w:r w:rsidR="00672C86">
        <w:rPr>
          <w:szCs w:val="20"/>
        </w:rPr>
        <w:t>la deuxième approche</w:t>
      </w:r>
      <w:r w:rsidRPr="00150A72">
        <w:rPr>
          <w:szCs w:val="20"/>
        </w:rPr>
        <w:t xml:space="preserve"> de valorisation de chaque emploi nouveau par le coût associé au chômage soit 10</w:t>
      </w:r>
      <w:r w:rsidR="00481342">
        <w:rPr>
          <w:szCs w:val="20"/>
        </w:rPr>
        <w:t> </w:t>
      </w:r>
      <w:r w:rsidRPr="00150A72">
        <w:rPr>
          <w:szCs w:val="20"/>
        </w:rPr>
        <w:t>000 €</w:t>
      </w:r>
      <w:r w:rsidR="00A46C4F">
        <w:rPr>
          <w:szCs w:val="20"/>
        </w:rPr>
        <w:t xml:space="preserve"> en valeur 2010</w:t>
      </w:r>
      <w:r w:rsidRPr="00150A72">
        <w:rPr>
          <w:szCs w:val="20"/>
        </w:rPr>
        <w:t>, technique la plus prudente des différents calculs p</w:t>
      </w:r>
      <w:r w:rsidR="00A46C4F">
        <w:rPr>
          <w:szCs w:val="20"/>
        </w:rPr>
        <w:t>ossibles</w:t>
      </w:r>
      <w:r w:rsidR="00030029">
        <w:rPr>
          <w:rStyle w:val="Appelnotedebasdep"/>
          <w:szCs w:val="20"/>
        </w:rPr>
        <w:footnoteReference w:id="70"/>
      </w:r>
      <w:r w:rsidRPr="00150A72">
        <w:rPr>
          <w:szCs w:val="20"/>
        </w:rPr>
        <w:t xml:space="preserve"> : </w:t>
      </w:r>
    </w:p>
    <w:p w14:paraId="788EB227" w14:textId="77777777" w:rsidR="00150A72" w:rsidRPr="00150A72" w:rsidRDefault="00150A72" w:rsidP="00150A72">
      <w:pPr>
        <w:jc w:val="both"/>
        <w:rPr>
          <w:szCs w:val="20"/>
        </w:rPr>
      </w:pPr>
    </w:p>
    <w:tbl>
      <w:tblPr>
        <w:tblW w:w="6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32"/>
        <w:gridCol w:w="1395"/>
        <w:gridCol w:w="1395"/>
      </w:tblGrid>
      <w:tr w:rsidR="008103CD" w:rsidRPr="00150A72" w14:paraId="1298EC64" w14:textId="21F08B59" w:rsidTr="00AD14B4">
        <w:trPr>
          <w:trHeight w:val="227"/>
          <w:jc w:val="center"/>
        </w:trPr>
        <w:tc>
          <w:tcPr>
            <w:tcW w:w="6622" w:type="dxa"/>
            <w:gridSpan w:val="3"/>
            <w:vAlign w:val="center"/>
          </w:tcPr>
          <w:p w14:paraId="241E8CB5" w14:textId="3C52FC5D" w:rsidR="008103CD" w:rsidRPr="00150A72" w:rsidRDefault="008103CD" w:rsidP="00150A72">
            <w:pPr>
              <w:jc w:val="center"/>
              <w:rPr>
                <w:rFonts w:cs="Calibri"/>
                <w:szCs w:val="20"/>
                <w:lang w:eastAsia="fr-FR"/>
              </w:rPr>
            </w:pPr>
            <w:r w:rsidRPr="00150A72">
              <w:rPr>
                <w:rFonts w:cs="Calibri"/>
                <w:b/>
                <w:color w:val="931638"/>
                <w:szCs w:val="20"/>
                <w:lang w:eastAsia="fr-FR"/>
              </w:rPr>
              <w:t xml:space="preserve">Option </w:t>
            </w:r>
            <w:r>
              <w:rPr>
                <w:rFonts w:cs="Calibri"/>
                <w:b/>
                <w:color w:val="931638"/>
                <w:szCs w:val="20"/>
                <w:lang w:eastAsia="fr-FR"/>
              </w:rPr>
              <w:t>basse</w:t>
            </w:r>
            <w:r w:rsidRPr="00150A72">
              <w:rPr>
                <w:rFonts w:cs="Calibri"/>
                <w:b/>
                <w:color w:val="931638"/>
                <w:szCs w:val="20"/>
                <w:lang w:eastAsia="fr-FR"/>
              </w:rPr>
              <w:t xml:space="preserve"> de projet </w:t>
            </w:r>
          </w:p>
        </w:tc>
      </w:tr>
      <w:tr w:rsidR="008103CD" w:rsidRPr="00150A72" w14:paraId="2D061473" w14:textId="4308B825" w:rsidTr="008103CD">
        <w:trPr>
          <w:trHeight w:val="227"/>
          <w:jc w:val="center"/>
        </w:trPr>
        <w:tc>
          <w:tcPr>
            <w:tcW w:w="3832" w:type="dxa"/>
            <w:vAlign w:val="center"/>
          </w:tcPr>
          <w:p w14:paraId="0FB17CBE" w14:textId="7BFE64E1" w:rsidR="008103CD" w:rsidRPr="00150A72" w:rsidRDefault="008103CD" w:rsidP="00150A72">
            <w:pPr>
              <w:jc w:val="both"/>
              <w:rPr>
                <w:rFonts w:cs="Calibri"/>
                <w:i/>
                <w:iCs/>
                <w:szCs w:val="20"/>
                <w:lang w:eastAsia="fr-FR"/>
              </w:rPr>
            </w:pPr>
            <w:r>
              <w:rPr>
                <w:rFonts w:cs="Calibri"/>
                <w:i/>
                <w:szCs w:val="20"/>
                <w:lang w:eastAsia="fr-FR"/>
              </w:rPr>
              <w:t>Avantages en milliards</w:t>
            </w:r>
          </w:p>
        </w:tc>
        <w:tc>
          <w:tcPr>
            <w:tcW w:w="1395" w:type="dxa"/>
            <w:vAlign w:val="bottom"/>
          </w:tcPr>
          <w:p w14:paraId="7394C2E7" w14:textId="43B1CB4D" w:rsidR="008103CD" w:rsidRPr="00150A72" w:rsidRDefault="008103CD" w:rsidP="00150A72">
            <w:pPr>
              <w:jc w:val="center"/>
              <w:rPr>
                <w:rFonts w:cs="Calibri"/>
                <w:szCs w:val="20"/>
                <w:lang w:eastAsia="fr-FR"/>
              </w:rPr>
            </w:pPr>
            <w:r>
              <w:rPr>
                <w:rFonts w:cs="Calibri"/>
                <w:szCs w:val="20"/>
                <w:lang w:eastAsia="fr-FR"/>
              </w:rPr>
              <w:t>Euros 2010</w:t>
            </w:r>
          </w:p>
        </w:tc>
        <w:tc>
          <w:tcPr>
            <w:tcW w:w="1395" w:type="dxa"/>
          </w:tcPr>
          <w:p w14:paraId="408D4CB7" w14:textId="1DBC904B" w:rsidR="008103CD" w:rsidRPr="00150A72" w:rsidRDefault="008103CD" w:rsidP="00150A72">
            <w:pPr>
              <w:jc w:val="center"/>
              <w:rPr>
                <w:rFonts w:cs="Calibri"/>
                <w:szCs w:val="20"/>
                <w:lang w:eastAsia="fr-FR"/>
              </w:rPr>
            </w:pPr>
            <w:r>
              <w:rPr>
                <w:rFonts w:cs="Calibri"/>
                <w:szCs w:val="20"/>
                <w:lang w:eastAsia="fr-FR"/>
              </w:rPr>
              <w:t>Euros 2015</w:t>
            </w:r>
          </w:p>
        </w:tc>
      </w:tr>
      <w:tr w:rsidR="0087255E" w:rsidRPr="00150A72" w14:paraId="0AA2660E" w14:textId="07C4EA31" w:rsidTr="0087255E">
        <w:trPr>
          <w:trHeight w:val="227"/>
          <w:jc w:val="center"/>
        </w:trPr>
        <w:tc>
          <w:tcPr>
            <w:tcW w:w="3832" w:type="dxa"/>
            <w:vAlign w:val="bottom"/>
          </w:tcPr>
          <w:p w14:paraId="5D4B556B" w14:textId="77777777" w:rsidR="0087255E" w:rsidRPr="00150A72" w:rsidRDefault="0087255E" w:rsidP="0087255E">
            <w:pPr>
              <w:jc w:val="both"/>
              <w:rPr>
                <w:rFonts w:cs="Calibri"/>
                <w:color w:val="931638"/>
                <w:szCs w:val="20"/>
                <w:lang w:eastAsia="fr-FR"/>
              </w:rPr>
            </w:pPr>
            <w:r w:rsidRPr="00150A72">
              <w:rPr>
                <w:rFonts w:cs="Calibri"/>
                <w:color w:val="931638"/>
                <w:szCs w:val="20"/>
                <w:lang w:eastAsia="fr-FR"/>
              </w:rPr>
              <w:t>Valorisation des nouveaux emplois</w:t>
            </w:r>
          </w:p>
        </w:tc>
        <w:tc>
          <w:tcPr>
            <w:tcW w:w="1395" w:type="dxa"/>
          </w:tcPr>
          <w:p w14:paraId="2E18DB50" w14:textId="3F53E026" w:rsidR="0087255E" w:rsidRPr="004925C1" w:rsidRDefault="0087255E" w:rsidP="0087255E">
            <w:pPr>
              <w:jc w:val="center"/>
              <w:rPr>
                <w:rFonts w:cs="Calibri"/>
                <w:color w:val="FF0000"/>
                <w:szCs w:val="20"/>
                <w:lang w:eastAsia="fr-FR"/>
              </w:rPr>
            </w:pPr>
            <w:r w:rsidRPr="0002579D">
              <w:t>19,62</w:t>
            </w:r>
          </w:p>
        </w:tc>
        <w:tc>
          <w:tcPr>
            <w:tcW w:w="1395" w:type="dxa"/>
          </w:tcPr>
          <w:p w14:paraId="285907E2" w14:textId="74BC61C2" w:rsidR="0087255E" w:rsidRPr="004925C1" w:rsidRDefault="0087255E" w:rsidP="0087255E">
            <w:pPr>
              <w:jc w:val="center"/>
              <w:rPr>
                <w:rFonts w:cs="Calibri"/>
                <w:color w:val="FF0000"/>
                <w:szCs w:val="20"/>
                <w:lang w:eastAsia="fr-FR"/>
              </w:rPr>
            </w:pPr>
            <w:r w:rsidRPr="0002579D">
              <w:t>20,71</w:t>
            </w:r>
          </w:p>
        </w:tc>
      </w:tr>
    </w:tbl>
    <w:p w14:paraId="1331E056" w14:textId="77777777" w:rsidR="00150A72" w:rsidRPr="00150A72" w:rsidRDefault="00150A72" w:rsidP="00150A72">
      <w:pPr>
        <w:jc w:val="both"/>
        <w:rPr>
          <w:szCs w:val="20"/>
        </w:rPr>
      </w:pPr>
    </w:p>
    <w:p w14:paraId="442F5B9B" w14:textId="3D02D177" w:rsidR="00B8382F" w:rsidRPr="00304C03" w:rsidRDefault="00B8382F" w:rsidP="00150A72">
      <w:pPr>
        <w:jc w:val="both"/>
        <w:rPr>
          <w:color w:val="00B050"/>
          <w:szCs w:val="20"/>
        </w:rPr>
      </w:pPr>
      <w:r w:rsidRPr="00B8382F">
        <w:rPr>
          <w:b/>
          <w:bCs/>
          <w:szCs w:val="20"/>
        </w:rPr>
        <w:lastRenderedPageBreak/>
        <w:t xml:space="preserve">Si on avait retenu les </w:t>
      </w:r>
      <w:r w:rsidR="00C36348">
        <w:rPr>
          <w:b/>
          <w:bCs/>
          <w:szCs w:val="20"/>
        </w:rPr>
        <w:t>remarques</w:t>
      </w:r>
      <w:r w:rsidRPr="00B8382F">
        <w:rPr>
          <w:b/>
          <w:bCs/>
          <w:szCs w:val="20"/>
        </w:rPr>
        <w:t xml:space="preserve"> du rapport de </w:t>
      </w:r>
      <w:r w:rsidR="00677AE2" w:rsidRPr="00B8382F">
        <w:rPr>
          <w:b/>
          <w:bCs/>
          <w:szCs w:val="20"/>
        </w:rPr>
        <w:t>cont</w:t>
      </w:r>
      <w:r w:rsidR="00677AE2">
        <w:rPr>
          <w:b/>
          <w:bCs/>
          <w:szCs w:val="20"/>
        </w:rPr>
        <w:t>re</w:t>
      </w:r>
      <w:r w:rsidR="00677AE2" w:rsidRPr="00B8382F">
        <w:rPr>
          <w:b/>
          <w:bCs/>
          <w:szCs w:val="20"/>
        </w:rPr>
        <w:t>-expertise</w:t>
      </w:r>
      <w:r w:rsidRPr="00B8382F">
        <w:rPr>
          <w:b/>
          <w:bCs/>
          <w:szCs w:val="20"/>
        </w:rPr>
        <w:t xml:space="preserve"> cité plus haut, on devrait rajouter 90% à ces données et donc augmenter ce poste de valorisation des nouveaux emplois de 18 milliards d’euros.</w:t>
      </w:r>
      <w:r w:rsidR="00503AE0">
        <w:rPr>
          <w:b/>
          <w:bCs/>
          <w:szCs w:val="20"/>
        </w:rPr>
        <w:t xml:space="preserve"> </w:t>
      </w:r>
      <w:r w:rsidR="00503AE0" w:rsidRPr="00304C03">
        <w:rPr>
          <w:color w:val="00B050"/>
          <w:szCs w:val="20"/>
        </w:rPr>
        <w:t xml:space="preserve">Il convient également de mentionner que, par différence avec les évaluations antérieures à 2017, il n’est plus fait application de la « règle du pouce » qui consistait à ne retenir que la moitié des bénéfices associés à la croissance induite par le Grand Paris Express car </w:t>
      </w:r>
      <w:r w:rsidR="009A72A7" w:rsidRPr="00304C03">
        <w:rPr>
          <w:color w:val="00B050"/>
          <w:szCs w:val="20"/>
        </w:rPr>
        <w:t xml:space="preserve">si la croissance de 115000 emplois supplémentaires trouvait un fondement dans les connaissances existantes à l’époque, </w:t>
      </w:r>
      <w:r w:rsidR="00503AE0" w:rsidRPr="00304C03">
        <w:rPr>
          <w:color w:val="00B050"/>
          <w:szCs w:val="20"/>
        </w:rPr>
        <w:t>les recherches disponibles aujourd’hui</w:t>
      </w:r>
      <w:r w:rsidR="009A72A7" w:rsidRPr="00304C03">
        <w:rPr>
          <w:color w:val="00B050"/>
          <w:szCs w:val="20"/>
        </w:rPr>
        <w:t xml:space="preserve"> donnent des raisons très fortes pour affirmer que cette croissance sera assurément comprise entre 115000 et 315000 emplois et peut être même supérieure, le chiffre le plus vraisemblable se situant entre 150000 et 200000. La « règle du pouce » n’a donc plus de sens aujourd’hui. </w:t>
      </w:r>
    </w:p>
    <w:p w14:paraId="3749918E" w14:textId="77777777" w:rsidR="00B8382F" w:rsidRDefault="00B8382F" w:rsidP="00150A72">
      <w:pPr>
        <w:jc w:val="both"/>
        <w:rPr>
          <w:szCs w:val="20"/>
        </w:rPr>
      </w:pPr>
    </w:p>
    <w:p w14:paraId="7B77EE06" w14:textId="7B0939C6" w:rsidR="00150A72" w:rsidRPr="00150A72" w:rsidRDefault="00150A72" w:rsidP="00150A72">
      <w:pPr>
        <w:jc w:val="both"/>
      </w:pPr>
      <w:r w:rsidRPr="00150A72">
        <w:rPr>
          <w:szCs w:val="20"/>
        </w:rPr>
        <w:t xml:space="preserve">La réalisation du </w:t>
      </w:r>
      <w:r w:rsidRPr="00150A72">
        <w:t>réseau du Grand Paris aura enfin un effet très important sur les créations d’emplois dans la région au cours de la réalisation des travaux. La période travaux mobilisera environ 15</w:t>
      </w:r>
      <w:r w:rsidR="00481342">
        <w:t> </w:t>
      </w:r>
      <w:r w:rsidRPr="00150A72">
        <w:t>000 à 20</w:t>
      </w:r>
      <w:r w:rsidR="00481342">
        <w:t> </w:t>
      </w:r>
      <w:r w:rsidRPr="00150A72">
        <w:t xml:space="preserve">000 personnes par an pendant dix ans. A ces emplois doivent se rajouter les emplois nécessaires à l’exploitation du réseau du Grand Paris quand il aura été concédé. </w:t>
      </w:r>
      <w:r w:rsidRPr="00150A72">
        <w:rPr>
          <w:b/>
        </w:rPr>
        <w:t xml:space="preserve">La réalisation du réseau du Grand Paris est donc également, en plus de son impact sur la croissance à long terme, un puissant instrument </w:t>
      </w:r>
      <w:r w:rsidR="004246BE" w:rsidRPr="004246BE">
        <w:rPr>
          <w:b/>
        </w:rPr>
        <w:t>contra</w:t>
      </w:r>
      <w:r w:rsidR="004246BE">
        <w:rPr>
          <w:b/>
        </w:rPr>
        <w:t>c</w:t>
      </w:r>
      <w:r w:rsidR="004246BE" w:rsidRPr="004246BE">
        <w:rPr>
          <w:b/>
        </w:rPr>
        <w:t>yclique</w:t>
      </w:r>
      <w:r w:rsidR="00A46C4F">
        <w:rPr>
          <w:b/>
        </w:rPr>
        <w:t xml:space="preserve">, précieux dans </w:t>
      </w:r>
      <w:r w:rsidR="004246BE">
        <w:rPr>
          <w:b/>
        </w:rPr>
        <w:t>le</w:t>
      </w:r>
      <w:r w:rsidR="00A46C4F">
        <w:rPr>
          <w:b/>
        </w:rPr>
        <w:t xml:space="preserve"> contexte de crise économique du </w:t>
      </w:r>
      <w:r w:rsidR="004246BE">
        <w:rPr>
          <w:b/>
        </w:rPr>
        <w:t>post-</w:t>
      </w:r>
      <w:r w:rsidR="00A46C4F">
        <w:rPr>
          <w:b/>
        </w:rPr>
        <w:t>COVID</w:t>
      </w:r>
      <w:r w:rsidRPr="00150A72">
        <w:rPr>
          <w:rFonts w:cs="Cambria"/>
          <w:vertAlign w:val="superscript"/>
        </w:rPr>
        <w:footnoteReference w:id="71"/>
      </w:r>
      <w:r w:rsidRPr="00150A72">
        <w:t>. Les instructions de 2014 proposent de valoriser ces emplois de chantier de la manière suivante</w:t>
      </w:r>
      <w:r w:rsidR="00522318">
        <w:rPr>
          <w:rStyle w:val="Appelnotedebasdep"/>
        </w:rPr>
        <w:footnoteReference w:id="72"/>
      </w:r>
      <w:r w:rsidRPr="00150A72">
        <w:t> :</w:t>
      </w:r>
    </w:p>
    <w:tbl>
      <w:tblPr>
        <w:tblW w:w="6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32"/>
        <w:gridCol w:w="1395"/>
        <w:gridCol w:w="1395"/>
      </w:tblGrid>
      <w:tr w:rsidR="008103CD" w:rsidRPr="00150A72" w14:paraId="0033FFE6" w14:textId="6C80E5CF" w:rsidTr="008103CD">
        <w:trPr>
          <w:trHeight w:val="227"/>
          <w:jc w:val="center"/>
        </w:trPr>
        <w:tc>
          <w:tcPr>
            <w:tcW w:w="3832" w:type="dxa"/>
            <w:vAlign w:val="center"/>
          </w:tcPr>
          <w:p w14:paraId="15A7F032" w14:textId="77777777" w:rsidR="008103CD" w:rsidRPr="008103CD" w:rsidRDefault="008103CD" w:rsidP="008103CD">
            <w:pPr>
              <w:jc w:val="center"/>
              <w:rPr>
                <w:rFonts w:cs="Calibri"/>
                <w:b/>
                <w:color w:val="931638"/>
                <w:szCs w:val="20"/>
                <w:lang w:eastAsia="fr-FR"/>
              </w:rPr>
            </w:pPr>
            <w:r w:rsidRPr="00150A72">
              <w:rPr>
                <w:rFonts w:cs="Calibri"/>
                <w:b/>
                <w:color w:val="931638"/>
                <w:szCs w:val="20"/>
                <w:lang w:eastAsia="fr-FR"/>
              </w:rPr>
              <w:t xml:space="preserve">Option </w:t>
            </w:r>
            <w:r>
              <w:rPr>
                <w:rFonts w:cs="Calibri"/>
                <w:b/>
                <w:color w:val="931638"/>
                <w:szCs w:val="20"/>
                <w:lang w:eastAsia="fr-FR"/>
              </w:rPr>
              <w:t>basse</w:t>
            </w:r>
            <w:r w:rsidRPr="00150A72">
              <w:rPr>
                <w:rFonts w:cs="Calibri"/>
                <w:b/>
                <w:color w:val="931638"/>
                <w:szCs w:val="20"/>
                <w:lang w:eastAsia="fr-FR"/>
              </w:rPr>
              <w:t xml:space="preserve"> de projet </w:t>
            </w:r>
          </w:p>
        </w:tc>
        <w:tc>
          <w:tcPr>
            <w:tcW w:w="1395" w:type="dxa"/>
            <w:vAlign w:val="center"/>
          </w:tcPr>
          <w:p w14:paraId="735E3569" w14:textId="43F47E8E" w:rsidR="008103CD" w:rsidRPr="008103CD" w:rsidRDefault="008103CD" w:rsidP="008103CD">
            <w:pPr>
              <w:jc w:val="center"/>
              <w:rPr>
                <w:rFonts w:cs="Calibri"/>
                <w:b/>
                <w:color w:val="931638"/>
                <w:szCs w:val="20"/>
                <w:lang w:eastAsia="fr-FR"/>
              </w:rPr>
            </w:pPr>
          </w:p>
        </w:tc>
        <w:tc>
          <w:tcPr>
            <w:tcW w:w="1395" w:type="dxa"/>
          </w:tcPr>
          <w:p w14:paraId="27FD26BE" w14:textId="77777777" w:rsidR="008103CD" w:rsidRPr="008103CD" w:rsidRDefault="008103CD" w:rsidP="008103CD">
            <w:pPr>
              <w:jc w:val="center"/>
              <w:rPr>
                <w:rFonts w:cs="Calibri"/>
                <w:b/>
                <w:color w:val="931638"/>
                <w:szCs w:val="20"/>
                <w:lang w:eastAsia="fr-FR"/>
              </w:rPr>
            </w:pPr>
          </w:p>
        </w:tc>
      </w:tr>
      <w:tr w:rsidR="008103CD" w:rsidRPr="00150A72" w14:paraId="4C25C547" w14:textId="35C41A45" w:rsidTr="008103CD">
        <w:trPr>
          <w:trHeight w:val="227"/>
          <w:jc w:val="center"/>
        </w:trPr>
        <w:tc>
          <w:tcPr>
            <w:tcW w:w="3832" w:type="dxa"/>
            <w:vAlign w:val="center"/>
          </w:tcPr>
          <w:p w14:paraId="65ECCCAE" w14:textId="6E56584C" w:rsidR="008103CD" w:rsidRPr="00150A72" w:rsidRDefault="008103CD" w:rsidP="00150A72">
            <w:pPr>
              <w:jc w:val="both"/>
              <w:rPr>
                <w:rFonts w:cs="Calibri"/>
                <w:i/>
                <w:iCs/>
                <w:szCs w:val="20"/>
                <w:lang w:eastAsia="fr-FR"/>
              </w:rPr>
            </w:pPr>
            <w:r>
              <w:rPr>
                <w:rFonts w:cs="Calibri"/>
                <w:i/>
                <w:szCs w:val="20"/>
                <w:lang w:eastAsia="fr-FR"/>
              </w:rPr>
              <w:t>Avantages</w:t>
            </w:r>
            <w:r w:rsidRPr="00150A72">
              <w:rPr>
                <w:rFonts w:cs="Calibri"/>
                <w:i/>
                <w:szCs w:val="20"/>
                <w:lang w:eastAsia="fr-FR"/>
              </w:rPr>
              <w:t xml:space="preserve"> en</w:t>
            </w:r>
            <w:r w:rsidRPr="00150A72">
              <w:rPr>
                <w:rFonts w:cs="Calibri"/>
                <w:i/>
                <w:iCs/>
                <w:szCs w:val="20"/>
                <w:lang w:eastAsia="fr-FR"/>
              </w:rPr>
              <w:t xml:space="preserve"> milliards </w:t>
            </w:r>
          </w:p>
        </w:tc>
        <w:tc>
          <w:tcPr>
            <w:tcW w:w="1395" w:type="dxa"/>
            <w:vAlign w:val="bottom"/>
          </w:tcPr>
          <w:p w14:paraId="4FE2D582" w14:textId="55DCDA55" w:rsidR="008103CD" w:rsidRPr="00150A72" w:rsidRDefault="008103CD" w:rsidP="00150A72">
            <w:pPr>
              <w:jc w:val="center"/>
              <w:rPr>
                <w:rFonts w:cs="Calibri"/>
                <w:szCs w:val="20"/>
                <w:lang w:eastAsia="fr-FR"/>
              </w:rPr>
            </w:pPr>
            <w:r>
              <w:rPr>
                <w:rFonts w:cs="Calibri"/>
                <w:szCs w:val="20"/>
                <w:lang w:eastAsia="fr-FR"/>
              </w:rPr>
              <w:t>Euros 2010</w:t>
            </w:r>
          </w:p>
        </w:tc>
        <w:tc>
          <w:tcPr>
            <w:tcW w:w="1395" w:type="dxa"/>
          </w:tcPr>
          <w:p w14:paraId="3F309B57" w14:textId="67DA3D13" w:rsidR="008103CD" w:rsidRPr="00150A72" w:rsidRDefault="008103CD" w:rsidP="00150A72">
            <w:pPr>
              <w:jc w:val="center"/>
              <w:rPr>
                <w:rFonts w:cs="Calibri"/>
                <w:szCs w:val="20"/>
                <w:lang w:eastAsia="fr-FR"/>
              </w:rPr>
            </w:pPr>
            <w:r>
              <w:rPr>
                <w:rFonts w:cs="Calibri"/>
                <w:szCs w:val="20"/>
                <w:lang w:eastAsia="fr-FR"/>
              </w:rPr>
              <w:t>Euros 2015</w:t>
            </w:r>
          </w:p>
        </w:tc>
      </w:tr>
      <w:tr w:rsidR="0087255E" w:rsidRPr="00150A72" w14:paraId="42ADAB18" w14:textId="46C41D04" w:rsidTr="0087255E">
        <w:trPr>
          <w:trHeight w:val="227"/>
          <w:jc w:val="center"/>
        </w:trPr>
        <w:tc>
          <w:tcPr>
            <w:tcW w:w="3832" w:type="dxa"/>
            <w:vAlign w:val="bottom"/>
          </w:tcPr>
          <w:p w14:paraId="600E0198" w14:textId="77777777" w:rsidR="0087255E" w:rsidRPr="00150A72" w:rsidRDefault="0087255E" w:rsidP="0087255E">
            <w:pPr>
              <w:jc w:val="both"/>
              <w:rPr>
                <w:rFonts w:cs="Calibri"/>
                <w:color w:val="931638"/>
                <w:szCs w:val="20"/>
                <w:lang w:eastAsia="fr-FR"/>
              </w:rPr>
            </w:pPr>
            <w:r w:rsidRPr="00150A72">
              <w:rPr>
                <w:rFonts w:cs="Calibri"/>
                <w:color w:val="931638"/>
                <w:szCs w:val="20"/>
                <w:lang w:eastAsia="fr-FR"/>
              </w:rPr>
              <w:t>Valorisation des emplois de chantier</w:t>
            </w:r>
          </w:p>
        </w:tc>
        <w:tc>
          <w:tcPr>
            <w:tcW w:w="1395" w:type="dxa"/>
          </w:tcPr>
          <w:p w14:paraId="14600507" w14:textId="081E7867" w:rsidR="0087255E" w:rsidRPr="00060CB2" w:rsidRDefault="0087255E" w:rsidP="0087255E">
            <w:pPr>
              <w:jc w:val="center"/>
              <w:rPr>
                <w:rFonts w:cs="Calibri"/>
                <w:color w:val="FF0000"/>
                <w:szCs w:val="20"/>
                <w:lang w:eastAsia="fr-FR"/>
              </w:rPr>
            </w:pPr>
            <w:r w:rsidRPr="001275DD">
              <w:t>5,2</w:t>
            </w:r>
            <w:r w:rsidR="001B7290">
              <w:t>2</w:t>
            </w:r>
          </w:p>
        </w:tc>
        <w:tc>
          <w:tcPr>
            <w:tcW w:w="1395" w:type="dxa"/>
          </w:tcPr>
          <w:p w14:paraId="6C99F612" w14:textId="08EEE9BF" w:rsidR="0087255E" w:rsidRPr="00060CB2" w:rsidRDefault="0087255E" w:rsidP="0087255E">
            <w:pPr>
              <w:jc w:val="center"/>
              <w:rPr>
                <w:rFonts w:cs="Calibri"/>
                <w:color w:val="FF0000"/>
                <w:szCs w:val="20"/>
                <w:lang w:eastAsia="fr-FR"/>
              </w:rPr>
            </w:pPr>
            <w:r w:rsidRPr="001275DD">
              <w:t>5,5</w:t>
            </w:r>
            <w:r w:rsidR="001B7290">
              <w:t>1</w:t>
            </w:r>
          </w:p>
        </w:tc>
      </w:tr>
    </w:tbl>
    <w:p w14:paraId="1B89917C" w14:textId="1F90FAE5" w:rsidR="00150A72" w:rsidRPr="00150A72" w:rsidRDefault="00150A72" w:rsidP="00150A72">
      <w:pPr>
        <w:keepNext/>
        <w:keepLines/>
        <w:spacing w:before="200"/>
        <w:jc w:val="both"/>
        <w:outlineLvl w:val="3"/>
        <w:rPr>
          <w:rFonts w:eastAsia="Times New Roman"/>
          <w:bCs/>
          <w:i/>
          <w:iCs/>
          <w:color w:val="931638"/>
          <w:szCs w:val="20"/>
        </w:rPr>
      </w:pPr>
      <w:bookmarkStart w:id="131" w:name="_Hlk34986671"/>
      <w:r w:rsidRPr="00150A72">
        <w:rPr>
          <w:rFonts w:eastAsia="Times New Roman"/>
          <w:bCs/>
          <w:i/>
          <w:iCs/>
          <w:color w:val="931638"/>
          <w:szCs w:val="20"/>
        </w:rPr>
        <w:t xml:space="preserve">L’évaluation totale du surplus de bien-être </w:t>
      </w:r>
    </w:p>
    <w:bookmarkEnd w:id="131"/>
    <w:p w14:paraId="079F0CC1" w14:textId="77777777" w:rsidR="00150A72" w:rsidRPr="00150A72" w:rsidRDefault="00150A72" w:rsidP="00150A72">
      <w:pPr>
        <w:jc w:val="both"/>
        <w:rPr>
          <w:szCs w:val="20"/>
        </w:rPr>
      </w:pPr>
    </w:p>
    <w:p w14:paraId="3F23910B" w14:textId="3201B07A" w:rsidR="004412E1" w:rsidRDefault="00150A72" w:rsidP="00150A72">
      <w:pPr>
        <w:jc w:val="both"/>
        <w:rPr>
          <w:szCs w:val="20"/>
        </w:rPr>
      </w:pPr>
      <w:r w:rsidRPr="00150A72">
        <w:rPr>
          <w:szCs w:val="20"/>
        </w:rPr>
        <w:t>Pour évaluer les gains de bien-être dans leur ensemble, l’addition directe des différents avantages socio-économiques actualisés</w:t>
      </w:r>
      <w:r w:rsidRPr="00150A72">
        <w:rPr>
          <w:szCs w:val="20"/>
          <w:vertAlign w:val="superscript"/>
        </w:rPr>
        <w:footnoteReference w:id="73"/>
      </w:r>
      <w:r w:rsidRPr="00150A72">
        <w:rPr>
          <w:szCs w:val="20"/>
        </w:rPr>
        <w:t xml:space="preserve"> de l’infrastructure, sur la période d’évaluation fixée par l’instruction de juin 2014 donn</w:t>
      </w:r>
      <w:r w:rsidR="008103CD">
        <w:rPr>
          <w:szCs w:val="20"/>
        </w:rPr>
        <w:t>e</w:t>
      </w:r>
      <w:r w:rsidRPr="00150A72">
        <w:rPr>
          <w:szCs w:val="20"/>
        </w:rPr>
        <w:t xml:space="preserve"> les résultats suivants :</w:t>
      </w:r>
    </w:p>
    <w:p w14:paraId="7B2C5305" w14:textId="4AEFCC06" w:rsidR="004412E1" w:rsidRDefault="004412E1" w:rsidP="00150A72">
      <w:pPr>
        <w:jc w:val="both"/>
        <w:rPr>
          <w:szCs w:val="20"/>
        </w:rPr>
      </w:pPr>
    </w:p>
    <w:p w14:paraId="4FF3D626" w14:textId="64CE4D05" w:rsidR="00150A72" w:rsidRPr="00150A72" w:rsidRDefault="00150A72" w:rsidP="00150A72">
      <w:pPr>
        <w:ind w:left="1418"/>
        <w:jc w:val="both"/>
        <w:rPr>
          <w:rFonts w:cs="Arial"/>
          <w:b/>
          <w:szCs w:val="20"/>
          <w:lang w:eastAsia="fr-FR"/>
        </w:rPr>
      </w:pPr>
      <w:r w:rsidRPr="00150A72">
        <w:rPr>
          <w:b/>
          <w:szCs w:val="20"/>
        </w:rPr>
        <w:t xml:space="preserve">   Valeur actualisée des a</w:t>
      </w:r>
      <w:r w:rsidRPr="00150A72">
        <w:rPr>
          <w:rFonts w:cs="Arial"/>
          <w:b/>
          <w:szCs w:val="20"/>
          <w:lang w:eastAsia="fr-FR"/>
        </w:rPr>
        <w:t>vantages socio-économiques</w:t>
      </w:r>
    </w:p>
    <w:tbl>
      <w:tblPr>
        <w:tblW w:w="6936" w:type="dxa"/>
        <w:jc w:val="center"/>
        <w:tblCellMar>
          <w:left w:w="70" w:type="dxa"/>
          <w:right w:w="70" w:type="dxa"/>
        </w:tblCellMar>
        <w:tblLook w:val="04A0" w:firstRow="1" w:lastRow="0" w:firstColumn="1" w:lastColumn="0" w:noHBand="0" w:noVBand="1"/>
      </w:tblPr>
      <w:tblGrid>
        <w:gridCol w:w="4120"/>
        <w:gridCol w:w="1399"/>
        <w:gridCol w:w="1417"/>
      </w:tblGrid>
      <w:tr w:rsidR="00672C86" w:rsidRPr="00530B44" w14:paraId="29688B35" w14:textId="77777777" w:rsidTr="00E57DCD">
        <w:trPr>
          <w:trHeight w:val="315"/>
          <w:jc w:val="center"/>
        </w:trPr>
        <w:tc>
          <w:tcPr>
            <w:tcW w:w="6936"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14:paraId="264B14C5" w14:textId="1F80BF46" w:rsidR="00672C86" w:rsidRPr="00530B44" w:rsidRDefault="00672C86" w:rsidP="00672C86">
            <w:pPr>
              <w:jc w:val="center"/>
              <w:rPr>
                <w:rFonts w:eastAsia="Times New Roman"/>
                <w:b/>
                <w:bCs/>
                <w:color w:val="931638"/>
                <w:szCs w:val="20"/>
                <w:lang w:eastAsia="fr-FR"/>
              </w:rPr>
            </w:pPr>
            <w:r w:rsidRPr="00530B44">
              <w:rPr>
                <w:rFonts w:eastAsia="Times New Roman"/>
                <w:b/>
                <w:bCs/>
                <w:color w:val="931638"/>
                <w:szCs w:val="20"/>
                <w:lang w:eastAsia="fr-FR"/>
              </w:rPr>
              <w:t xml:space="preserve">Option </w:t>
            </w:r>
            <w:r>
              <w:rPr>
                <w:rFonts w:eastAsia="Times New Roman"/>
                <w:b/>
                <w:bCs/>
                <w:color w:val="931638"/>
                <w:szCs w:val="20"/>
                <w:lang w:eastAsia="fr-FR"/>
              </w:rPr>
              <w:t>basse</w:t>
            </w:r>
            <w:r w:rsidRPr="00530B44">
              <w:rPr>
                <w:rFonts w:eastAsia="Times New Roman"/>
                <w:b/>
                <w:bCs/>
                <w:color w:val="931638"/>
                <w:szCs w:val="20"/>
                <w:lang w:eastAsia="fr-FR"/>
              </w:rPr>
              <w:t xml:space="preserve"> de projet </w:t>
            </w:r>
          </w:p>
        </w:tc>
      </w:tr>
      <w:tr w:rsidR="00530B44" w:rsidRPr="00530B44" w14:paraId="0C90D26C"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2AB1283A" w14:textId="77777777" w:rsidR="00530B44" w:rsidRPr="00530B44" w:rsidRDefault="00530B44" w:rsidP="00530B44">
            <w:pPr>
              <w:jc w:val="both"/>
              <w:rPr>
                <w:rFonts w:eastAsia="Times New Roman"/>
                <w:i/>
                <w:iCs/>
                <w:color w:val="000000"/>
                <w:szCs w:val="20"/>
                <w:lang w:eastAsia="fr-FR"/>
              </w:rPr>
            </w:pPr>
            <w:r w:rsidRPr="00530B44">
              <w:rPr>
                <w:rFonts w:eastAsia="Times New Roman"/>
                <w:i/>
                <w:iCs/>
                <w:color w:val="000000"/>
                <w:szCs w:val="20"/>
                <w:lang w:eastAsia="fr-FR"/>
              </w:rPr>
              <w:t xml:space="preserve">Avantages en milliards </w:t>
            </w:r>
          </w:p>
        </w:tc>
        <w:tc>
          <w:tcPr>
            <w:tcW w:w="1399" w:type="dxa"/>
            <w:tcBorders>
              <w:top w:val="nil"/>
              <w:left w:val="nil"/>
              <w:bottom w:val="single" w:sz="8" w:space="0" w:color="auto"/>
              <w:right w:val="single" w:sz="8" w:space="0" w:color="auto"/>
            </w:tcBorders>
            <w:shd w:val="clear" w:color="auto" w:fill="auto"/>
            <w:vAlign w:val="center"/>
            <w:hideMark/>
          </w:tcPr>
          <w:p w14:paraId="696106D8" w14:textId="77777777" w:rsidR="00530B44" w:rsidRPr="00530B44" w:rsidRDefault="00530B44" w:rsidP="00530B44">
            <w:pPr>
              <w:jc w:val="center"/>
              <w:rPr>
                <w:rFonts w:eastAsia="Times New Roman"/>
                <w:color w:val="000000"/>
                <w:szCs w:val="20"/>
                <w:lang w:eastAsia="fr-FR"/>
              </w:rPr>
            </w:pPr>
            <w:r w:rsidRPr="00530B44">
              <w:rPr>
                <w:rFonts w:eastAsia="Times New Roman"/>
                <w:color w:val="000000"/>
                <w:szCs w:val="20"/>
                <w:lang w:eastAsia="fr-FR"/>
              </w:rPr>
              <w:t>Euros 2010</w:t>
            </w:r>
          </w:p>
        </w:tc>
        <w:tc>
          <w:tcPr>
            <w:tcW w:w="1417" w:type="dxa"/>
            <w:tcBorders>
              <w:top w:val="nil"/>
              <w:left w:val="nil"/>
              <w:bottom w:val="single" w:sz="8" w:space="0" w:color="auto"/>
              <w:right w:val="single" w:sz="8" w:space="0" w:color="auto"/>
            </w:tcBorders>
            <w:shd w:val="clear" w:color="auto" w:fill="auto"/>
            <w:vAlign w:val="center"/>
            <w:hideMark/>
          </w:tcPr>
          <w:p w14:paraId="4A507B23" w14:textId="77777777" w:rsidR="00530B44" w:rsidRPr="00530B44" w:rsidRDefault="00530B44" w:rsidP="00530B44">
            <w:pPr>
              <w:jc w:val="center"/>
              <w:rPr>
                <w:rFonts w:eastAsia="Times New Roman"/>
                <w:color w:val="000000"/>
                <w:szCs w:val="20"/>
                <w:lang w:eastAsia="fr-FR"/>
              </w:rPr>
            </w:pPr>
            <w:r w:rsidRPr="00530B44">
              <w:rPr>
                <w:rFonts w:eastAsia="Times New Roman"/>
                <w:color w:val="000000"/>
                <w:szCs w:val="20"/>
                <w:lang w:eastAsia="fr-FR"/>
              </w:rPr>
              <w:t>Euros 2015</w:t>
            </w:r>
          </w:p>
        </w:tc>
      </w:tr>
      <w:tr w:rsidR="00AD463B" w:rsidRPr="00530B44" w14:paraId="6CAB5821"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2AE53182" w14:textId="77777777" w:rsidR="00AD463B" w:rsidRPr="00530B44" w:rsidRDefault="00AD463B" w:rsidP="00AD463B">
            <w:pPr>
              <w:jc w:val="both"/>
              <w:rPr>
                <w:rFonts w:eastAsia="Times New Roman"/>
                <w:color w:val="931638"/>
                <w:szCs w:val="20"/>
                <w:lang w:eastAsia="fr-FR"/>
              </w:rPr>
            </w:pPr>
            <w:r w:rsidRPr="00530B44">
              <w:rPr>
                <w:rFonts w:eastAsia="Times New Roman"/>
                <w:color w:val="931638"/>
                <w:szCs w:val="20"/>
                <w:lang w:eastAsia="fr-FR"/>
              </w:rPr>
              <w:t>Valorisation des effets transports</w:t>
            </w:r>
          </w:p>
        </w:tc>
        <w:tc>
          <w:tcPr>
            <w:tcW w:w="1399" w:type="dxa"/>
            <w:tcBorders>
              <w:top w:val="nil"/>
              <w:left w:val="nil"/>
              <w:bottom w:val="single" w:sz="8" w:space="0" w:color="auto"/>
              <w:right w:val="single" w:sz="8" w:space="0" w:color="auto"/>
            </w:tcBorders>
            <w:shd w:val="clear" w:color="auto" w:fill="auto"/>
            <w:hideMark/>
          </w:tcPr>
          <w:p w14:paraId="35A90B83" w14:textId="455732E4" w:rsidR="00AD463B" w:rsidRPr="00AD463B" w:rsidRDefault="00AD463B" w:rsidP="00AD463B">
            <w:pPr>
              <w:jc w:val="center"/>
              <w:rPr>
                <w:rFonts w:eastAsia="Times New Roman"/>
                <w:color w:val="00B050"/>
                <w:szCs w:val="20"/>
                <w:lang w:eastAsia="fr-FR"/>
              </w:rPr>
            </w:pPr>
            <w:r w:rsidRPr="00AD463B">
              <w:rPr>
                <w:color w:val="00B050"/>
              </w:rPr>
              <w:t>13,67</w:t>
            </w:r>
          </w:p>
        </w:tc>
        <w:tc>
          <w:tcPr>
            <w:tcW w:w="1417" w:type="dxa"/>
            <w:tcBorders>
              <w:top w:val="nil"/>
              <w:left w:val="nil"/>
              <w:bottom w:val="single" w:sz="8" w:space="0" w:color="auto"/>
              <w:right w:val="single" w:sz="8" w:space="0" w:color="auto"/>
            </w:tcBorders>
            <w:shd w:val="clear" w:color="auto" w:fill="auto"/>
            <w:hideMark/>
          </w:tcPr>
          <w:p w14:paraId="312B7EC7" w14:textId="12FFC125" w:rsidR="00AD463B" w:rsidRPr="00AD463B" w:rsidRDefault="00AD463B" w:rsidP="00AD463B">
            <w:pPr>
              <w:jc w:val="center"/>
              <w:rPr>
                <w:rFonts w:eastAsia="Times New Roman"/>
                <w:color w:val="00B050"/>
                <w:szCs w:val="20"/>
                <w:lang w:eastAsia="fr-FR"/>
              </w:rPr>
            </w:pPr>
            <w:r w:rsidRPr="00AD463B">
              <w:rPr>
                <w:color w:val="00B050"/>
              </w:rPr>
              <w:t>14,44</w:t>
            </w:r>
          </w:p>
        </w:tc>
      </w:tr>
      <w:tr w:rsidR="00AD463B" w:rsidRPr="00530B44" w14:paraId="4ABAA74E"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0460E0E7" w14:textId="77777777" w:rsidR="00AD463B" w:rsidRPr="00530B44" w:rsidRDefault="00AD463B" w:rsidP="00AD463B">
            <w:pPr>
              <w:jc w:val="both"/>
              <w:rPr>
                <w:rFonts w:eastAsia="Times New Roman"/>
                <w:color w:val="931638"/>
                <w:szCs w:val="20"/>
                <w:lang w:eastAsia="fr-FR"/>
              </w:rPr>
            </w:pPr>
            <w:r w:rsidRPr="00530B44">
              <w:rPr>
                <w:rFonts w:eastAsia="Times New Roman"/>
                <w:color w:val="931638"/>
                <w:szCs w:val="20"/>
                <w:lang w:eastAsia="fr-FR"/>
              </w:rPr>
              <w:t>Régularité</w:t>
            </w:r>
          </w:p>
        </w:tc>
        <w:tc>
          <w:tcPr>
            <w:tcW w:w="1399" w:type="dxa"/>
            <w:tcBorders>
              <w:top w:val="nil"/>
              <w:left w:val="nil"/>
              <w:bottom w:val="single" w:sz="8" w:space="0" w:color="auto"/>
              <w:right w:val="single" w:sz="8" w:space="0" w:color="auto"/>
            </w:tcBorders>
            <w:shd w:val="clear" w:color="auto" w:fill="auto"/>
            <w:hideMark/>
          </w:tcPr>
          <w:p w14:paraId="13A0BB96" w14:textId="618F5532" w:rsidR="00AD463B" w:rsidRPr="00AD463B" w:rsidRDefault="00AD463B" w:rsidP="00AD463B">
            <w:pPr>
              <w:jc w:val="center"/>
              <w:rPr>
                <w:rFonts w:eastAsia="Times New Roman"/>
                <w:color w:val="00B050"/>
                <w:szCs w:val="20"/>
                <w:lang w:eastAsia="fr-FR"/>
              </w:rPr>
            </w:pPr>
            <w:r w:rsidRPr="00AD463B">
              <w:rPr>
                <w:color w:val="00B050"/>
              </w:rPr>
              <w:t>4,25</w:t>
            </w:r>
          </w:p>
        </w:tc>
        <w:tc>
          <w:tcPr>
            <w:tcW w:w="1417" w:type="dxa"/>
            <w:tcBorders>
              <w:top w:val="nil"/>
              <w:left w:val="nil"/>
              <w:bottom w:val="single" w:sz="8" w:space="0" w:color="auto"/>
              <w:right w:val="single" w:sz="8" w:space="0" w:color="auto"/>
            </w:tcBorders>
            <w:shd w:val="clear" w:color="auto" w:fill="auto"/>
            <w:hideMark/>
          </w:tcPr>
          <w:p w14:paraId="18492FC7" w14:textId="506383A6" w:rsidR="00AD463B" w:rsidRPr="00AD463B" w:rsidRDefault="00AD463B" w:rsidP="00AD463B">
            <w:pPr>
              <w:jc w:val="center"/>
              <w:rPr>
                <w:rFonts w:eastAsia="Times New Roman"/>
                <w:color w:val="00B050"/>
                <w:szCs w:val="20"/>
                <w:lang w:eastAsia="fr-FR"/>
              </w:rPr>
            </w:pPr>
            <w:r w:rsidRPr="00AD463B">
              <w:rPr>
                <w:color w:val="00B050"/>
              </w:rPr>
              <w:t>4,48</w:t>
            </w:r>
          </w:p>
        </w:tc>
      </w:tr>
      <w:tr w:rsidR="00AD463B" w:rsidRPr="00530B44" w14:paraId="2F285FFD"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75B13625" w14:textId="77777777" w:rsidR="00AD463B" w:rsidRPr="00530B44" w:rsidRDefault="00AD463B" w:rsidP="00AD463B">
            <w:pPr>
              <w:jc w:val="both"/>
              <w:rPr>
                <w:rFonts w:eastAsia="Times New Roman"/>
                <w:color w:val="931638"/>
                <w:szCs w:val="20"/>
                <w:lang w:eastAsia="fr-FR"/>
              </w:rPr>
            </w:pPr>
            <w:r w:rsidRPr="00530B44">
              <w:rPr>
                <w:rFonts w:eastAsia="Times New Roman"/>
                <w:color w:val="931638"/>
                <w:szCs w:val="20"/>
                <w:lang w:eastAsia="fr-FR"/>
              </w:rPr>
              <w:t>Confort</w:t>
            </w:r>
          </w:p>
        </w:tc>
        <w:tc>
          <w:tcPr>
            <w:tcW w:w="1399" w:type="dxa"/>
            <w:tcBorders>
              <w:top w:val="nil"/>
              <w:left w:val="nil"/>
              <w:bottom w:val="single" w:sz="8" w:space="0" w:color="auto"/>
              <w:right w:val="single" w:sz="8" w:space="0" w:color="auto"/>
            </w:tcBorders>
            <w:shd w:val="clear" w:color="auto" w:fill="auto"/>
            <w:hideMark/>
          </w:tcPr>
          <w:p w14:paraId="2A772F57" w14:textId="67C26181" w:rsidR="00AD463B" w:rsidRPr="00AD463B" w:rsidRDefault="00AD463B" w:rsidP="00AD463B">
            <w:pPr>
              <w:jc w:val="center"/>
              <w:rPr>
                <w:rFonts w:eastAsia="Times New Roman"/>
                <w:color w:val="00B050"/>
                <w:szCs w:val="20"/>
                <w:lang w:eastAsia="fr-FR"/>
              </w:rPr>
            </w:pPr>
            <w:r w:rsidRPr="00AD463B">
              <w:rPr>
                <w:color w:val="00B050"/>
              </w:rPr>
              <w:t>3,47</w:t>
            </w:r>
          </w:p>
        </w:tc>
        <w:tc>
          <w:tcPr>
            <w:tcW w:w="1417" w:type="dxa"/>
            <w:tcBorders>
              <w:top w:val="nil"/>
              <w:left w:val="nil"/>
              <w:bottom w:val="single" w:sz="8" w:space="0" w:color="auto"/>
              <w:right w:val="single" w:sz="8" w:space="0" w:color="auto"/>
            </w:tcBorders>
            <w:shd w:val="clear" w:color="auto" w:fill="auto"/>
            <w:hideMark/>
          </w:tcPr>
          <w:p w14:paraId="395FE6DC" w14:textId="166318FF" w:rsidR="00AD463B" w:rsidRPr="00AD463B" w:rsidRDefault="00AD463B" w:rsidP="00AD463B">
            <w:pPr>
              <w:jc w:val="center"/>
              <w:rPr>
                <w:rFonts w:eastAsia="Times New Roman"/>
                <w:color w:val="00B050"/>
                <w:szCs w:val="20"/>
                <w:lang w:eastAsia="fr-FR"/>
              </w:rPr>
            </w:pPr>
            <w:r w:rsidRPr="00AD463B">
              <w:rPr>
                <w:color w:val="00B050"/>
              </w:rPr>
              <w:t>3,66</w:t>
            </w:r>
          </w:p>
        </w:tc>
      </w:tr>
      <w:tr w:rsidR="00AD463B" w:rsidRPr="00530B44" w14:paraId="14947802"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3AF72D20" w14:textId="77777777" w:rsidR="00AD463B" w:rsidRPr="00530B44" w:rsidRDefault="00AD463B" w:rsidP="00AD463B">
            <w:pPr>
              <w:jc w:val="both"/>
              <w:rPr>
                <w:rFonts w:eastAsia="Times New Roman"/>
                <w:color w:val="931638"/>
                <w:szCs w:val="20"/>
                <w:lang w:eastAsia="fr-FR"/>
              </w:rPr>
            </w:pPr>
            <w:r w:rsidRPr="00530B44">
              <w:rPr>
                <w:rFonts w:eastAsia="Times New Roman"/>
                <w:color w:val="931638"/>
                <w:szCs w:val="20"/>
                <w:lang w:eastAsia="fr-FR"/>
              </w:rPr>
              <w:t>Gains environnementaux et urbains</w:t>
            </w:r>
          </w:p>
        </w:tc>
        <w:tc>
          <w:tcPr>
            <w:tcW w:w="1399" w:type="dxa"/>
            <w:tcBorders>
              <w:top w:val="nil"/>
              <w:left w:val="nil"/>
              <w:bottom w:val="single" w:sz="8" w:space="0" w:color="auto"/>
              <w:right w:val="single" w:sz="8" w:space="0" w:color="auto"/>
            </w:tcBorders>
            <w:shd w:val="clear" w:color="auto" w:fill="auto"/>
            <w:hideMark/>
          </w:tcPr>
          <w:p w14:paraId="378AF1A7" w14:textId="2EB850E2" w:rsidR="00AD463B" w:rsidRPr="00AD463B" w:rsidRDefault="00AD463B" w:rsidP="00AD463B">
            <w:pPr>
              <w:jc w:val="center"/>
              <w:rPr>
                <w:rFonts w:eastAsia="Times New Roman"/>
                <w:color w:val="00B050"/>
                <w:szCs w:val="20"/>
                <w:lang w:eastAsia="fr-FR"/>
              </w:rPr>
            </w:pPr>
            <w:r w:rsidRPr="00AD463B">
              <w:rPr>
                <w:color w:val="00B050"/>
              </w:rPr>
              <w:t>8,21</w:t>
            </w:r>
          </w:p>
        </w:tc>
        <w:tc>
          <w:tcPr>
            <w:tcW w:w="1417" w:type="dxa"/>
            <w:tcBorders>
              <w:top w:val="nil"/>
              <w:left w:val="nil"/>
              <w:bottom w:val="single" w:sz="8" w:space="0" w:color="auto"/>
              <w:right w:val="single" w:sz="8" w:space="0" w:color="auto"/>
            </w:tcBorders>
            <w:shd w:val="clear" w:color="auto" w:fill="auto"/>
            <w:hideMark/>
          </w:tcPr>
          <w:p w14:paraId="68656304" w14:textId="59515A4B" w:rsidR="00AD463B" w:rsidRPr="00AD463B" w:rsidRDefault="00AD463B" w:rsidP="00AD463B">
            <w:pPr>
              <w:jc w:val="center"/>
              <w:rPr>
                <w:rFonts w:eastAsia="Times New Roman"/>
                <w:color w:val="00B050"/>
                <w:szCs w:val="20"/>
                <w:lang w:eastAsia="fr-FR"/>
              </w:rPr>
            </w:pPr>
            <w:r w:rsidRPr="00AD463B">
              <w:rPr>
                <w:color w:val="00B050"/>
              </w:rPr>
              <w:t>8,67</w:t>
            </w:r>
          </w:p>
        </w:tc>
      </w:tr>
      <w:tr w:rsidR="0087255E" w:rsidRPr="00530B44" w14:paraId="581D3774"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1ECC9941" w14:textId="77777777" w:rsidR="0087255E" w:rsidRPr="00530B44" w:rsidRDefault="0087255E" w:rsidP="0087255E">
            <w:pPr>
              <w:jc w:val="both"/>
              <w:rPr>
                <w:rFonts w:eastAsia="Times New Roman"/>
                <w:color w:val="931638"/>
                <w:szCs w:val="20"/>
                <w:lang w:eastAsia="fr-FR"/>
              </w:rPr>
            </w:pPr>
            <w:r w:rsidRPr="00530B44">
              <w:rPr>
                <w:rFonts w:eastAsia="Times New Roman"/>
                <w:color w:val="931638"/>
                <w:szCs w:val="20"/>
                <w:lang w:eastAsia="fr-FR"/>
              </w:rPr>
              <w:t>Effets d’agglomération</w:t>
            </w:r>
          </w:p>
        </w:tc>
        <w:tc>
          <w:tcPr>
            <w:tcW w:w="1399" w:type="dxa"/>
            <w:tcBorders>
              <w:top w:val="nil"/>
              <w:left w:val="nil"/>
              <w:bottom w:val="single" w:sz="8" w:space="0" w:color="auto"/>
              <w:right w:val="single" w:sz="8" w:space="0" w:color="auto"/>
            </w:tcBorders>
            <w:shd w:val="clear" w:color="auto" w:fill="auto"/>
            <w:hideMark/>
          </w:tcPr>
          <w:p w14:paraId="2A2012C1" w14:textId="3C4436C8" w:rsidR="0087255E" w:rsidRPr="00530B44" w:rsidRDefault="0087255E" w:rsidP="0087255E">
            <w:pPr>
              <w:jc w:val="center"/>
              <w:rPr>
                <w:rFonts w:eastAsia="Times New Roman"/>
                <w:color w:val="FF0000"/>
                <w:szCs w:val="20"/>
                <w:lang w:eastAsia="fr-FR"/>
              </w:rPr>
            </w:pPr>
            <w:r w:rsidRPr="00D0275A">
              <w:t>11,27</w:t>
            </w:r>
          </w:p>
        </w:tc>
        <w:tc>
          <w:tcPr>
            <w:tcW w:w="1417" w:type="dxa"/>
            <w:tcBorders>
              <w:top w:val="nil"/>
              <w:left w:val="nil"/>
              <w:bottom w:val="single" w:sz="8" w:space="0" w:color="auto"/>
              <w:right w:val="single" w:sz="8" w:space="0" w:color="auto"/>
            </w:tcBorders>
            <w:shd w:val="clear" w:color="auto" w:fill="auto"/>
            <w:hideMark/>
          </w:tcPr>
          <w:p w14:paraId="2B7C3C2C" w14:textId="4C0D0C65" w:rsidR="0087255E" w:rsidRPr="00530B44" w:rsidRDefault="0087255E" w:rsidP="0087255E">
            <w:pPr>
              <w:jc w:val="center"/>
              <w:rPr>
                <w:rFonts w:eastAsia="Times New Roman"/>
                <w:color w:val="FF0000"/>
                <w:szCs w:val="20"/>
                <w:lang w:eastAsia="fr-FR"/>
              </w:rPr>
            </w:pPr>
            <w:r w:rsidRPr="00D0275A">
              <w:t>11,90</w:t>
            </w:r>
          </w:p>
        </w:tc>
      </w:tr>
      <w:tr w:rsidR="0087255E" w:rsidRPr="00530B44" w14:paraId="0C8C2A99"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73E54450" w14:textId="77777777" w:rsidR="0087255E" w:rsidRPr="00530B44" w:rsidRDefault="0087255E" w:rsidP="0087255E">
            <w:pPr>
              <w:jc w:val="both"/>
              <w:rPr>
                <w:rFonts w:eastAsia="Times New Roman"/>
                <w:color w:val="931638"/>
                <w:szCs w:val="20"/>
                <w:lang w:eastAsia="fr-FR"/>
              </w:rPr>
            </w:pPr>
            <w:r w:rsidRPr="00530B44">
              <w:rPr>
                <w:rFonts w:eastAsia="Times New Roman"/>
                <w:color w:val="931638"/>
                <w:szCs w:val="20"/>
                <w:lang w:eastAsia="fr-FR"/>
              </w:rPr>
              <w:t>Valorisation des emplois</w:t>
            </w:r>
          </w:p>
        </w:tc>
        <w:tc>
          <w:tcPr>
            <w:tcW w:w="1399" w:type="dxa"/>
            <w:tcBorders>
              <w:top w:val="nil"/>
              <w:left w:val="nil"/>
              <w:bottom w:val="single" w:sz="8" w:space="0" w:color="auto"/>
              <w:right w:val="single" w:sz="8" w:space="0" w:color="auto"/>
            </w:tcBorders>
            <w:shd w:val="clear" w:color="auto" w:fill="auto"/>
            <w:hideMark/>
          </w:tcPr>
          <w:p w14:paraId="3D7AB5D6" w14:textId="68976206" w:rsidR="0087255E" w:rsidRPr="00530B44" w:rsidRDefault="0087255E" w:rsidP="0087255E">
            <w:pPr>
              <w:jc w:val="center"/>
              <w:rPr>
                <w:rFonts w:eastAsia="Times New Roman"/>
                <w:color w:val="FF0000"/>
                <w:szCs w:val="20"/>
                <w:lang w:eastAsia="fr-FR"/>
              </w:rPr>
            </w:pPr>
            <w:r w:rsidRPr="00D0275A">
              <w:t>19,62</w:t>
            </w:r>
          </w:p>
        </w:tc>
        <w:tc>
          <w:tcPr>
            <w:tcW w:w="1417" w:type="dxa"/>
            <w:tcBorders>
              <w:top w:val="nil"/>
              <w:left w:val="nil"/>
              <w:bottom w:val="single" w:sz="8" w:space="0" w:color="auto"/>
              <w:right w:val="single" w:sz="8" w:space="0" w:color="auto"/>
            </w:tcBorders>
            <w:shd w:val="clear" w:color="auto" w:fill="auto"/>
            <w:hideMark/>
          </w:tcPr>
          <w:p w14:paraId="279EA77D" w14:textId="7C742472" w:rsidR="0087255E" w:rsidRPr="00530B44" w:rsidRDefault="0087255E" w:rsidP="0087255E">
            <w:pPr>
              <w:jc w:val="center"/>
              <w:rPr>
                <w:rFonts w:eastAsia="Times New Roman"/>
                <w:color w:val="FF0000"/>
                <w:szCs w:val="20"/>
                <w:lang w:eastAsia="fr-FR"/>
              </w:rPr>
            </w:pPr>
            <w:r w:rsidRPr="00D0275A">
              <w:t>20,71</w:t>
            </w:r>
          </w:p>
        </w:tc>
      </w:tr>
      <w:tr w:rsidR="001B7290" w:rsidRPr="00530B44" w14:paraId="79DD4650"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tcPr>
          <w:p w14:paraId="3CBF4089" w14:textId="58DEBEA8" w:rsidR="001B7290" w:rsidRPr="00530B44" w:rsidRDefault="001B7290" w:rsidP="001B7290">
            <w:pPr>
              <w:jc w:val="both"/>
              <w:rPr>
                <w:rFonts w:eastAsia="Times New Roman"/>
                <w:color w:val="931638"/>
                <w:szCs w:val="20"/>
                <w:lang w:eastAsia="fr-FR"/>
              </w:rPr>
            </w:pPr>
            <w:r>
              <w:rPr>
                <w:rFonts w:eastAsia="Times New Roman"/>
                <w:color w:val="931638"/>
                <w:szCs w:val="20"/>
                <w:lang w:eastAsia="fr-FR"/>
              </w:rPr>
              <w:t>Emplois de chantier</w:t>
            </w:r>
          </w:p>
        </w:tc>
        <w:tc>
          <w:tcPr>
            <w:tcW w:w="1399" w:type="dxa"/>
            <w:tcBorders>
              <w:top w:val="nil"/>
              <w:left w:val="nil"/>
              <w:bottom w:val="single" w:sz="8" w:space="0" w:color="auto"/>
              <w:right w:val="single" w:sz="8" w:space="0" w:color="auto"/>
            </w:tcBorders>
            <w:shd w:val="clear" w:color="auto" w:fill="auto"/>
          </w:tcPr>
          <w:p w14:paraId="101B8D15" w14:textId="67217A35" w:rsidR="001B7290" w:rsidRPr="00530B44" w:rsidRDefault="001B7290" w:rsidP="001B7290">
            <w:pPr>
              <w:jc w:val="center"/>
              <w:rPr>
                <w:rFonts w:eastAsia="Times New Roman"/>
                <w:color w:val="FF0000"/>
                <w:szCs w:val="20"/>
                <w:lang w:eastAsia="fr-FR"/>
              </w:rPr>
            </w:pPr>
            <w:r w:rsidRPr="00345438">
              <w:t>5,22</w:t>
            </w:r>
          </w:p>
        </w:tc>
        <w:tc>
          <w:tcPr>
            <w:tcW w:w="1417" w:type="dxa"/>
            <w:tcBorders>
              <w:top w:val="nil"/>
              <w:left w:val="nil"/>
              <w:bottom w:val="single" w:sz="8" w:space="0" w:color="auto"/>
              <w:right w:val="single" w:sz="8" w:space="0" w:color="auto"/>
            </w:tcBorders>
            <w:shd w:val="clear" w:color="auto" w:fill="auto"/>
          </w:tcPr>
          <w:p w14:paraId="0C0012C8" w14:textId="421D2539" w:rsidR="001B7290" w:rsidRPr="00530B44" w:rsidRDefault="001B7290" w:rsidP="001B7290">
            <w:pPr>
              <w:jc w:val="center"/>
              <w:rPr>
                <w:rFonts w:eastAsia="Times New Roman"/>
                <w:color w:val="FF0000"/>
                <w:szCs w:val="20"/>
                <w:lang w:eastAsia="fr-FR"/>
              </w:rPr>
            </w:pPr>
            <w:r w:rsidRPr="00345438">
              <w:t>5,51</w:t>
            </w:r>
          </w:p>
        </w:tc>
      </w:tr>
      <w:tr w:rsidR="00AD463B" w:rsidRPr="00530B44" w14:paraId="791B6161"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784AEE4B" w14:textId="77777777" w:rsidR="00AD463B" w:rsidRPr="00530B44" w:rsidRDefault="00AD463B" w:rsidP="00AD463B">
            <w:pPr>
              <w:jc w:val="both"/>
              <w:rPr>
                <w:rFonts w:eastAsia="Times New Roman"/>
                <w:b/>
                <w:bCs/>
                <w:color w:val="931638"/>
                <w:szCs w:val="20"/>
                <w:lang w:eastAsia="fr-FR"/>
              </w:rPr>
            </w:pPr>
            <w:r w:rsidRPr="00530B44">
              <w:rPr>
                <w:rFonts w:eastAsia="Times New Roman"/>
                <w:b/>
                <w:bCs/>
                <w:color w:val="931638"/>
                <w:szCs w:val="20"/>
                <w:lang w:eastAsia="fr-FR"/>
              </w:rPr>
              <w:t>Total Avantages</w:t>
            </w:r>
          </w:p>
        </w:tc>
        <w:tc>
          <w:tcPr>
            <w:tcW w:w="1399" w:type="dxa"/>
            <w:tcBorders>
              <w:top w:val="nil"/>
              <w:left w:val="nil"/>
              <w:bottom w:val="single" w:sz="8" w:space="0" w:color="auto"/>
              <w:right w:val="single" w:sz="8" w:space="0" w:color="auto"/>
            </w:tcBorders>
            <w:shd w:val="clear" w:color="auto" w:fill="auto"/>
            <w:hideMark/>
          </w:tcPr>
          <w:p w14:paraId="6DA4B4B8" w14:textId="6B3E3DBB" w:rsidR="00AD463B" w:rsidRPr="00AD463B" w:rsidRDefault="00AD463B" w:rsidP="00AD463B">
            <w:pPr>
              <w:jc w:val="center"/>
              <w:rPr>
                <w:rFonts w:eastAsia="Times New Roman"/>
                <w:b/>
                <w:bCs/>
                <w:color w:val="00B050"/>
                <w:szCs w:val="20"/>
                <w:lang w:eastAsia="fr-FR"/>
              </w:rPr>
            </w:pPr>
            <w:r w:rsidRPr="00AD463B">
              <w:rPr>
                <w:b/>
                <w:bCs/>
                <w:color w:val="00B050"/>
              </w:rPr>
              <w:t>65,70</w:t>
            </w:r>
          </w:p>
        </w:tc>
        <w:tc>
          <w:tcPr>
            <w:tcW w:w="1417" w:type="dxa"/>
            <w:tcBorders>
              <w:top w:val="nil"/>
              <w:left w:val="nil"/>
              <w:bottom w:val="single" w:sz="8" w:space="0" w:color="auto"/>
              <w:right w:val="single" w:sz="8" w:space="0" w:color="auto"/>
            </w:tcBorders>
            <w:shd w:val="clear" w:color="auto" w:fill="auto"/>
            <w:hideMark/>
          </w:tcPr>
          <w:p w14:paraId="62B5F240" w14:textId="39D842A2" w:rsidR="00AD463B" w:rsidRPr="00AD463B" w:rsidRDefault="00AD463B" w:rsidP="00AD463B">
            <w:pPr>
              <w:jc w:val="center"/>
              <w:rPr>
                <w:rFonts w:eastAsia="Times New Roman"/>
                <w:b/>
                <w:bCs/>
                <w:color w:val="00B050"/>
                <w:szCs w:val="20"/>
                <w:lang w:eastAsia="fr-FR"/>
              </w:rPr>
            </w:pPr>
            <w:r w:rsidRPr="00AD463B">
              <w:rPr>
                <w:b/>
                <w:bCs/>
                <w:color w:val="00B050"/>
              </w:rPr>
              <w:t>69,37</w:t>
            </w:r>
          </w:p>
        </w:tc>
      </w:tr>
    </w:tbl>
    <w:p w14:paraId="783323C5" w14:textId="51D5647B" w:rsidR="00150A72" w:rsidRDefault="00150A72" w:rsidP="00150A72">
      <w:pPr>
        <w:jc w:val="both"/>
        <w:rPr>
          <w:szCs w:val="20"/>
        </w:rPr>
      </w:pPr>
    </w:p>
    <w:p w14:paraId="2D81A0B4" w14:textId="211203A8" w:rsidR="00672C86" w:rsidRDefault="00672C86" w:rsidP="00150A72">
      <w:pPr>
        <w:jc w:val="both"/>
        <w:rPr>
          <w:szCs w:val="20"/>
        </w:rPr>
      </w:pPr>
      <w:r w:rsidRPr="004246BE">
        <w:rPr>
          <w:szCs w:val="20"/>
        </w:rPr>
        <w:t xml:space="preserve">Par comparaison, les calculs des évaluations antérieures (en particulier les avantages appréciés à l’occasion du dossier de la DUP modificative de la L18 contre expertisée par le SGPI en février 2020) sont de 77,2 milliards d’euros 2010. Les modifications introduites ont donc </w:t>
      </w:r>
      <w:r w:rsidR="004246BE" w:rsidRPr="004246BE">
        <w:rPr>
          <w:szCs w:val="20"/>
        </w:rPr>
        <w:t xml:space="preserve">eu </w:t>
      </w:r>
      <w:r w:rsidRPr="004246BE">
        <w:rPr>
          <w:szCs w:val="20"/>
        </w:rPr>
        <w:t>tendance à légèrement réduire les montants des évaluations antérieures.</w:t>
      </w:r>
      <w:r w:rsidR="004246BE">
        <w:rPr>
          <w:szCs w:val="20"/>
        </w:rPr>
        <w:t xml:space="preserve"> Les causes de ces différences sont multiples :</w:t>
      </w:r>
    </w:p>
    <w:p w14:paraId="4B22FB2E" w14:textId="180AE190" w:rsidR="00161BBC" w:rsidRDefault="00161BBC" w:rsidP="00150A72">
      <w:pPr>
        <w:jc w:val="both"/>
        <w:rPr>
          <w:szCs w:val="20"/>
        </w:rPr>
      </w:pPr>
    </w:p>
    <w:p w14:paraId="747C2095" w14:textId="3E633849" w:rsidR="00161BBC" w:rsidRDefault="00161BBC" w:rsidP="0083506E">
      <w:pPr>
        <w:pStyle w:val="Paragraphedeliste"/>
        <w:numPr>
          <w:ilvl w:val="0"/>
          <w:numId w:val="4"/>
        </w:numPr>
        <w:jc w:val="both"/>
        <w:rPr>
          <w:szCs w:val="20"/>
        </w:rPr>
      </w:pPr>
      <w:r w:rsidRPr="00161BBC">
        <w:rPr>
          <w:szCs w:val="20"/>
        </w:rPr>
        <w:t xml:space="preserve">les différences sur le poste valorisation des effets transports viennent principalement de la mise à jour de la codification de l’ensemble des réseaux de transport TC ainsi que </w:t>
      </w:r>
      <w:r>
        <w:rPr>
          <w:szCs w:val="20"/>
        </w:rPr>
        <w:t>des temps de</w:t>
      </w:r>
      <w:r w:rsidRPr="00161BBC">
        <w:rPr>
          <w:szCs w:val="20"/>
        </w:rPr>
        <w:t xml:space="preserve"> correspondances</w:t>
      </w:r>
      <w:r>
        <w:rPr>
          <w:szCs w:val="20"/>
        </w:rPr>
        <w:t> ;</w:t>
      </w:r>
      <w:r w:rsidRPr="00161BBC">
        <w:rPr>
          <w:szCs w:val="20"/>
        </w:rPr>
        <w:t xml:space="preserve"> une différence importante concerne le fait que les P+E en référence et en projet sont identiques ce qui n’était pas le cas précédemment</w:t>
      </w:r>
      <w:r>
        <w:rPr>
          <w:szCs w:val="20"/>
        </w:rPr>
        <w:t xml:space="preserve"> et cela </w:t>
      </w:r>
      <w:r w:rsidRPr="00161BBC">
        <w:rPr>
          <w:szCs w:val="20"/>
        </w:rPr>
        <w:t xml:space="preserve">a des impacts sur les </w:t>
      </w:r>
      <w:r w:rsidRPr="00161BBC">
        <w:rPr>
          <w:szCs w:val="20"/>
        </w:rPr>
        <w:t xml:space="preserve">véhicules x kilomètres économisés même si les reports modaux exprimés en usagers sont de l’ordre de ceux que l’on avait après avoir réajusté les résultats de </w:t>
      </w:r>
      <w:r>
        <w:rPr>
          <w:szCs w:val="20"/>
        </w:rPr>
        <w:t>MODUS-2</w:t>
      </w:r>
      <w:r w:rsidRPr="00161BBC">
        <w:rPr>
          <w:szCs w:val="20"/>
        </w:rPr>
        <w:t>.</w:t>
      </w:r>
    </w:p>
    <w:p w14:paraId="7F730F5C" w14:textId="3330BD57" w:rsidR="00161BBC" w:rsidRDefault="00161BBC" w:rsidP="0083506E">
      <w:pPr>
        <w:pStyle w:val="Paragraphedeliste"/>
        <w:numPr>
          <w:ilvl w:val="0"/>
          <w:numId w:val="4"/>
        </w:numPr>
        <w:jc w:val="both"/>
        <w:rPr>
          <w:szCs w:val="20"/>
        </w:rPr>
      </w:pPr>
      <w:r w:rsidRPr="00161BBC">
        <w:rPr>
          <w:szCs w:val="20"/>
        </w:rPr>
        <w:t xml:space="preserve">dans le sens inverse, </w:t>
      </w:r>
      <w:r>
        <w:rPr>
          <w:szCs w:val="20"/>
        </w:rPr>
        <w:t>l</w:t>
      </w:r>
      <w:r w:rsidRPr="00161BBC">
        <w:rPr>
          <w:szCs w:val="20"/>
        </w:rPr>
        <w:t>es prévisions de trafic TC sont plus fortes qu’avec les anciens passages de M</w:t>
      </w:r>
      <w:r>
        <w:rPr>
          <w:szCs w:val="20"/>
        </w:rPr>
        <w:t>ODUS-</w:t>
      </w:r>
      <w:r w:rsidRPr="00161BBC">
        <w:rPr>
          <w:szCs w:val="20"/>
        </w:rPr>
        <w:t>2 d’où un peu plus de valorisation de confort avec extension du périmètre à tous les TC lourds.</w:t>
      </w:r>
    </w:p>
    <w:p w14:paraId="6FDC82ED" w14:textId="260FC756" w:rsidR="00161BBC" w:rsidRDefault="00161BBC" w:rsidP="0083506E">
      <w:pPr>
        <w:pStyle w:val="Paragraphedeliste"/>
        <w:numPr>
          <w:ilvl w:val="0"/>
          <w:numId w:val="4"/>
        </w:numPr>
        <w:jc w:val="both"/>
        <w:rPr>
          <w:szCs w:val="20"/>
        </w:rPr>
      </w:pPr>
      <w:r w:rsidRPr="00161BBC">
        <w:rPr>
          <w:szCs w:val="20"/>
        </w:rPr>
        <w:t>les gains dus aux GES ont baissé en relation avec le report modal (inférieur dans M</w:t>
      </w:r>
      <w:r>
        <w:rPr>
          <w:szCs w:val="20"/>
        </w:rPr>
        <w:t>ODUS-</w:t>
      </w:r>
      <w:r w:rsidRPr="00161BBC">
        <w:rPr>
          <w:szCs w:val="20"/>
        </w:rPr>
        <w:t>3) ainsi que la valorisation due aux nouveaux cadrages Carbone de la circulaire.</w:t>
      </w:r>
    </w:p>
    <w:p w14:paraId="465EFFB0" w14:textId="53296713" w:rsidR="00161BBC" w:rsidRPr="00161BBC" w:rsidRDefault="00161BBC" w:rsidP="0083506E">
      <w:pPr>
        <w:pStyle w:val="Paragraphedeliste"/>
        <w:numPr>
          <w:ilvl w:val="0"/>
          <w:numId w:val="4"/>
        </w:numPr>
        <w:jc w:val="both"/>
        <w:rPr>
          <w:szCs w:val="20"/>
        </w:rPr>
      </w:pPr>
      <w:r>
        <w:rPr>
          <w:szCs w:val="20"/>
        </w:rPr>
        <w:t xml:space="preserve">les calculs d’effets d’agglomération ont été fait à partir </w:t>
      </w:r>
      <w:r w:rsidRPr="00161BBC">
        <w:rPr>
          <w:szCs w:val="20"/>
        </w:rPr>
        <w:t>des dernières données Urbansim</w:t>
      </w:r>
      <w:r>
        <w:rPr>
          <w:szCs w:val="20"/>
        </w:rPr>
        <w:t xml:space="preserve"> et un découpage territorial plus fin que précédemment.</w:t>
      </w:r>
    </w:p>
    <w:p w14:paraId="305E4941" w14:textId="77777777" w:rsidR="00672C86" w:rsidRDefault="00672C86" w:rsidP="00150A72">
      <w:pPr>
        <w:jc w:val="both"/>
        <w:rPr>
          <w:b/>
          <w:bCs/>
          <w:szCs w:val="20"/>
        </w:rPr>
      </w:pPr>
    </w:p>
    <w:p w14:paraId="66A80D24" w14:textId="5430FD29" w:rsidR="00B8382F" w:rsidRDefault="00B8382F" w:rsidP="00150A72">
      <w:pPr>
        <w:jc w:val="both"/>
        <w:rPr>
          <w:b/>
          <w:bCs/>
          <w:szCs w:val="20"/>
        </w:rPr>
      </w:pPr>
      <w:r w:rsidRPr="00EA1E33">
        <w:rPr>
          <w:b/>
          <w:bCs/>
          <w:szCs w:val="20"/>
        </w:rPr>
        <w:t xml:space="preserve">En reprenant les trois postes de </w:t>
      </w:r>
      <w:r w:rsidR="00EA1E33" w:rsidRPr="00EA1E33">
        <w:rPr>
          <w:b/>
          <w:bCs/>
          <w:szCs w:val="20"/>
        </w:rPr>
        <w:t>sous-estimation</w:t>
      </w:r>
      <w:r w:rsidRPr="00EA1E33">
        <w:rPr>
          <w:b/>
          <w:bCs/>
          <w:szCs w:val="20"/>
        </w:rPr>
        <w:t xml:space="preserve"> relevés</w:t>
      </w:r>
      <w:r w:rsidR="00EA1E33" w:rsidRPr="00EA1E33">
        <w:rPr>
          <w:b/>
          <w:bCs/>
          <w:szCs w:val="20"/>
        </w:rPr>
        <w:t xml:space="preserve"> dans cette partie</w:t>
      </w:r>
      <w:r w:rsidR="00677AE2">
        <w:rPr>
          <w:b/>
          <w:bCs/>
          <w:szCs w:val="20"/>
        </w:rPr>
        <w:t xml:space="preserve"> (au titre des effets environnementaux, des effets d’agglomération, et de la valorisation des emplois induits par le Grand Paris Express)</w:t>
      </w:r>
      <w:r w:rsidRPr="00EA1E33">
        <w:rPr>
          <w:b/>
          <w:bCs/>
          <w:szCs w:val="20"/>
        </w:rPr>
        <w:t>, on constate que ces chiffres d’avantages devraient être plus élevés</w:t>
      </w:r>
      <w:r w:rsidR="00677AE2">
        <w:rPr>
          <w:b/>
          <w:bCs/>
          <w:szCs w:val="20"/>
        </w:rPr>
        <w:t xml:space="preserve"> que les montants présentés ici</w:t>
      </w:r>
      <w:r w:rsidR="00EA1E33" w:rsidRPr="00EA1E33">
        <w:rPr>
          <w:b/>
          <w:bCs/>
          <w:szCs w:val="20"/>
        </w:rPr>
        <w:t>,</w:t>
      </w:r>
      <w:r w:rsidRPr="00EA1E33">
        <w:rPr>
          <w:b/>
          <w:bCs/>
          <w:szCs w:val="20"/>
        </w:rPr>
        <w:t xml:space="preserve"> de </w:t>
      </w:r>
      <w:r w:rsidR="00677AE2">
        <w:rPr>
          <w:b/>
          <w:bCs/>
          <w:szCs w:val="20"/>
        </w:rPr>
        <w:t>30</w:t>
      </w:r>
      <w:r w:rsidRPr="00EA1E33">
        <w:rPr>
          <w:b/>
          <w:bCs/>
          <w:szCs w:val="20"/>
        </w:rPr>
        <w:t xml:space="preserve"> milliards</w:t>
      </w:r>
      <w:r w:rsidR="00EA1E33">
        <w:rPr>
          <w:b/>
          <w:bCs/>
          <w:szCs w:val="20"/>
        </w:rPr>
        <w:t xml:space="preserve"> d’euros </w:t>
      </w:r>
      <w:r w:rsidR="00677AE2">
        <w:rPr>
          <w:b/>
          <w:bCs/>
          <w:szCs w:val="20"/>
        </w:rPr>
        <w:t xml:space="preserve">au moins, débouchant sur </w:t>
      </w:r>
      <w:r w:rsidR="00EA1E33">
        <w:rPr>
          <w:b/>
          <w:bCs/>
          <w:szCs w:val="20"/>
        </w:rPr>
        <w:t>un montant global d’avantages de 100 milliards d’euros au moins, ce qui montre bien que le projet du Grand Paris Express est un projet d’une exceptionnelle rentabilité pour la collectivité</w:t>
      </w:r>
      <w:r w:rsidRPr="00EA1E33">
        <w:rPr>
          <w:b/>
          <w:bCs/>
          <w:szCs w:val="20"/>
        </w:rPr>
        <w:t>.</w:t>
      </w:r>
    </w:p>
    <w:p w14:paraId="766CE3D6" w14:textId="4A6D6FB2" w:rsidR="00756CBF" w:rsidRDefault="00756CBF" w:rsidP="00150A72">
      <w:pPr>
        <w:jc w:val="both"/>
        <w:rPr>
          <w:b/>
          <w:bCs/>
          <w:szCs w:val="20"/>
        </w:rPr>
      </w:pPr>
    </w:p>
    <w:p w14:paraId="0A0A13D8" w14:textId="5A9AF67E" w:rsidR="00756CBF" w:rsidRPr="00304C03" w:rsidRDefault="00756CBF" w:rsidP="00756CBF">
      <w:pPr>
        <w:jc w:val="both"/>
        <w:rPr>
          <w:rFonts w:eastAsiaTheme="minorHAnsi" w:cstheme="minorBidi"/>
          <w:color w:val="00B050"/>
          <w:szCs w:val="20"/>
        </w:rPr>
      </w:pPr>
      <w:r w:rsidRPr="00304C03">
        <w:rPr>
          <w:color w:val="00B050"/>
          <w:szCs w:val="20"/>
        </w:rPr>
        <w:t>Ce</w:t>
      </w:r>
      <w:r w:rsidRPr="00304C03">
        <w:rPr>
          <w:rFonts w:eastAsiaTheme="minorHAnsi" w:cstheme="minorBidi"/>
          <w:color w:val="00B050"/>
          <w:szCs w:val="20"/>
        </w:rPr>
        <w:t xml:space="preserve"> chiffre de 30 Mds est une donnée illustrative plutôt basse des sous estimations probables. Celles-ci sont liées au fait que ce sont systématiquement des techniques, paramètres ou données les plus faibles qui ont été retenus dans les calculs, compte tenu du caractère nouveau de l’intégration des impacts en termes de PIB et d’emplois :</w:t>
      </w:r>
    </w:p>
    <w:p w14:paraId="2A11AD12" w14:textId="06C5B656" w:rsidR="00756CBF" w:rsidRPr="00304C03" w:rsidRDefault="00756CBF" w:rsidP="00756CBF">
      <w:pPr>
        <w:jc w:val="both"/>
        <w:rPr>
          <w:rFonts w:eastAsiaTheme="minorHAnsi" w:cstheme="minorBidi"/>
          <w:color w:val="00B050"/>
          <w:szCs w:val="20"/>
        </w:rPr>
      </w:pPr>
      <w:r w:rsidRPr="00304C03">
        <w:rPr>
          <w:rFonts w:eastAsiaTheme="minorHAnsi" w:cstheme="minorBidi"/>
          <w:color w:val="00B050"/>
          <w:szCs w:val="20"/>
        </w:rPr>
        <w:t>-</w:t>
      </w:r>
      <w:r w:rsidRPr="00304C03">
        <w:rPr>
          <w:rFonts w:eastAsiaTheme="minorHAnsi" w:cstheme="minorBidi"/>
          <w:color w:val="00B050"/>
          <w:szCs w:val="20"/>
        </w:rPr>
        <w:tab/>
        <w:t xml:space="preserve">la fourchette pour les effets d’agglomération est de 12 à 45 milliards d’euros, si on introduit le lien entre la productivité et l’amélioration du potentiel marchand (équivalent à celui des effets productivité-densité d’après les études cités dans « Le Grand Paris Express, les sept clés du succès » ) et si on retient les élasticités proposées par Ahlfeldt et al, au lieu de s’en tenir aux données directement issues des travaux de Lafourcade et al.  </w:t>
      </w:r>
    </w:p>
    <w:p w14:paraId="63996923" w14:textId="69F0C0DB" w:rsidR="00756CBF" w:rsidRPr="00304C03" w:rsidRDefault="00756CBF" w:rsidP="00756CBF">
      <w:pPr>
        <w:jc w:val="both"/>
        <w:rPr>
          <w:rFonts w:eastAsiaTheme="minorHAnsi" w:cstheme="minorBidi"/>
          <w:color w:val="00B050"/>
          <w:szCs w:val="20"/>
        </w:rPr>
      </w:pPr>
      <w:r w:rsidRPr="00304C03">
        <w:rPr>
          <w:rFonts w:eastAsiaTheme="minorHAnsi" w:cstheme="minorBidi"/>
          <w:color w:val="00B050"/>
          <w:szCs w:val="20"/>
        </w:rPr>
        <w:t>-</w:t>
      </w:r>
      <w:r w:rsidRPr="00304C03">
        <w:rPr>
          <w:rFonts w:eastAsiaTheme="minorHAnsi" w:cstheme="minorBidi"/>
          <w:color w:val="00B050"/>
          <w:szCs w:val="20"/>
        </w:rPr>
        <w:tab/>
        <w:t>celle de la valorisation des emplois induits de 20 à 38 milliards d’euros avec l’hypothèse basse de 115000 emplois créés du fait de la réalisation du GPE (du fait du choix de valorisation de l’emploi de 10000€ par an alors que le rapport de contre-expertise de la L18 avançait un chiffre de 19000), le chiffre de l’hypothèse haute de création d’emplois de 315000 amenant à pratiquement tripler ce dernier chiffre de 38 Mds ; une évaluation de la création d’emplois probable étant de 180000 soit moitié plus importante que le scénario bas. Ainsi la fourchette de la valorisation des emplois induits est de 20 milliards, donnée retenue dans le document à 59 milliards d’euros, voire plus.</w:t>
      </w:r>
    </w:p>
    <w:p w14:paraId="6EC447AB" w14:textId="54237390" w:rsidR="00756CBF" w:rsidRPr="00304C03" w:rsidRDefault="00756CBF" w:rsidP="00756CBF">
      <w:pPr>
        <w:jc w:val="both"/>
        <w:rPr>
          <w:rFonts w:eastAsiaTheme="minorHAnsi" w:cstheme="minorBidi"/>
          <w:color w:val="00B050"/>
          <w:szCs w:val="20"/>
        </w:rPr>
      </w:pPr>
      <w:r w:rsidRPr="00304C03">
        <w:rPr>
          <w:rFonts w:eastAsiaTheme="minorHAnsi" w:cstheme="minorBidi"/>
          <w:color w:val="00B050"/>
          <w:szCs w:val="20"/>
        </w:rPr>
        <w:t>-</w:t>
      </w:r>
      <w:r w:rsidRPr="00304C03">
        <w:rPr>
          <w:rFonts w:eastAsiaTheme="minorHAnsi" w:cstheme="minorBidi"/>
          <w:color w:val="00B050"/>
          <w:szCs w:val="20"/>
        </w:rPr>
        <w:tab/>
        <w:t xml:space="preserve">pour les effets transport, on a vu que les caractéristiques des modèles, et la technique dite des P+E constants ont sous-estimé le trafic sur le GPE et le transfert modal d’un montant difficile à apprécier, mais important compte tenu du fait que les P+E supplémentaires ont tendance à se localiser à proximité des gares et donc créer un trafic supplémentaire élevé, sans oublier que les modèles actuels de prévision n’intègrent pas les effets d’un rabattement optimisé sur les gares du GPE. </w:t>
      </w:r>
    </w:p>
    <w:p w14:paraId="7AFE70CA" w14:textId="7346CF35" w:rsidR="00756CBF" w:rsidRPr="00304C03" w:rsidRDefault="00756CBF" w:rsidP="00756CBF">
      <w:pPr>
        <w:jc w:val="both"/>
        <w:rPr>
          <w:rFonts w:eastAsiaTheme="minorHAnsi" w:cstheme="minorBidi"/>
          <w:color w:val="00B050"/>
          <w:szCs w:val="20"/>
        </w:rPr>
      </w:pPr>
      <w:r w:rsidRPr="00304C03">
        <w:rPr>
          <w:rFonts w:eastAsiaTheme="minorHAnsi" w:cstheme="minorBidi"/>
          <w:color w:val="00B050"/>
          <w:szCs w:val="20"/>
        </w:rPr>
        <w:t>-</w:t>
      </w:r>
      <w:r w:rsidRPr="00304C03">
        <w:rPr>
          <w:rFonts w:eastAsiaTheme="minorHAnsi" w:cstheme="minorBidi"/>
          <w:color w:val="00B050"/>
          <w:szCs w:val="20"/>
        </w:rPr>
        <w:tab/>
        <w:t xml:space="preserve">enfin, la prise en compte des effets positifs du GPE sur la SNBC pourrait conduire, à une augmentation de </w:t>
      </w:r>
      <w:r w:rsidR="00AD463B">
        <w:rPr>
          <w:rFonts w:eastAsiaTheme="minorHAnsi" w:cstheme="minorBidi"/>
          <w:color w:val="00B050"/>
          <w:szCs w:val="20"/>
        </w:rPr>
        <w:t xml:space="preserve">quelques </w:t>
      </w:r>
      <w:r w:rsidRPr="00304C03">
        <w:rPr>
          <w:rFonts w:eastAsiaTheme="minorHAnsi" w:cstheme="minorBidi"/>
          <w:color w:val="00B050"/>
          <w:szCs w:val="20"/>
        </w:rPr>
        <w:t xml:space="preserve">milliards, </w:t>
      </w:r>
      <w:r w:rsidR="00946EF9">
        <w:rPr>
          <w:rFonts w:eastAsiaTheme="minorHAnsi" w:cstheme="minorBidi"/>
          <w:color w:val="00B050"/>
          <w:szCs w:val="20"/>
        </w:rPr>
        <w:t xml:space="preserve">et même </w:t>
      </w:r>
      <w:r w:rsidR="00AD463B" w:rsidRPr="00304C03">
        <w:rPr>
          <w:rFonts w:eastAsiaTheme="minorHAnsi" w:cstheme="minorBidi"/>
          <w:color w:val="00B050"/>
          <w:szCs w:val="20"/>
        </w:rPr>
        <w:t xml:space="preserve">10 </w:t>
      </w:r>
      <w:r w:rsidRPr="00304C03">
        <w:rPr>
          <w:rFonts w:eastAsiaTheme="minorHAnsi" w:cstheme="minorBidi"/>
          <w:color w:val="00B050"/>
          <w:szCs w:val="20"/>
        </w:rPr>
        <w:t xml:space="preserve">voire plus par rapport au chiffre minimaliste retenu. </w:t>
      </w:r>
    </w:p>
    <w:p w14:paraId="0E39F763" w14:textId="77777777" w:rsidR="00756CBF" w:rsidRPr="00304C03" w:rsidRDefault="00756CBF" w:rsidP="00756CBF">
      <w:pPr>
        <w:rPr>
          <w:rFonts w:eastAsiaTheme="minorHAnsi" w:cstheme="minorBidi"/>
          <w:color w:val="00B050"/>
          <w:szCs w:val="20"/>
        </w:rPr>
      </w:pPr>
    </w:p>
    <w:p w14:paraId="6362C951" w14:textId="2962779C" w:rsidR="00756CBF" w:rsidRPr="00304C03" w:rsidRDefault="00756CBF" w:rsidP="00756CBF">
      <w:pPr>
        <w:jc w:val="both"/>
        <w:rPr>
          <w:b/>
          <w:bCs/>
          <w:color w:val="00B050"/>
          <w:szCs w:val="20"/>
        </w:rPr>
      </w:pPr>
      <w:r w:rsidRPr="00304C03">
        <w:rPr>
          <w:rFonts w:eastAsiaTheme="minorHAnsi" w:cstheme="minorBidi"/>
          <w:b/>
          <w:bCs/>
          <w:color w:val="00B050"/>
          <w:szCs w:val="20"/>
        </w:rPr>
        <w:t>La fourchette des avantages est donc de 7</w:t>
      </w:r>
      <w:r w:rsidR="005B0C67">
        <w:rPr>
          <w:rFonts w:eastAsiaTheme="minorHAnsi" w:cstheme="minorBidi"/>
          <w:b/>
          <w:bCs/>
          <w:color w:val="00B050"/>
          <w:szCs w:val="20"/>
        </w:rPr>
        <w:t>0</w:t>
      </w:r>
      <w:r w:rsidRPr="00304C03">
        <w:rPr>
          <w:rFonts w:eastAsiaTheme="minorHAnsi" w:cstheme="minorBidi"/>
          <w:b/>
          <w:bCs/>
          <w:color w:val="00B050"/>
          <w:szCs w:val="20"/>
        </w:rPr>
        <w:t xml:space="preserve"> à 156 milliards d’euros au moins.</w:t>
      </w:r>
      <w:r w:rsidRPr="00304C03">
        <w:rPr>
          <w:rFonts w:eastAsiaTheme="minorHAnsi" w:cstheme="minorBidi"/>
          <w:color w:val="00B050"/>
          <w:szCs w:val="20"/>
        </w:rPr>
        <w:t xml:space="preserve"> </w:t>
      </w:r>
      <w:r w:rsidRPr="00304C03">
        <w:rPr>
          <w:rFonts w:eastAsiaTheme="minorHAnsi" w:cstheme="minorBidi"/>
          <w:b/>
          <w:bCs/>
          <w:color w:val="00B050"/>
          <w:szCs w:val="20"/>
        </w:rPr>
        <w:t xml:space="preserve">On aurait donc pu présenter une évaluation avec des avantages de l’ordre de 115 milliards au lieu de </w:t>
      </w:r>
      <w:r w:rsidR="005B0C67">
        <w:rPr>
          <w:rFonts w:eastAsiaTheme="minorHAnsi" w:cstheme="minorBidi"/>
          <w:b/>
          <w:bCs/>
          <w:color w:val="00B050"/>
          <w:szCs w:val="20"/>
        </w:rPr>
        <w:t>69,</w:t>
      </w:r>
      <w:r w:rsidR="00946EF9">
        <w:rPr>
          <w:rFonts w:eastAsiaTheme="minorHAnsi" w:cstheme="minorBidi"/>
          <w:b/>
          <w:bCs/>
          <w:color w:val="00B050"/>
          <w:szCs w:val="20"/>
        </w:rPr>
        <w:t>4</w:t>
      </w:r>
      <w:r w:rsidRPr="00304C03">
        <w:rPr>
          <w:rFonts w:eastAsiaTheme="minorHAnsi" w:cstheme="minorBidi"/>
          <w:b/>
          <w:bCs/>
          <w:color w:val="00B050"/>
          <w:szCs w:val="20"/>
        </w:rPr>
        <w:t xml:space="preserve"> comme dans </w:t>
      </w:r>
      <w:r w:rsidR="00946EF9">
        <w:rPr>
          <w:rFonts w:eastAsiaTheme="minorHAnsi" w:cstheme="minorBidi"/>
          <w:b/>
          <w:bCs/>
          <w:color w:val="00B050"/>
          <w:szCs w:val="20"/>
        </w:rPr>
        <w:t xml:space="preserve">cette </w:t>
      </w:r>
      <w:r w:rsidRPr="00304C03">
        <w:rPr>
          <w:rFonts w:eastAsiaTheme="minorHAnsi" w:cstheme="minorBidi"/>
          <w:b/>
          <w:bCs/>
          <w:color w:val="00B050"/>
          <w:szCs w:val="20"/>
        </w:rPr>
        <w:t xml:space="preserve">évaluation et ce chiffre </w:t>
      </w:r>
      <w:r w:rsidR="005B0C67">
        <w:rPr>
          <w:rFonts w:eastAsiaTheme="minorHAnsi" w:cstheme="minorBidi"/>
          <w:b/>
          <w:bCs/>
          <w:color w:val="00B050"/>
          <w:szCs w:val="20"/>
        </w:rPr>
        <w:t xml:space="preserve">de 115 </w:t>
      </w:r>
      <w:r w:rsidRPr="00304C03">
        <w:rPr>
          <w:rFonts w:eastAsiaTheme="minorHAnsi" w:cstheme="minorBidi"/>
          <w:b/>
          <w:bCs/>
          <w:color w:val="00B050"/>
          <w:szCs w:val="20"/>
        </w:rPr>
        <w:t>aurait lui-même été relativement prudent.</w:t>
      </w:r>
    </w:p>
    <w:p w14:paraId="4D516AB0" w14:textId="77777777" w:rsidR="00EA1E33" w:rsidRPr="00756CBF" w:rsidRDefault="00EA1E33" w:rsidP="00150A72">
      <w:pPr>
        <w:jc w:val="both"/>
        <w:rPr>
          <w:b/>
          <w:bCs/>
          <w:szCs w:val="20"/>
        </w:rPr>
      </w:pPr>
    </w:p>
    <w:p w14:paraId="5CF0229E" w14:textId="0E73FC4B" w:rsidR="00150A72" w:rsidRPr="00150A72" w:rsidRDefault="00150A72" w:rsidP="00150A72">
      <w:pPr>
        <w:jc w:val="both"/>
        <w:rPr>
          <w:szCs w:val="20"/>
        </w:rPr>
      </w:pPr>
      <w:r w:rsidRPr="00150A72">
        <w:rPr>
          <w:szCs w:val="20"/>
        </w:rPr>
        <w:t xml:space="preserve">Il convient de souligner que la </w:t>
      </w:r>
      <w:r w:rsidR="00A46C4F">
        <w:rPr>
          <w:szCs w:val="20"/>
        </w:rPr>
        <w:t xml:space="preserve">question de la </w:t>
      </w:r>
      <w:r w:rsidRPr="00150A72">
        <w:rPr>
          <w:szCs w:val="20"/>
        </w:rPr>
        <w:t xml:space="preserve">montée en puissance des avantages de toutes natures et les effets d’anticipation de la réalisation du Grand Paris Express n’ont pas donné lieu à des </w:t>
      </w:r>
      <w:r w:rsidR="00826559" w:rsidRPr="00150A72">
        <w:rPr>
          <w:szCs w:val="20"/>
        </w:rPr>
        <w:t>études documentées</w:t>
      </w:r>
      <w:r w:rsidRPr="00150A72">
        <w:rPr>
          <w:szCs w:val="20"/>
        </w:rPr>
        <w:t xml:space="preserve"> par la littérature économique. L</w:t>
      </w:r>
      <w:r w:rsidR="00A46C4F">
        <w:rPr>
          <w:szCs w:val="20"/>
        </w:rPr>
        <w:t xml:space="preserve">a présente </w:t>
      </w:r>
      <w:r w:rsidRPr="00150A72">
        <w:rPr>
          <w:szCs w:val="20"/>
        </w:rPr>
        <w:t xml:space="preserve">évaluation introduit une montée en puissance progressive </w:t>
      </w:r>
      <w:r w:rsidR="00A46C4F">
        <w:rPr>
          <w:szCs w:val="20"/>
        </w:rPr>
        <w:t xml:space="preserve">et prudente </w:t>
      </w:r>
      <w:r w:rsidRPr="00150A72">
        <w:rPr>
          <w:szCs w:val="20"/>
        </w:rPr>
        <w:t xml:space="preserve">pour les avantages économiques. </w:t>
      </w:r>
    </w:p>
    <w:p w14:paraId="12CE07DF" w14:textId="77777777" w:rsidR="00672C86" w:rsidRDefault="00672C86" w:rsidP="004243DF">
      <w:pPr>
        <w:widowControl w:val="0"/>
        <w:suppressAutoHyphens/>
        <w:jc w:val="both"/>
        <w:rPr>
          <w:rFonts w:eastAsia="Times New Roman"/>
          <w:bCs/>
          <w:i/>
          <w:iCs/>
          <w:color w:val="931638"/>
          <w:szCs w:val="20"/>
        </w:rPr>
      </w:pPr>
    </w:p>
    <w:p w14:paraId="36FE1D0D" w14:textId="4938602A" w:rsidR="004243DF" w:rsidRDefault="00200642" w:rsidP="004243DF">
      <w:pPr>
        <w:widowControl w:val="0"/>
        <w:suppressAutoHyphens/>
        <w:jc w:val="both"/>
        <w:rPr>
          <w:rFonts w:cs="Cambria"/>
          <w:position w:val="-1"/>
          <w:lang w:eastAsia="ar-SA"/>
        </w:rPr>
      </w:pPr>
      <w:r>
        <w:rPr>
          <w:rFonts w:eastAsia="Times New Roman"/>
          <w:bCs/>
          <w:i/>
          <w:iCs/>
          <w:color w:val="931638"/>
          <w:szCs w:val="20"/>
        </w:rPr>
        <w:lastRenderedPageBreak/>
        <w:t>Quelques considérations de méthode</w:t>
      </w:r>
    </w:p>
    <w:p w14:paraId="0DA14806" w14:textId="72B6695E" w:rsidR="004243DF" w:rsidRDefault="004243DF" w:rsidP="004243DF">
      <w:pPr>
        <w:widowControl w:val="0"/>
        <w:suppressAutoHyphens/>
        <w:jc w:val="both"/>
        <w:rPr>
          <w:rFonts w:cs="Cambria"/>
          <w:position w:val="-1"/>
          <w:lang w:eastAsia="ar-SA"/>
        </w:rPr>
      </w:pPr>
    </w:p>
    <w:p w14:paraId="61207942" w14:textId="3E0A8760" w:rsidR="00A13130" w:rsidRDefault="00200642" w:rsidP="004243DF">
      <w:pPr>
        <w:widowControl w:val="0"/>
        <w:suppressAutoHyphens/>
        <w:jc w:val="both"/>
        <w:rPr>
          <w:rFonts w:eastAsia="Times New Roman"/>
          <w:bCs/>
          <w:szCs w:val="20"/>
        </w:rPr>
      </w:pPr>
      <w:r w:rsidRPr="00EA1E33">
        <w:rPr>
          <w:rFonts w:eastAsia="Times New Roman"/>
          <w:bCs/>
          <w:szCs w:val="20"/>
        </w:rPr>
        <w:t xml:space="preserve">On constate que les effets sur l’emploi et </w:t>
      </w:r>
      <w:r w:rsidR="00161BBC">
        <w:rPr>
          <w:rFonts w:eastAsia="Times New Roman"/>
          <w:bCs/>
          <w:szCs w:val="20"/>
        </w:rPr>
        <w:t>d’agglomération</w:t>
      </w:r>
      <w:r w:rsidRPr="00EA1E33">
        <w:rPr>
          <w:rFonts w:eastAsia="Times New Roman"/>
          <w:bCs/>
          <w:szCs w:val="20"/>
        </w:rPr>
        <w:t xml:space="preserve"> représentent un montant élevé : la somme des effets d’agglomération et de la valeur des </w:t>
      </w:r>
      <w:r w:rsidR="004246BE">
        <w:rPr>
          <w:rFonts w:eastAsia="Times New Roman"/>
          <w:bCs/>
          <w:szCs w:val="20"/>
        </w:rPr>
        <w:t>,</w:t>
      </w:r>
      <w:r w:rsidRPr="00EA1E33">
        <w:rPr>
          <w:rFonts w:eastAsia="Times New Roman"/>
          <w:bCs/>
          <w:szCs w:val="20"/>
        </w:rPr>
        <w:t xml:space="preserve">emplois induits par la mise en service du Grand Paris Express représente un montant de minimum </w:t>
      </w:r>
      <w:r w:rsidR="00930880" w:rsidRPr="00EA1E33">
        <w:rPr>
          <w:rFonts w:eastAsia="Times New Roman"/>
          <w:bCs/>
          <w:szCs w:val="20"/>
        </w:rPr>
        <w:t xml:space="preserve">36 </w:t>
      </w:r>
      <w:r w:rsidRPr="00EA1E33">
        <w:rPr>
          <w:rFonts w:eastAsia="Times New Roman"/>
          <w:bCs/>
          <w:szCs w:val="20"/>
        </w:rPr>
        <w:t>milliards d’euros (</w:t>
      </w:r>
      <w:r w:rsidR="00161BBC">
        <w:rPr>
          <w:rFonts w:eastAsia="Times New Roman"/>
          <w:bCs/>
          <w:szCs w:val="20"/>
        </w:rPr>
        <w:t xml:space="preserve">donnée très prudente </w:t>
      </w:r>
      <w:r w:rsidRPr="00EA1E33">
        <w:rPr>
          <w:rFonts w:eastAsia="Times New Roman"/>
          <w:bCs/>
          <w:szCs w:val="20"/>
        </w:rPr>
        <w:t xml:space="preserve">qui </w:t>
      </w:r>
      <w:r w:rsidR="00161BBC">
        <w:rPr>
          <w:rFonts w:eastAsia="Times New Roman"/>
          <w:bCs/>
          <w:szCs w:val="20"/>
        </w:rPr>
        <w:t>pourrait</w:t>
      </w:r>
      <w:r w:rsidRPr="00EA1E33">
        <w:rPr>
          <w:rFonts w:eastAsia="Times New Roman"/>
          <w:bCs/>
          <w:szCs w:val="20"/>
        </w:rPr>
        <w:t xml:space="preserve"> être d’ailleurs deux fois supérieur</w:t>
      </w:r>
      <w:r w:rsidR="00DC3CE9">
        <w:rPr>
          <w:rFonts w:eastAsia="Times New Roman"/>
          <w:bCs/>
          <w:szCs w:val="20"/>
        </w:rPr>
        <w:t>e</w:t>
      </w:r>
      <w:r w:rsidR="00E267B6" w:rsidRPr="00EA1E33">
        <w:rPr>
          <w:rFonts w:eastAsia="Times New Roman"/>
          <w:bCs/>
          <w:szCs w:val="20"/>
        </w:rPr>
        <w:t>, voire plus,</w:t>
      </w:r>
      <w:r w:rsidRPr="00EA1E33">
        <w:rPr>
          <w:rFonts w:eastAsia="Times New Roman"/>
          <w:bCs/>
          <w:szCs w:val="20"/>
        </w:rPr>
        <w:t xml:space="preserve"> suivant les techniques de calcul et les hypothèse</w:t>
      </w:r>
      <w:r w:rsidR="00672C86">
        <w:rPr>
          <w:rFonts w:eastAsia="Times New Roman"/>
          <w:bCs/>
          <w:szCs w:val="20"/>
        </w:rPr>
        <w:t>s</w:t>
      </w:r>
      <w:r w:rsidRPr="00EA1E33">
        <w:rPr>
          <w:rFonts w:eastAsia="Times New Roman"/>
          <w:bCs/>
          <w:szCs w:val="20"/>
        </w:rPr>
        <w:t xml:space="preserve"> retenues pour </w:t>
      </w:r>
      <w:r w:rsidR="00672C86">
        <w:rPr>
          <w:rFonts w:eastAsia="Times New Roman"/>
          <w:bCs/>
          <w:szCs w:val="20"/>
        </w:rPr>
        <w:t xml:space="preserve">les </w:t>
      </w:r>
      <w:r w:rsidR="004366F5">
        <w:rPr>
          <w:rFonts w:eastAsia="Times New Roman"/>
          <w:bCs/>
          <w:szCs w:val="20"/>
        </w:rPr>
        <w:t>évaluations</w:t>
      </w:r>
      <w:r w:rsidR="00672C86">
        <w:rPr>
          <w:rFonts w:eastAsia="Times New Roman"/>
          <w:bCs/>
          <w:szCs w:val="20"/>
        </w:rPr>
        <w:t xml:space="preserve"> des différents postes</w:t>
      </w:r>
      <w:r w:rsidR="004366F5">
        <w:rPr>
          <w:rFonts w:eastAsia="Times New Roman"/>
          <w:bCs/>
          <w:szCs w:val="20"/>
        </w:rPr>
        <w:t xml:space="preserve"> de bénéfices économiques</w:t>
      </w:r>
      <w:r w:rsidRPr="00EA1E33">
        <w:rPr>
          <w:rFonts w:eastAsia="Times New Roman"/>
          <w:bCs/>
          <w:szCs w:val="20"/>
        </w:rPr>
        <w:t xml:space="preserve">), soit plus que les bénéfices pour les usagers et près de la moitié des avantages totaux. Ainsi il est avéré qu’un investissement transformationnel comme l’est </w:t>
      </w:r>
      <w:r w:rsidR="00E267B6" w:rsidRPr="00EA1E33">
        <w:rPr>
          <w:rFonts w:eastAsia="Times New Roman"/>
          <w:bCs/>
          <w:szCs w:val="20"/>
        </w:rPr>
        <w:t xml:space="preserve">le </w:t>
      </w:r>
      <w:r w:rsidRPr="00EA1E33">
        <w:rPr>
          <w:rFonts w:eastAsia="Times New Roman"/>
          <w:bCs/>
          <w:szCs w:val="20"/>
        </w:rPr>
        <w:t xml:space="preserve">Grand Paris Express représente par son utilité sociale beaucoup plus qu’un simple investissement de transport en commun. </w:t>
      </w:r>
      <w:r w:rsidR="003E4DA7" w:rsidRPr="00EA1E33">
        <w:rPr>
          <w:rFonts w:eastAsia="Times New Roman"/>
          <w:bCs/>
          <w:szCs w:val="20"/>
        </w:rPr>
        <w:t xml:space="preserve">Les méthodes utilisées pour documenter ce constat sont désormais éprouvées en ce qui concerne le Grand Paris Express, car les analyses de la Société du Grand Paris </w:t>
      </w:r>
      <w:r w:rsidR="004366F5">
        <w:rPr>
          <w:rFonts w:eastAsia="Times New Roman"/>
          <w:bCs/>
          <w:szCs w:val="20"/>
        </w:rPr>
        <w:t xml:space="preserve">sont basées sur un ensemble très complet de recherches économiques et </w:t>
      </w:r>
      <w:r w:rsidR="003E4DA7" w:rsidRPr="00EA1E33">
        <w:rPr>
          <w:rFonts w:eastAsia="Times New Roman"/>
          <w:bCs/>
          <w:szCs w:val="20"/>
        </w:rPr>
        <w:t xml:space="preserve">ont fait l’objet de deux séries d’analyses critiques, celles de son Conseil scientifique international qui a émis d’une manière indépendante deux avis en 2012 et en 2017 sur la conformité des méthodes utilisées au regard des connaissances les plus avancées dans le domaine de l’économie urbaine et de ses interactions avec les grandes infrastructures de transport, et les 8 </w:t>
      </w:r>
      <w:r w:rsidR="00377030" w:rsidRPr="00EA1E33">
        <w:rPr>
          <w:rFonts w:eastAsia="Times New Roman"/>
          <w:bCs/>
          <w:szCs w:val="20"/>
        </w:rPr>
        <w:t xml:space="preserve">contre-expertises </w:t>
      </w:r>
      <w:r w:rsidR="003E4DA7" w:rsidRPr="00EA1E33">
        <w:rPr>
          <w:rFonts w:eastAsia="Times New Roman"/>
          <w:bCs/>
          <w:szCs w:val="20"/>
        </w:rPr>
        <w:t xml:space="preserve">et avis du Commissariat général à l’investissement (devenu le Secrétariat général pour l’investissement) qui n’ont pas mis en lumière d’éléments majeurs susceptibles de remettre en question les ordres de grandeur fournis par les évaluations de la Société du Grand Paris. Il est certain que le caractère très novateur des recherches effectuées par la Société du Grand Paris peut amener à se poser la question de la </w:t>
      </w:r>
      <w:r w:rsidR="00A46C4F">
        <w:rPr>
          <w:rFonts w:eastAsia="Times New Roman"/>
          <w:bCs/>
          <w:szCs w:val="20"/>
        </w:rPr>
        <w:t>mise au point</w:t>
      </w:r>
      <w:r w:rsidR="003E4DA7" w:rsidRPr="00EA1E33">
        <w:rPr>
          <w:rFonts w:eastAsia="Times New Roman"/>
          <w:bCs/>
          <w:szCs w:val="20"/>
        </w:rPr>
        <w:t xml:space="preserve"> de méthodes standardisées pour calculer les bénéfices économiques de tels investissements. </w:t>
      </w:r>
      <w:r w:rsidR="00CA3AAE" w:rsidRPr="00EA1E33">
        <w:rPr>
          <w:rFonts w:eastAsia="Times New Roman"/>
          <w:bCs/>
          <w:szCs w:val="20"/>
        </w:rPr>
        <w:t xml:space="preserve">La recherche de méthodes et paramètres standards de calcul ni trop </w:t>
      </w:r>
      <w:r w:rsidR="00DC3CE9">
        <w:rPr>
          <w:rFonts w:eastAsia="Times New Roman"/>
          <w:bCs/>
          <w:szCs w:val="20"/>
        </w:rPr>
        <w:t>« </w:t>
      </w:r>
      <w:r w:rsidR="00CA3AAE" w:rsidRPr="00EA1E33">
        <w:rPr>
          <w:rFonts w:eastAsia="Times New Roman"/>
          <w:bCs/>
          <w:szCs w:val="20"/>
        </w:rPr>
        <w:t>restrictifs</w:t>
      </w:r>
      <w:r w:rsidR="00DC3CE9">
        <w:rPr>
          <w:rFonts w:eastAsia="Times New Roman"/>
          <w:bCs/>
          <w:szCs w:val="20"/>
        </w:rPr>
        <w:t> »</w:t>
      </w:r>
      <w:r w:rsidR="00CA3AAE" w:rsidRPr="00EA1E33">
        <w:rPr>
          <w:rFonts w:eastAsia="Times New Roman"/>
          <w:bCs/>
          <w:szCs w:val="20"/>
        </w:rPr>
        <w:t xml:space="preserve"> ni trop « généreux » risque cependant d’être délicate, étant entendu que chaque investissement transformationnel doit être étudié </w:t>
      </w:r>
      <w:r w:rsidR="00DC3CE9">
        <w:rPr>
          <w:rFonts w:eastAsia="Times New Roman"/>
          <w:bCs/>
          <w:szCs w:val="20"/>
        </w:rPr>
        <w:t>à l’aune de</w:t>
      </w:r>
      <w:r w:rsidR="00CA3AAE" w:rsidRPr="00EA1E33">
        <w:rPr>
          <w:rFonts w:eastAsia="Times New Roman"/>
          <w:bCs/>
          <w:szCs w:val="20"/>
        </w:rPr>
        <w:t xml:space="preserve"> son propre contexte, qui peut être très différent d’un investissement à l’autre. </w:t>
      </w:r>
    </w:p>
    <w:p w14:paraId="34F84A1D" w14:textId="34400504" w:rsidR="009A72A7" w:rsidRDefault="009A72A7" w:rsidP="004243DF">
      <w:pPr>
        <w:widowControl w:val="0"/>
        <w:suppressAutoHyphens/>
        <w:jc w:val="both"/>
        <w:rPr>
          <w:rFonts w:eastAsia="Times New Roman"/>
          <w:bCs/>
          <w:szCs w:val="20"/>
        </w:rPr>
      </w:pPr>
    </w:p>
    <w:p w14:paraId="58B0C8EB" w14:textId="45B21B58" w:rsidR="00114ABB" w:rsidRDefault="00CA3AAE" w:rsidP="004243DF">
      <w:pPr>
        <w:widowControl w:val="0"/>
        <w:suppressAutoHyphens/>
        <w:jc w:val="both"/>
        <w:rPr>
          <w:rFonts w:eastAsia="Times New Roman"/>
          <w:bCs/>
          <w:szCs w:val="20"/>
        </w:rPr>
      </w:pPr>
      <w:r w:rsidRPr="00EA1E33">
        <w:rPr>
          <w:rFonts w:eastAsia="Times New Roman"/>
          <w:bCs/>
          <w:szCs w:val="20"/>
        </w:rPr>
        <w:t>Au contraire de méthodes générales standardisées, rapidement dépassées, seul un programme d’études et de recherche</w:t>
      </w:r>
      <w:r w:rsidR="00E51881" w:rsidRPr="00EA1E33">
        <w:rPr>
          <w:rFonts w:eastAsia="Times New Roman"/>
          <w:bCs/>
          <w:szCs w:val="20"/>
        </w:rPr>
        <w:t xml:space="preserve"> idiosyncrasique</w:t>
      </w:r>
      <w:r w:rsidR="00A46C4F">
        <w:rPr>
          <w:rFonts w:eastAsia="Times New Roman"/>
          <w:bCs/>
          <w:szCs w:val="20"/>
        </w:rPr>
        <w:t xml:space="preserve"> à chaque investissement</w:t>
      </w:r>
      <w:r w:rsidRPr="00EA1E33">
        <w:rPr>
          <w:rFonts w:eastAsia="Times New Roman"/>
          <w:bCs/>
          <w:szCs w:val="20"/>
        </w:rPr>
        <w:t xml:space="preserve">, effectué sous un contrôle scientifique rigoureux, peut permettre de fournir à la puissance publique l’ensemble des éléments utiles à la décision publique, sachant </w:t>
      </w:r>
      <w:r w:rsidR="004366F5">
        <w:rPr>
          <w:rFonts w:eastAsia="Times New Roman"/>
          <w:bCs/>
          <w:szCs w:val="20"/>
        </w:rPr>
        <w:t xml:space="preserve">par ailleurs </w:t>
      </w:r>
      <w:r w:rsidRPr="00EA1E33">
        <w:rPr>
          <w:rFonts w:eastAsia="Times New Roman"/>
          <w:bCs/>
          <w:szCs w:val="20"/>
        </w:rPr>
        <w:t>que les éléments qualitatifs des analyses sont très importants</w:t>
      </w:r>
      <w:r w:rsidR="004366F5">
        <w:rPr>
          <w:rFonts w:eastAsia="Times New Roman"/>
          <w:bCs/>
          <w:szCs w:val="20"/>
        </w:rPr>
        <w:t>,</w:t>
      </w:r>
      <w:r w:rsidRPr="00EA1E33">
        <w:rPr>
          <w:rFonts w:eastAsia="Times New Roman"/>
          <w:bCs/>
          <w:szCs w:val="20"/>
        </w:rPr>
        <w:t xml:space="preserve"> en complément des méthodes issues du calcul économique.</w:t>
      </w:r>
    </w:p>
    <w:p w14:paraId="1ACF53CD" w14:textId="38A41A9D" w:rsidR="009A72A7" w:rsidRDefault="009A72A7" w:rsidP="004243DF">
      <w:pPr>
        <w:widowControl w:val="0"/>
        <w:suppressAutoHyphens/>
        <w:jc w:val="both"/>
        <w:rPr>
          <w:rFonts w:eastAsia="Times New Roman"/>
          <w:bCs/>
          <w:szCs w:val="20"/>
        </w:rPr>
      </w:pPr>
    </w:p>
    <w:p w14:paraId="0180B86C" w14:textId="27E617BA" w:rsidR="009A72A7" w:rsidRDefault="009A72A7" w:rsidP="009A72A7">
      <w:pPr>
        <w:widowControl w:val="0"/>
        <w:suppressAutoHyphens/>
        <w:jc w:val="both"/>
        <w:rPr>
          <w:rFonts w:eastAsia="Times New Roman"/>
          <w:bCs/>
          <w:i/>
          <w:iCs/>
          <w:color w:val="931638"/>
          <w:szCs w:val="20"/>
        </w:rPr>
      </w:pPr>
      <w:r>
        <w:rPr>
          <w:rFonts w:eastAsia="Times New Roman"/>
          <w:bCs/>
          <w:i/>
          <w:iCs/>
          <w:color w:val="931638"/>
          <w:szCs w:val="20"/>
        </w:rPr>
        <w:t>La comparaison avec les évaluations précédentes</w:t>
      </w:r>
    </w:p>
    <w:p w14:paraId="41290C64" w14:textId="0833D86D" w:rsidR="00173907" w:rsidRDefault="00173907" w:rsidP="009A72A7">
      <w:pPr>
        <w:widowControl w:val="0"/>
        <w:suppressAutoHyphens/>
        <w:jc w:val="both"/>
        <w:rPr>
          <w:rFonts w:eastAsia="Times New Roman"/>
          <w:bCs/>
          <w:i/>
          <w:iCs/>
          <w:color w:val="931638"/>
          <w:szCs w:val="20"/>
        </w:rPr>
      </w:pPr>
    </w:p>
    <w:p w14:paraId="5504EC1A" w14:textId="4193530B" w:rsidR="007B1CA0" w:rsidRPr="00304C03" w:rsidRDefault="00B50C46" w:rsidP="007B1CA0">
      <w:pPr>
        <w:widowControl w:val="0"/>
        <w:suppressAutoHyphens/>
        <w:jc w:val="both"/>
        <w:rPr>
          <w:rFonts w:eastAsia="Times New Roman"/>
          <w:bCs/>
          <w:color w:val="00B050"/>
          <w:szCs w:val="20"/>
        </w:rPr>
      </w:pPr>
      <w:bookmarkStart w:id="132" w:name="_Hlk64100875"/>
      <w:r w:rsidRPr="00304C03">
        <w:rPr>
          <w:rFonts w:eastAsia="Times New Roman"/>
          <w:bCs/>
          <w:color w:val="00B050"/>
          <w:szCs w:val="20"/>
        </w:rPr>
        <w:t xml:space="preserve">Les modifications intervenues dans les techniques d’évaluation, au-delà de modifications d’ordre technique, ont donc amené à revoir les estimations faites en 2015 dans les </w:t>
      </w:r>
      <w:r w:rsidR="007B1CA0" w:rsidRPr="00304C03">
        <w:rPr>
          <w:rFonts w:eastAsia="Times New Roman"/>
          <w:bCs/>
          <w:color w:val="00B050"/>
          <w:szCs w:val="20"/>
        </w:rPr>
        <w:t xml:space="preserve">dossiers d’enquête publique, </w:t>
      </w:r>
      <w:r w:rsidR="007B1CA0" w:rsidRPr="00A243A0">
        <w:rPr>
          <w:rFonts w:eastAsia="Times New Roman"/>
          <w:b/>
          <w:color w:val="00B050"/>
          <w:szCs w:val="20"/>
        </w:rPr>
        <w:t>principalement</w:t>
      </w:r>
      <w:r w:rsidR="00756CBF" w:rsidRPr="00A243A0">
        <w:rPr>
          <w:rFonts w:eastAsia="Times New Roman"/>
          <w:b/>
          <w:color w:val="00B050"/>
          <w:szCs w:val="20"/>
        </w:rPr>
        <w:t xml:space="preserve"> </w:t>
      </w:r>
      <w:r w:rsidR="00756CBF" w:rsidRPr="00304C03">
        <w:rPr>
          <w:rFonts w:eastAsia="Times New Roman"/>
          <w:bCs/>
          <w:color w:val="00B050"/>
          <w:szCs w:val="20"/>
        </w:rPr>
        <w:t>sur les postes suivants</w:t>
      </w:r>
      <w:r w:rsidR="007B1CA0" w:rsidRPr="00304C03">
        <w:rPr>
          <w:rFonts w:eastAsia="Times New Roman"/>
          <w:bCs/>
          <w:color w:val="00B050"/>
          <w:szCs w:val="20"/>
        </w:rPr>
        <w:t>, comme on l’a vu en détail dans les explications données plus haut dans le présent paragraphe</w:t>
      </w:r>
      <w:r w:rsidR="00756CBF" w:rsidRPr="00304C03">
        <w:rPr>
          <w:rFonts w:eastAsia="Times New Roman"/>
          <w:bCs/>
          <w:color w:val="00B050"/>
          <w:szCs w:val="20"/>
        </w:rPr>
        <w:t xml:space="preserve"> : </w:t>
      </w:r>
    </w:p>
    <w:p w14:paraId="7A1E5E78" w14:textId="778F1759" w:rsidR="00A243A0" w:rsidRPr="005B0C67" w:rsidRDefault="00A243A0" w:rsidP="005B0C67">
      <w:pPr>
        <w:pStyle w:val="Paragraphedeliste"/>
        <w:widowControl w:val="0"/>
        <w:numPr>
          <w:ilvl w:val="0"/>
          <w:numId w:val="38"/>
        </w:numPr>
        <w:suppressAutoHyphens/>
        <w:jc w:val="both"/>
        <w:rPr>
          <w:rFonts w:eastAsia="Times New Roman"/>
          <w:bCs/>
          <w:color w:val="00B050"/>
          <w:szCs w:val="20"/>
        </w:rPr>
      </w:pPr>
      <w:r>
        <w:rPr>
          <w:rFonts w:eastAsia="Times New Roman"/>
          <w:bCs/>
          <w:color w:val="00B050"/>
          <w:szCs w:val="20"/>
        </w:rPr>
        <w:t xml:space="preserve">le modèle de trafic utilisé est aujourd’hui le modèle MODUS-3 qui a subi de grandes améliorations par rapport au modèle MODUS-2 utilisé en 2015, sur la base de P+E </w:t>
      </w:r>
      <w:r w:rsidR="005B0C67">
        <w:rPr>
          <w:rFonts w:eastAsia="Times New Roman"/>
          <w:bCs/>
          <w:color w:val="00B050"/>
          <w:szCs w:val="20"/>
        </w:rPr>
        <w:t xml:space="preserve">actualisés mais </w:t>
      </w:r>
      <w:r>
        <w:rPr>
          <w:rFonts w:eastAsia="Times New Roman"/>
          <w:bCs/>
          <w:color w:val="00B050"/>
          <w:szCs w:val="20"/>
        </w:rPr>
        <w:t>maintenant identiques en situation de référence et en projet</w:t>
      </w:r>
      <w:r w:rsidR="004E6F4A">
        <w:rPr>
          <w:rFonts w:eastAsia="Times New Roman"/>
          <w:bCs/>
          <w:color w:val="00B050"/>
          <w:szCs w:val="20"/>
        </w:rPr>
        <w:t>, ce qui sous-estime par ailleurs l’impact du Grand Paris Express.</w:t>
      </w:r>
    </w:p>
    <w:p w14:paraId="4CC3B90D" w14:textId="0A34D63A" w:rsidR="007B1CA0" w:rsidRDefault="005B0C67" w:rsidP="00412C10">
      <w:pPr>
        <w:pStyle w:val="Paragraphedeliste"/>
        <w:widowControl w:val="0"/>
        <w:numPr>
          <w:ilvl w:val="0"/>
          <w:numId w:val="38"/>
        </w:numPr>
        <w:suppressAutoHyphens/>
        <w:jc w:val="both"/>
        <w:rPr>
          <w:rFonts w:eastAsia="Times New Roman"/>
          <w:bCs/>
          <w:color w:val="00B050"/>
          <w:szCs w:val="20"/>
        </w:rPr>
      </w:pPr>
      <w:r w:rsidRPr="005B0C67">
        <w:rPr>
          <w:rFonts w:eastAsia="Times New Roman"/>
          <w:bCs/>
          <w:color w:val="00B050"/>
          <w:szCs w:val="20"/>
        </w:rPr>
        <w:t xml:space="preserve">les effets d’agglomération </w:t>
      </w:r>
      <w:r w:rsidR="00756CBF" w:rsidRPr="00304C03">
        <w:rPr>
          <w:rFonts w:eastAsia="Times New Roman"/>
          <w:bCs/>
          <w:color w:val="00B050"/>
          <w:szCs w:val="20"/>
        </w:rPr>
        <w:t>étaient établis</w:t>
      </w:r>
      <w:r w:rsidR="007B1CA0" w:rsidRPr="00304C03">
        <w:rPr>
          <w:rFonts w:eastAsia="Times New Roman"/>
          <w:bCs/>
          <w:color w:val="00B050"/>
          <w:szCs w:val="20"/>
        </w:rPr>
        <w:t xml:space="preserve"> uniquement à l’époque sur la base des effets statiques. </w:t>
      </w:r>
      <w:r w:rsidR="00946EF9">
        <w:rPr>
          <w:rFonts w:eastAsia="Times New Roman"/>
          <w:bCs/>
          <w:color w:val="00B050"/>
          <w:szCs w:val="20"/>
        </w:rPr>
        <w:t>Les</w:t>
      </w:r>
      <w:r w:rsidR="007B1CA0" w:rsidRPr="00304C03">
        <w:rPr>
          <w:rFonts w:eastAsia="Times New Roman"/>
          <w:bCs/>
          <w:color w:val="00B050"/>
          <w:szCs w:val="20"/>
        </w:rPr>
        <w:t xml:space="preserve"> effets d’agglomérations </w:t>
      </w:r>
      <w:r w:rsidR="00946EF9">
        <w:rPr>
          <w:rFonts w:eastAsia="Times New Roman"/>
          <w:bCs/>
          <w:color w:val="00B050"/>
          <w:szCs w:val="20"/>
        </w:rPr>
        <w:t>sont aujourd’hui</w:t>
      </w:r>
      <w:r w:rsidR="007B1CA0" w:rsidRPr="00304C03">
        <w:rPr>
          <w:rFonts w:eastAsia="Times New Roman"/>
          <w:bCs/>
          <w:color w:val="00B050"/>
          <w:szCs w:val="20"/>
        </w:rPr>
        <w:t xml:space="preserve"> estimés en prenant en compte également les effets dynamiques et </w:t>
      </w:r>
      <w:r>
        <w:rPr>
          <w:rFonts w:eastAsia="Times New Roman"/>
          <w:bCs/>
          <w:color w:val="00B050"/>
          <w:szCs w:val="20"/>
        </w:rPr>
        <w:t xml:space="preserve">son calculés </w:t>
      </w:r>
      <w:r w:rsidR="007B1CA0" w:rsidRPr="00304C03">
        <w:rPr>
          <w:rFonts w:eastAsia="Times New Roman"/>
          <w:bCs/>
          <w:color w:val="00B050"/>
          <w:szCs w:val="20"/>
        </w:rPr>
        <w:t xml:space="preserve">sur la base des derniers résultats d’Urbansim. </w:t>
      </w:r>
      <w:r w:rsidRPr="00304C03">
        <w:rPr>
          <w:rFonts w:eastAsia="Times New Roman"/>
          <w:bCs/>
          <w:color w:val="00B050"/>
          <w:szCs w:val="20"/>
        </w:rPr>
        <w:t>Cependant les effets d’agglomération associées aux gains de potentiel marchand (appelés effets d’accessibilité dans les Guidances anglaises) ne sont toujours pas pris en compte alors qu’ils sont significatifs.</w:t>
      </w:r>
      <w:r>
        <w:rPr>
          <w:rFonts w:eastAsia="Times New Roman"/>
          <w:bCs/>
          <w:color w:val="00B050"/>
          <w:szCs w:val="20"/>
        </w:rPr>
        <w:t xml:space="preserve"> </w:t>
      </w:r>
    </w:p>
    <w:p w14:paraId="7D3A28DF" w14:textId="571939D4" w:rsidR="00A243A0" w:rsidRPr="005B0C67" w:rsidRDefault="005B0C67" w:rsidP="005B0C67">
      <w:pPr>
        <w:pStyle w:val="Paragraphedeliste"/>
        <w:widowControl w:val="0"/>
        <w:numPr>
          <w:ilvl w:val="0"/>
          <w:numId w:val="38"/>
        </w:numPr>
        <w:suppressAutoHyphens/>
        <w:jc w:val="both"/>
        <w:rPr>
          <w:rFonts w:eastAsia="Times New Roman"/>
          <w:bCs/>
          <w:color w:val="00B050"/>
          <w:szCs w:val="20"/>
        </w:rPr>
      </w:pPr>
      <w:r w:rsidRPr="00304C03">
        <w:rPr>
          <w:rFonts w:eastAsia="Times New Roman"/>
          <w:bCs/>
          <w:color w:val="00B050"/>
          <w:szCs w:val="20"/>
        </w:rPr>
        <w:t xml:space="preserve">en 2015, on avait explicité dans le bilan un calcul pour les effets de réallocation des emplois de zone moins productives vers des zones plus productives. </w:t>
      </w:r>
      <w:r w:rsidR="004E6F4A">
        <w:rPr>
          <w:rFonts w:eastAsia="Times New Roman"/>
          <w:bCs/>
          <w:color w:val="00B050"/>
          <w:szCs w:val="20"/>
        </w:rPr>
        <w:t>C</w:t>
      </w:r>
      <w:r w:rsidRPr="00304C03">
        <w:rPr>
          <w:rFonts w:eastAsia="Times New Roman"/>
          <w:bCs/>
          <w:color w:val="00B050"/>
          <w:szCs w:val="20"/>
        </w:rPr>
        <w:t>e poste</w:t>
      </w:r>
      <w:r w:rsidRPr="005B0C67">
        <w:rPr>
          <w:rFonts w:eastAsia="Times New Roman"/>
          <w:bCs/>
          <w:color w:val="00B050"/>
          <w:szCs w:val="20"/>
        </w:rPr>
        <w:t xml:space="preserve"> </w:t>
      </w:r>
      <w:r w:rsidRPr="00304C03">
        <w:rPr>
          <w:rFonts w:eastAsia="Times New Roman"/>
          <w:bCs/>
          <w:color w:val="00B050"/>
          <w:szCs w:val="20"/>
        </w:rPr>
        <w:t>n’est plus intégré, compte tenu de l’amélioration des connaissances sur ces effets économiques et des recherches effectuées sur les effets d’agglomération</w:t>
      </w:r>
      <w:r w:rsidR="004E6F4A">
        <w:rPr>
          <w:rFonts w:eastAsia="Times New Roman"/>
          <w:bCs/>
          <w:color w:val="00B050"/>
          <w:szCs w:val="20"/>
        </w:rPr>
        <w:t xml:space="preserve">. Cette méthode était </w:t>
      </w:r>
      <w:r w:rsidRPr="00304C03">
        <w:rPr>
          <w:rFonts w:eastAsia="Times New Roman"/>
          <w:bCs/>
          <w:color w:val="00B050"/>
          <w:szCs w:val="20"/>
        </w:rPr>
        <w:t>inspiré</w:t>
      </w:r>
      <w:r w:rsidR="004E6F4A">
        <w:rPr>
          <w:rFonts w:eastAsia="Times New Roman"/>
          <w:bCs/>
          <w:color w:val="00B050"/>
          <w:szCs w:val="20"/>
        </w:rPr>
        <w:t xml:space="preserve">e des </w:t>
      </w:r>
      <w:r w:rsidRPr="00304C03">
        <w:rPr>
          <w:rFonts w:eastAsia="Times New Roman"/>
          <w:bCs/>
          <w:color w:val="00B050"/>
          <w:szCs w:val="20"/>
        </w:rPr>
        <w:t>directives anglaises sur les effets économique</w:t>
      </w:r>
      <w:r w:rsidR="004E6F4A">
        <w:rPr>
          <w:rFonts w:eastAsia="Times New Roman"/>
          <w:bCs/>
          <w:color w:val="00B050"/>
          <w:szCs w:val="20"/>
        </w:rPr>
        <w:t>s</w:t>
      </w:r>
      <w:r w:rsidRPr="00304C03">
        <w:rPr>
          <w:rFonts w:eastAsia="Times New Roman"/>
          <w:bCs/>
          <w:color w:val="00B050"/>
          <w:szCs w:val="20"/>
        </w:rPr>
        <w:t xml:space="preserve"> mais </w:t>
      </w:r>
      <w:r w:rsidR="004E6F4A">
        <w:rPr>
          <w:rFonts w:eastAsia="Times New Roman"/>
          <w:bCs/>
          <w:color w:val="00B050"/>
          <w:szCs w:val="20"/>
        </w:rPr>
        <w:t xml:space="preserve">le </w:t>
      </w:r>
      <w:r w:rsidR="004E6F4A" w:rsidRPr="00304C03">
        <w:rPr>
          <w:rFonts w:eastAsia="Times New Roman"/>
          <w:bCs/>
          <w:color w:val="00B050"/>
          <w:szCs w:val="20"/>
        </w:rPr>
        <w:t>poste réallocation n’est plus pris en compte</w:t>
      </w:r>
      <w:r w:rsidR="004E6F4A">
        <w:rPr>
          <w:rFonts w:eastAsia="Times New Roman"/>
          <w:bCs/>
          <w:color w:val="00B050"/>
          <w:szCs w:val="20"/>
        </w:rPr>
        <w:t xml:space="preserve"> car ce phénomène économique </w:t>
      </w:r>
      <w:r w:rsidRPr="00304C03">
        <w:rPr>
          <w:rFonts w:eastAsia="Times New Roman"/>
          <w:bCs/>
          <w:color w:val="00B050"/>
          <w:szCs w:val="20"/>
        </w:rPr>
        <w:t xml:space="preserve">est désormais </w:t>
      </w:r>
      <w:r w:rsidR="004E6F4A">
        <w:rPr>
          <w:rFonts w:eastAsia="Times New Roman"/>
          <w:bCs/>
          <w:color w:val="00B050"/>
          <w:szCs w:val="20"/>
        </w:rPr>
        <w:t>intégré</w:t>
      </w:r>
      <w:r>
        <w:rPr>
          <w:rFonts w:eastAsia="Times New Roman"/>
          <w:bCs/>
          <w:color w:val="00B050"/>
          <w:szCs w:val="20"/>
        </w:rPr>
        <w:t xml:space="preserve"> </w:t>
      </w:r>
      <w:r w:rsidRPr="00304C03">
        <w:rPr>
          <w:rFonts w:eastAsia="Times New Roman"/>
          <w:bCs/>
          <w:color w:val="00B050"/>
          <w:szCs w:val="20"/>
        </w:rPr>
        <w:t xml:space="preserve">dans les estimations directes sur la France faites sur les effets d’agglomération. La somme des deux postes « effets de réallocation et effets d’agglomération » est d’ailleurs plus faible </w:t>
      </w:r>
      <w:r w:rsidR="004E6F4A">
        <w:rPr>
          <w:rFonts w:eastAsia="Times New Roman"/>
          <w:bCs/>
          <w:color w:val="00B050"/>
          <w:szCs w:val="20"/>
        </w:rPr>
        <w:t>aujourd’hui</w:t>
      </w:r>
      <w:r w:rsidRPr="00304C03">
        <w:rPr>
          <w:rFonts w:eastAsia="Times New Roman"/>
          <w:bCs/>
          <w:color w:val="00B050"/>
          <w:szCs w:val="20"/>
        </w:rPr>
        <w:t xml:space="preserve"> qu’elle l’était dans les évaluations de 2013 à 2015.</w:t>
      </w:r>
    </w:p>
    <w:p w14:paraId="0B9EF99F" w14:textId="5C364A19" w:rsidR="007B1CA0" w:rsidRDefault="00756CBF" w:rsidP="00412C10">
      <w:pPr>
        <w:pStyle w:val="Paragraphedeliste"/>
        <w:widowControl w:val="0"/>
        <w:numPr>
          <w:ilvl w:val="0"/>
          <w:numId w:val="38"/>
        </w:numPr>
        <w:suppressAutoHyphens/>
        <w:jc w:val="both"/>
        <w:rPr>
          <w:rFonts w:eastAsia="Times New Roman"/>
          <w:bCs/>
          <w:color w:val="00B050"/>
          <w:szCs w:val="20"/>
        </w:rPr>
      </w:pPr>
      <w:r w:rsidRPr="00304C03">
        <w:rPr>
          <w:rFonts w:eastAsia="Times New Roman"/>
          <w:bCs/>
          <w:color w:val="00B050"/>
          <w:szCs w:val="20"/>
        </w:rPr>
        <w:t>l</w:t>
      </w:r>
      <w:r w:rsidR="007B1CA0" w:rsidRPr="00304C03">
        <w:rPr>
          <w:rFonts w:eastAsia="Times New Roman"/>
          <w:bCs/>
          <w:color w:val="00B050"/>
          <w:szCs w:val="20"/>
        </w:rPr>
        <w:t>a valorisation des nouveaux emplois est calculée sur la base des 115000 emplois et d’une valorisation unitaire de 10 000 € mais par prudence on n</w:t>
      </w:r>
      <w:r w:rsidR="00A243A0">
        <w:rPr>
          <w:rFonts w:eastAsia="Times New Roman"/>
          <w:bCs/>
          <w:color w:val="00B050"/>
          <w:szCs w:val="20"/>
        </w:rPr>
        <w:t>’</w:t>
      </w:r>
      <w:r w:rsidR="007B1CA0" w:rsidRPr="00304C03">
        <w:rPr>
          <w:rFonts w:eastAsia="Times New Roman"/>
          <w:bCs/>
          <w:color w:val="00B050"/>
          <w:szCs w:val="20"/>
        </w:rPr>
        <w:t>avait retenu en 2015 que la moitié de la valorisation globale</w:t>
      </w:r>
      <w:r w:rsidR="005B0C67">
        <w:rPr>
          <w:rFonts w:eastAsia="Times New Roman"/>
          <w:bCs/>
          <w:color w:val="00B050"/>
          <w:szCs w:val="20"/>
        </w:rPr>
        <w:t xml:space="preserve"> par une sorte de « règle du pouce » courante dans les évaluations mais qui n’a plus lieu d’être aujourd’hui</w:t>
      </w:r>
      <w:r w:rsidR="007B1CA0" w:rsidRPr="00304C03">
        <w:rPr>
          <w:rFonts w:eastAsia="Times New Roman"/>
          <w:bCs/>
          <w:color w:val="00B050"/>
          <w:szCs w:val="20"/>
        </w:rPr>
        <w:t xml:space="preserve">. </w:t>
      </w:r>
      <w:r w:rsidR="005B0C67">
        <w:rPr>
          <w:rFonts w:eastAsia="Times New Roman"/>
          <w:bCs/>
          <w:color w:val="00B050"/>
          <w:szCs w:val="20"/>
        </w:rPr>
        <w:t>L</w:t>
      </w:r>
      <w:r w:rsidR="007B1CA0" w:rsidRPr="00304C03">
        <w:rPr>
          <w:rFonts w:eastAsia="Times New Roman"/>
          <w:bCs/>
          <w:color w:val="00B050"/>
          <w:szCs w:val="20"/>
        </w:rPr>
        <w:t>e mode de calcul reste par ailleurs identique à celui de 2015.</w:t>
      </w:r>
      <w:r w:rsidR="005B5C7D">
        <w:rPr>
          <w:rFonts w:eastAsia="Times New Roman"/>
          <w:bCs/>
          <w:color w:val="00B050"/>
          <w:szCs w:val="20"/>
        </w:rPr>
        <w:t xml:space="preserve"> </w:t>
      </w:r>
      <w:r w:rsidR="005B0C67">
        <w:rPr>
          <w:rFonts w:eastAsia="Times New Roman"/>
          <w:bCs/>
          <w:color w:val="00B050"/>
          <w:szCs w:val="20"/>
        </w:rPr>
        <w:t>La suppression de cette « règle du pouce »</w:t>
      </w:r>
      <w:r w:rsidR="005B5C7D">
        <w:rPr>
          <w:rFonts w:eastAsia="Times New Roman"/>
          <w:bCs/>
          <w:color w:val="00B050"/>
          <w:szCs w:val="20"/>
        </w:rPr>
        <w:t xml:space="preserve"> conduisait ainsi </w:t>
      </w:r>
      <w:r w:rsidR="005B0C67">
        <w:rPr>
          <w:rFonts w:eastAsia="Times New Roman"/>
          <w:bCs/>
          <w:color w:val="00B050"/>
          <w:szCs w:val="20"/>
        </w:rPr>
        <w:t xml:space="preserve">en 2015 </w:t>
      </w:r>
      <w:r w:rsidR="005B5C7D">
        <w:rPr>
          <w:rFonts w:eastAsia="Times New Roman"/>
          <w:bCs/>
          <w:color w:val="00B050"/>
          <w:szCs w:val="20"/>
        </w:rPr>
        <w:t>à des bénéfices économiques liés aux emplois induits de moitié par rapport aux données actuelles.</w:t>
      </w:r>
    </w:p>
    <w:p w14:paraId="0929C695" w14:textId="7DCC6AA1" w:rsidR="007B1CA0" w:rsidRDefault="00756CBF" w:rsidP="00412C10">
      <w:pPr>
        <w:pStyle w:val="Paragraphedeliste"/>
        <w:widowControl w:val="0"/>
        <w:numPr>
          <w:ilvl w:val="0"/>
          <w:numId w:val="38"/>
        </w:numPr>
        <w:suppressAutoHyphens/>
        <w:jc w:val="both"/>
        <w:rPr>
          <w:rFonts w:eastAsia="Times New Roman"/>
          <w:bCs/>
          <w:color w:val="00B050"/>
          <w:szCs w:val="20"/>
        </w:rPr>
      </w:pPr>
      <w:r w:rsidRPr="00304C03">
        <w:rPr>
          <w:rFonts w:eastAsia="Times New Roman"/>
          <w:bCs/>
          <w:color w:val="00B050"/>
          <w:szCs w:val="20"/>
        </w:rPr>
        <w:t>e</w:t>
      </w:r>
      <w:r w:rsidR="007B1CA0" w:rsidRPr="00304C03">
        <w:rPr>
          <w:rFonts w:eastAsia="Times New Roman"/>
          <w:bCs/>
          <w:color w:val="00B050"/>
          <w:szCs w:val="20"/>
        </w:rPr>
        <w:t xml:space="preserve">nfin l’application des circulaires de 2014 amène à intégrer </w:t>
      </w:r>
      <w:r w:rsidRPr="00304C03">
        <w:rPr>
          <w:rFonts w:eastAsia="Times New Roman"/>
          <w:bCs/>
          <w:color w:val="00B050"/>
          <w:szCs w:val="20"/>
        </w:rPr>
        <w:t xml:space="preserve">la valorisation des emplois de chantier </w:t>
      </w:r>
      <w:r w:rsidR="007B1CA0" w:rsidRPr="00304C03">
        <w:rPr>
          <w:rFonts w:eastAsia="Times New Roman"/>
          <w:bCs/>
          <w:color w:val="00B050"/>
          <w:szCs w:val="20"/>
        </w:rPr>
        <w:t>dans le bilan des avantages</w:t>
      </w:r>
    </w:p>
    <w:bookmarkEnd w:id="132"/>
    <w:p w14:paraId="2E7A32F1" w14:textId="77777777" w:rsidR="00173907" w:rsidRPr="00304C03" w:rsidRDefault="00173907" w:rsidP="00173907">
      <w:pPr>
        <w:rPr>
          <w:rFonts w:eastAsiaTheme="minorHAnsi"/>
          <w:b/>
          <w:bCs/>
          <w:color w:val="00B050"/>
          <w:szCs w:val="20"/>
        </w:rPr>
      </w:pPr>
    </w:p>
    <w:tbl>
      <w:tblPr>
        <w:tblW w:w="6378"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27"/>
        <w:gridCol w:w="850"/>
        <w:gridCol w:w="851"/>
        <w:gridCol w:w="850"/>
      </w:tblGrid>
      <w:tr w:rsidR="00B50C46" w:rsidRPr="00304C03" w14:paraId="3C7A000A" w14:textId="77777777" w:rsidTr="004B59E7">
        <w:trPr>
          <w:trHeight w:val="227"/>
        </w:trPr>
        <w:tc>
          <w:tcPr>
            <w:tcW w:w="3827" w:type="dxa"/>
            <w:shd w:val="clear" w:color="auto" w:fill="auto"/>
            <w:noWrap/>
            <w:vAlign w:val="bottom"/>
          </w:tcPr>
          <w:p w14:paraId="4CD30A07" w14:textId="294AD583" w:rsidR="00B50C46" w:rsidRPr="00304C03" w:rsidRDefault="00A243A0" w:rsidP="004B59E7">
            <w:pPr>
              <w:rPr>
                <w:rFonts w:eastAsia="Times New Roman" w:cs="Calibri"/>
                <w:color w:val="00B050"/>
                <w:szCs w:val="20"/>
                <w:lang w:eastAsia="fr-FR"/>
              </w:rPr>
            </w:pPr>
            <w:r>
              <w:rPr>
                <w:rFonts w:eastAsia="Times New Roman" w:cs="Calibri"/>
                <w:color w:val="00B050"/>
                <w:szCs w:val="20"/>
                <w:lang w:eastAsia="fr-FR"/>
              </w:rPr>
              <w:t>Schéma d’ensemble</w:t>
            </w:r>
          </w:p>
        </w:tc>
        <w:tc>
          <w:tcPr>
            <w:tcW w:w="850" w:type="dxa"/>
            <w:shd w:val="clear" w:color="auto" w:fill="auto"/>
            <w:noWrap/>
            <w:vAlign w:val="center"/>
          </w:tcPr>
          <w:p w14:paraId="5734865C" w14:textId="4AFF5EBF" w:rsidR="00B50C46" w:rsidRPr="00304C03" w:rsidRDefault="00B50C46" w:rsidP="004B59E7">
            <w:pPr>
              <w:jc w:val="center"/>
              <w:rPr>
                <w:rFonts w:eastAsia="Times New Roman" w:cs="Calibri"/>
                <w:color w:val="00B050"/>
                <w:szCs w:val="20"/>
                <w:lang w:eastAsia="fr-FR"/>
              </w:rPr>
            </w:pPr>
            <w:r w:rsidRPr="00304C03">
              <w:rPr>
                <w:rFonts w:eastAsia="Times New Roman" w:cs="Calibri"/>
                <w:color w:val="00B050"/>
                <w:szCs w:val="20"/>
                <w:lang w:eastAsia="fr-FR"/>
              </w:rPr>
              <w:t>2015</w:t>
            </w:r>
          </w:p>
        </w:tc>
        <w:tc>
          <w:tcPr>
            <w:tcW w:w="1701" w:type="dxa"/>
            <w:gridSpan w:val="2"/>
            <w:shd w:val="clear" w:color="auto" w:fill="auto"/>
            <w:noWrap/>
            <w:vAlign w:val="center"/>
          </w:tcPr>
          <w:p w14:paraId="2074D0C6" w14:textId="676158B4" w:rsidR="00B50C46" w:rsidRPr="00304C03" w:rsidRDefault="00B50C46" w:rsidP="004B59E7">
            <w:pPr>
              <w:jc w:val="center"/>
              <w:rPr>
                <w:rFonts w:eastAsia="Times New Roman" w:cs="Calibri"/>
                <w:color w:val="00B050"/>
                <w:szCs w:val="20"/>
                <w:lang w:eastAsia="fr-FR"/>
              </w:rPr>
            </w:pPr>
            <w:r w:rsidRPr="00304C03">
              <w:rPr>
                <w:rFonts w:eastAsia="Times New Roman" w:cs="Calibri"/>
                <w:color w:val="00B050"/>
                <w:szCs w:val="20"/>
                <w:lang w:eastAsia="fr-FR"/>
              </w:rPr>
              <w:t>2020</w:t>
            </w:r>
          </w:p>
        </w:tc>
      </w:tr>
      <w:tr w:rsidR="00B50C46" w:rsidRPr="00304C03" w14:paraId="0F35B7A9" w14:textId="77777777" w:rsidTr="004B59E7">
        <w:trPr>
          <w:trHeight w:val="227"/>
        </w:trPr>
        <w:tc>
          <w:tcPr>
            <w:tcW w:w="3827" w:type="dxa"/>
            <w:shd w:val="clear" w:color="auto" w:fill="auto"/>
            <w:noWrap/>
            <w:vAlign w:val="bottom"/>
          </w:tcPr>
          <w:p w14:paraId="779FD524" w14:textId="0BC07A24" w:rsidR="00B50C46" w:rsidRPr="00304C03" w:rsidRDefault="00A243A0" w:rsidP="004B59E7">
            <w:pPr>
              <w:rPr>
                <w:rFonts w:eastAsia="Times New Roman" w:cs="Calibri"/>
                <w:color w:val="00B050"/>
                <w:szCs w:val="20"/>
                <w:lang w:eastAsia="fr-FR"/>
              </w:rPr>
            </w:pPr>
            <w:r w:rsidRPr="00304C03">
              <w:rPr>
                <w:rFonts w:eastAsia="Times New Roman" w:cs="Calibri"/>
                <w:color w:val="00B050"/>
                <w:szCs w:val="20"/>
                <w:lang w:eastAsia="fr-FR"/>
              </w:rPr>
              <w:t>Evaluations en milliards d’euros</w:t>
            </w:r>
          </w:p>
        </w:tc>
        <w:tc>
          <w:tcPr>
            <w:tcW w:w="850" w:type="dxa"/>
            <w:shd w:val="clear" w:color="auto" w:fill="auto"/>
            <w:noWrap/>
            <w:vAlign w:val="bottom"/>
          </w:tcPr>
          <w:p w14:paraId="49C0B7D2" w14:textId="3A3F3794" w:rsidR="00B50C46" w:rsidRPr="00304C03" w:rsidRDefault="00B50C46" w:rsidP="004B59E7">
            <w:pPr>
              <w:jc w:val="right"/>
              <w:rPr>
                <w:rFonts w:eastAsia="Times New Roman" w:cs="Calibri"/>
                <w:color w:val="00B050"/>
                <w:szCs w:val="20"/>
                <w:lang w:eastAsia="fr-FR"/>
              </w:rPr>
            </w:pPr>
            <w:r w:rsidRPr="00304C03">
              <w:rPr>
                <w:rFonts w:eastAsia="Times New Roman" w:cs="Calibri"/>
                <w:color w:val="00B050"/>
                <w:szCs w:val="20"/>
                <w:lang w:eastAsia="fr-FR"/>
              </w:rPr>
              <w:t xml:space="preserve">€ 2010 </w:t>
            </w:r>
          </w:p>
        </w:tc>
        <w:tc>
          <w:tcPr>
            <w:tcW w:w="851" w:type="dxa"/>
            <w:shd w:val="clear" w:color="auto" w:fill="auto"/>
            <w:noWrap/>
            <w:vAlign w:val="bottom"/>
          </w:tcPr>
          <w:p w14:paraId="0158C2F1" w14:textId="3EBB8F4D" w:rsidR="00B50C46" w:rsidRPr="00304C03" w:rsidRDefault="00B50C46" w:rsidP="004B59E7">
            <w:pPr>
              <w:jc w:val="right"/>
              <w:rPr>
                <w:rFonts w:eastAsia="Times New Roman" w:cs="Calibri"/>
                <w:color w:val="00B050"/>
                <w:szCs w:val="20"/>
                <w:lang w:eastAsia="fr-FR"/>
              </w:rPr>
            </w:pPr>
            <w:r w:rsidRPr="00304C03">
              <w:rPr>
                <w:rFonts w:eastAsia="Times New Roman" w:cs="Calibri"/>
                <w:color w:val="00B050"/>
                <w:szCs w:val="20"/>
                <w:lang w:eastAsia="fr-FR"/>
              </w:rPr>
              <w:t>€ 2010</w:t>
            </w:r>
          </w:p>
        </w:tc>
        <w:tc>
          <w:tcPr>
            <w:tcW w:w="850" w:type="dxa"/>
            <w:shd w:val="clear" w:color="auto" w:fill="auto"/>
            <w:vAlign w:val="bottom"/>
          </w:tcPr>
          <w:p w14:paraId="453B4E40" w14:textId="78824272" w:rsidR="00B50C46" w:rsidRPr="00304C03" w:rsidRDefault="00B50C46" w:rsidP="004B59E7">
            <w:pPr>
              <w:jc w:val="right"/>
              <w:rPr>
                <w:rFonts w:eastAsia="Times New Roman" w:cs="Calibri"/>
                <w:color w:val="00B050"/>
                <w:szCs w:val="20"/>
                <w:lang w:eastAsia="fr-FR"/>
              </w:rPr>
            </w:pPr>
            <w:r w:rsidRPr="00304C03">
              <w:rPr>
                <w:rFonts w:eastAsia="Times New Roman" w:cs="Calibri"/>
                <w:color w:val="00B050"/>
                <w:szCs w:val="20"/>
                <w:lang w:eastAsia="fr-FR"/>
              </w:rPr>
              <w:t>€ 2015</w:t>
            </w:r>
          </w:p>
        </w:tc>
      </w:tr>
      <w:tr w:rsidR="00B50C46" w:rsidRPr="00304C03" w14:paraId="2258493E" w14:textId="77777777" w:rsidTr="004B59E7">
        <w:trPr>
          <w:trHeight w:val="227"/>
        </w:trPr>
        <w:tc>
          <w:tcPr>
            <w:tcW w:w="3827" w:type="dxa"/>
            <w:shd w:val="clear" w:color="auto" w:fill="auto"/>
            <w:noWrap/>
            <w:vAlign w:val="bottom"/>
            <w:hideMark/>
          </w:tcPr>
          <w:p w14:paraId="27281250" w14:textId="77777777" w:rsidR="00B50C46" w:rsidRPr="00304C03" w:rsidRDefault="00B50C46" w:rsidP="004B59E7">
            <w:pPr>
              <w:rPr>
                <w:rFonts w:eastAsia="Times New Roman" w:cs="Calibri"/>
                <w:color w:val="00B050"/>
                <w:szCs w:val="20"/>
                <w:lang w:eastAsia="fr-FR"/>
              </w:rPr>
            </w:pPr>
            <w:r w:rsidRPr="00304C03">
              <w:rPr>
                <w:rFonts w:eastAsia="Times New Roman" w:cs="Calibri"/>
                <w:color w:val="00B050"/>
                <w:szCs w:val="20"/>
                <w:lang w:eastAsia="fr-FR"/>
              </w:rPr>
              <w:t>Valorisation des effets transports</w:t>
            </w:r>
          </w:p>
        </w:tc>
        <w:tc>
          <w:tcPr>
            <w:tcW w:w="850" w:type="dxa"/>
            <w:shd w:val="clear" w:color="auto" w:fill="auto"/>
            <w:noWrap/>
            <w:vAlign w:val="bottom"/>
            <w:hideMark/>
          </w:tcPr>
          <w:p w14:paraId="64351589" w14:textId="77777777" w:rsidR="00B50C46" w:rsidRPr="00304C03" w:rsidRDefault="00B50C46" w:rsidP="004B59E7">
            <w:pPr>
              <w:jc w:val="right"/>
              <w:rPr>
                <w:rFonts w:eastAsia="Times New Roman" w:cs="Calibri"/>
                <w:color w:val="00B050"/>
                <w:szCs w:val="20"/>
                <w:lang w:eastAsia="fr-FR"/>
              </w:rPr>
            </w:pPr>
            <w:r w:rsidRPr="00304C03">
              <w:rPr>
                <w:rFonts w:eastAsia="Times New Roman" w:cs="Calibri"/>
                <w:color w:val="00B050"/>
                <w:szCs w:val="20"/>
                <w:lang w:eastAsia="fr-FR"/>
              </w:rPr>
              <w:t>17,7</w:t>
            </w:r>
          </w:p>
        </w:tc>
        <w:tc>
          <w:tcPr>
            <w:tcW w:w="851" w:type="dxa"/>
            <w:shd w:val="clear" w:color="auto" w:fill="auto"/>
            <w:noWrap/>
            <w:vAlign w:val="bottom"/>
          </w:tcPr>
          <w:p w14:paraId="79312EC8" w14:textId="63D43210" w:rsidR="00FE747D"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13,7</w:t>
            </w:r>
          </w:p>
        </w:tc>
        <w:tc>
          <w:tcPr>
            <w:tcW w:w="850" w:type="dxa"/>
            <w:shd w:val="clear" w:color="auto" w:fill="auto"/>
            <w:vAlign w:val="bottom"/>
          </w:tcPr>
          <w:p w14:paraId="6EDCA950" w14:textId="1C78FA0D"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14,4</w:t>
            </w:r>
          </w:p>
        </w:tc>
      </w:tr>
      <w:tr w:rsidR="00B50C46" w:rsidRPr="00304C03" w14:paraId="04245CD3" w14:textId="77777777" w:rsidTr="004B59E7">
        <w:trPr>
          <w:trHeight w:val="227"/>
        </w:trPr>
        <w:tc>
          <w:tcPr>
            <w:tcW w:w="3827" w:type="dxa"/>
            <w:shd w:val="clear" w:color="auto" w:fill="auto"/>
            <w:noWrap/>
            <w:vAlign w:val="bottom"/>
            <w:hideMark/>
          </w:tcPr>
          <w:p w14:paraId="2FFE87A5" w14:textId="77777777" w:rsidR="00B50C46" w:rsidRPr="00304C03" w:rsidRDefault="00B50C46" w:rsidP="004B59E7">
            <w:pPr>
              <w:rPr>
                <w:rFonts w:eastAsia="Times New Roman" w:cs="Calibri"/>
                <w:color w:val="00B050"/>
                <w:szCs w:val="20"/>
                <w:lang w:eastAsia="fr-FR"/>
              </w:rPr>
            </w:pPr>
            <w:r w:rsidRPr="00304C03">
              <w:rPr>
                <w:rFonts w:eastAsia="Times New Roman" w:cs="Calibri"/>
                <w:color w:val="00B050"/>
                <w:szCs w:val="20"/>
                <w:lang w:eastAsia="fr-FR"/>
              </w:rPr>
              <w:t>Régularité</w:t>
            </w:r>
          </w:p>
        </w:tc>
        <w:tc>
          <w:tcPr>
            <w:tcW w:w="850" w:type="dxa"/>
            <w:shd w:val="clear" w:color="auto" w:fill="auto"/>
            <w:noWrap/>
            <w:vAlign w:val="bottom"/>
            <w:hideMark/>
          </w:tcPr>
          <w:p w14:paraId="5D6E0D18" w14:textId="77777777" w:rsidR="00B50C46" w:rsidRPr="00304C03" w:rsidRDefault="00B50C46" w:rsidP="004B59E7">
            <w:pPr>
              <w:jc w:val="right"/>
              <w:rPr>
                <w:rFonts w:eastAsia="Times New Roman" w:cs="Calibri"/>
                <w:color w:val="00B050"/>
                <w:szCs w:val="20"/>
                <w:lang w:eastAsia="fr-FR"/>
              </w:rPr>
            </w:pPr>
            <w:r w:rsidRPr="00304C03">
              <w:rPr>
                <w:rFonts w:eastAsia="Times New Roman" w:cs="Calibri"/>
                <w:color w:val="00B050"/>
                <w:szCs w:val="20"/>
                <w:lang w:eastAsia="fr-FR"/>
              </w:rPr>
              <w:t>3,5</w:t>
            </w:r>
          </w:p>
        </w:tc>
        <w:tc>
          <w:tcPr>
            <w:tcW w:w="851" w:type="dxa"/>
            <w:shd w:val="clear" w:color="auto" w:fill="auto"/>
            <w:noWrap/>
            <w:vAlign w:val="bottom"/>
          </w:tcPr>
          <w:p w14:paraId="30C66A94" w14:textId="1EDF813E"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4,3</w:t>
            </w:r>
          </w:p>
        </w:tc>
        <w:tc>
          <w:tcPr>
            <w:tcW w:w="850" w:type="dxa"/>
            <w:shd w:val="clear" w:color="auto" w:fill="auto"/>
            <w:vAlign w:val="bottom"/>
          </w:tcPr>
          <w:p w14:paraId="46F37034" w14:textId="0C0B7578"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4,5</w:t>
            </w:r>
          </w:p>
        </w:tc>
      </w:tr>
      <w:tr w:rsidR="00B50C46" w:rsidRPr="00304C03" w14:paraId="56B1F7B1" w14:textId="77777777" w:rsidTr="004B59E7">
        <w:trPr>
          <w:trHeight w:val="227"/>
        </w:trPr>
        <w:tc>
          <w:tcPr>
            <w:tcW w:w="3827" w:type="dxa"/>
            <w:shd w:val="clear" w:color="auto" w:fill="auto"/>
            <w:noWrap/>
            <w:vAlign w:val="bottom"/>
            <w:hideMark/>
          </w:tcPr>
          <w:p w14:paraId="0209CDA4" w14:textId="77777777" w:rsidR="00B50C46" w:rsidRPr="00304C03" w:rsidRDefault="00B50C46" w:rsidP="004B59E7">
            <w:pPr>
              <w:rPr>
                <w:rFonts w:eastAsia="Times New Roman" w:cs="Calibri"/>
                <w:color w:val="00B050"/>
                <w:szCs w:val="20"/>
                <w:lang w:eastAsia="fr-FR"/>
              </w:rPr>
            </w:pPr>
            <w:r w:rsidRPr="00304C03">
              <w:rPr>
                <w:rFonts w:eastAsia="Times New Roman" w:cs="Calibri"/>
                <w:color w:val="00B050"/>
                <w:szCs w:val="20"/>
                <w:lang w:eastAsia="fr-FR"/>
              </w:rPr>
              <w:t>Confort</w:t>
            </w:r>
          </w:p>
        </w:tc>
        <w:tc>
          <w:tcPr>
            <w:tcW w:w="850" w:type="dxa"/>
            <w:shd w:val="clear" w:color="auto" w:fill="auto"/>
            <w:noWrap/>
            <w:vAlign w:val="bottom"/>
            <w:hideMark/>
          </w:tcPr>
          <w:p w14:paraId="4B67D127" w14:textId="77777777" w:rsidR="00B50C46" w:rsidRPr="00304C03" w:rsidRDefault="00B50C46" w:rsidP="004B59E7">
            <w:pPr>
              <w:jc w:val="right"/>
              <w:rPr>
                <w:rFonts w:eastAsia="Times New Roman" w:cs="Calibri"/>
                <w:color w:val="00B050"/>
                <w:szCs w:val="20"/>
                <w:lang w:eastAsia="fr-FR"/>
              </w:rPr>
            </w:pPr>
            <w:r w:rsidRPr="00304C03">
              <w:rPr>
                <w:rFonts w:eastAsia="Times New Roman" w:cs="Calibri"/>
                <w:color w:val="00B050"/>
                <w:szCs w:val="20"/>
                <w:lang w:eastAsia="fr-FR"/>
              </w:rPr>
              <w:t>1,6</w:t>
            </w:r>
          </w:p>
        </w:tc>
        <w:tc>
          <w:tcPr>
            <w:tcW w:w="851" w:type="dxa"/>
            <w:shd w:val="clear" w:color="auto" w:fill="auto"/>
            <w:noWrap/>
            <w:vAlign w:val="bottom"/>
          </w:tcPr>
          <w:p w14:paraId="01E86C53" w14:textId="7890BB5E"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3,5</w:t>
            </w:r>
          </w:p>
        </w:tc>
        <w:tc>
          <w:tcPr>
            <w:tcW w:w="850" w:type="dxa"/>
            <w:shd w:val="clear" w:color="auto" w:fill="auto"/>
            <w:vAlign w:val="bottom"/>
          </w:tcPr>
          <w:p w14:paraId="4C904B9F" w14:textId="47E1ED29"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3,7</w:t>
            </w:r>
          </w:p>
        </w:tc>
      </w:tr>
      <w:tr w:rsidR="00B50C46" w:rsidRPr="00304C03" w14:paraId="547E8414" w14:textId="77777777" w:rsidTr="004B59E7">
        <w:trPr>
          <w:trHeight w:val="227"/>
        </w:trPr>
        <w:tc>
          <w:tcPr>
            <w:tcW w:w="3827" w:type="dxa"/>
            <w:shd w:val="clear" w:color="auto" w:fill="auto"/>
            <w:noWrap/>
            <w:vAlign w:val="bottom"/>
            <w:hideMark/>
          </w:tcPr>
          <w:p w14:paraId="0478257C" w14:textId="77777777" w:rsidR="00B50C46" w:rsidRPr="00304C03" w:rsidRDefault="00B50C46" w:rsidP="004B59E7">
            <w:pPr>
              <w:rPr>
                <w:rFonts w:eastAsia="Times New Roman" w:cs="Calibri"/>
                <w:color w:val="00B050"/>
                <w:szCs w:val="20"/>
                <w:lang w:eastAsia="fr-FR"/>
              </w:rPr>
            </w:pPr>
            <w:r w:rsidRPr="00304C03">
              <w:rPr>
                <w:rFonts w:eastAsia="Times New Roman" w:cs="Calibri"/>
                <w:color w:val="00B050"/>
                <w:szCs w:val="20"/>
                <w:lang w:eastAsia="fr-FR"/>
              </w:rPr>
              <w:t>Gains environnementaux et urbains</w:t>
            </w:r>
          </w:p>
        </w:tc>
        <w:tc>
          <w:tcPr>
            <w:tcW w:w="850" w:type="dxa"/>
            <w:shd w:val="clear" w:color="auto" w:fill="auto"/>
            <w:noWrap/>
            <w:vAlign w:val="bottom"/>
            <w:hideMark/>
          </w:tcPr>
          <w:p w14:paraId="69FC850C" w14:textId="77777777" w:rsidR="00B50C46" w:rsidRPr="00304C03" w:rsidRDefault="00B50C46" w:rsidP="004B59E7">
            <w:pPr>
              <w:jc w:val="right"/>
              <w:rPr>
                <w:rFonts w:eastAsia="Times New Roman" w:cs="Calibri"/>
                <w:color w:val="00B050"/>
                <w:szCs w:val="20"/>
                <w:lang w:eastAsia="fr-FR"/>
              </w:rPr>
            </w:pPr>
            <w:r w:rsidRPr="00304C03">
              <w:rPr>
                <w:rFonts w:eastAsia="Times New Roman" w:cs="Calibri"/>
                <w:color w:val="00B050"/>
                <w:szCs w:val="20"/>
                <w:lang w:eastAsia="fr-FR"/>
              </w:rPr>
              <w:t>11,9</w:t>
            </w:r>
          </w:p>
        </w:tc>
        <w:tc>
          <w:tcPr>
            <w:tcW w:w="851" w:type="dxa"/>
            <w:shd w:val="clear" w:color="auto" w:fill="auto"/>
            <w:noWrap/>
            <w:vAlign w:val="bottom"/>
          </w:tcPr>
          <w:p w14:paraId="02820C04" w14:textId="0757DC81"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8,2</w:t>
            </w:r>
          </w:p>
        </w:tc>
        <w:tc>
          <w:tcPr>
            <w:tcW w:w="850" w:type="dxa"/>
            <w:shd w:val="clear" w:color="auto" w:fill="auto"/>
            <w:vAlign w:val="bottom"/>
          </w:tcPr>
          <w:p w14:paraId="5213966C" w14:textId="664A1B86"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8,7</w:t>
            </w:r>
          </w:p>
        </w:tc>
      </w:tr>
      <w:tr w:rsidR="00B50C46" w:rsidRPr="00304C03" w14:paraId="47EF8975" w14:textId="77777777" w:rsidTr="004B59E7">
        <w:trPr>
          <w:trHeight w:val="227"/>
        </w:trPr>
        <w:tc>
          <w:tcPr>
            <w:tcW w:w="3827" w:type="dxa"/>
            <w:shd w:val="clear" w:color="auto" w:fill="auto"/>
            <w:noWrap/>
            <w:vAlign w:val="bottom"/>
            <w:hideMark/>
          </w:tcPr>
          <w:p w14:paraId="149DD1C1" w14:textId="77777777" w:rsidR="00B50C46" w:rsidRPr="00304C03" w:rsidRDefault="00B50C46" w:rsidP="004B59E7">
            <w:pPr>
              <w:rPr>
                <w:rFonts w:eastAsia="Times New Roman" w:cs="Calibri"/>
                <w:color w:val="00B050"/>
                <w:szCs w:val="20"/>
                <w:lang w:eastAsia="fr-FR"/>
              </w:rPr>
            </w:pPr>
            <w:r w:rsidRPr="00304C03">
              <w:rPr>
                <w:rFonts w:eastAsia="Times New Roman" w:cs="Calibri"/>
                <w:color w:val="00B050"/>
                <w:szCs w:val="20"/>
                <w:lang w:eastAsia="fr-FR"/>
              </w:rPr>
              <w:t>Effets directs de réallocation</w:t>
            </w:r>
          </w:p>
        </w:tc>
        <w:tc>
          <w:tcPr>
            <w:tcW w:w="850" w:type="dxa"/>
            <w:shd w:val="clear" w:color="auto" w:fill="auto"/>
            <w:noWrap/>
            <w:vAlign w:val="bottom"/>
            <w:hideMark/>
          </w:tcPr>
          <w:p w14:paraId="495A2B4B" w14:textId="77777777" w:rsidR="00B50C46" w:rsidRPr="00304C03" w:rsidRDefault="00B50C46" w:rsidP="004B59E7">
            <w:pPr>
              <w:jc w:val="right"/>
              <w:rPr>
                <w:rFonts w:eastAsia="Times New Roman" w:cs="Calibri"/>
                <w:color w:val="00B050"/>
                <w:szCs w:val="20"/>
                <w:lang w:eastAsia="fr-FR"/>
              </w:rPr>
            </w:pPr>
            <w:r w:rsidRPr="00304C03">
              <w:rPr>
                <w:rFonts w:eastAsia="Times New Roman" w:cs="Calibri"/>
                <w:color w:val="00B050"/>
                <w:szCs w:val="20"/>
                <w:lang w:eastAsia="fr-FR"/>
              </w:rPr>
              <w:t>9</w:t>
            </w:r>
          </w:p>
        </w:tc>
        <w:tc>
          <w:tcPr>
            <w:tcW w:w="851" w:type="dxa"/>
            <w:shd w:val="clear" w:color="auto" w:fill="auto"/>
            <w:noWrap/>
            <w:vAlign w:val="bottom"/>
          </w:tcPr>
          <w:p w14:paraId="4682C79E" w14:textId="440EDA97"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w:t>
            </w:r>
          </w:p>
        </w:tc>
        <w:tc>
          <w:tcPr>
            <w:tcW w:w="850" w:type="dxa"/>
            <w:shd w:val="clear" w:color="auto" w:fill="auto"/>
            <w:noWrap/>
            <w:vAlign w:val="bottom"/>
          </w:tcPr>
          <w:p w14:paraId="2230DF34" w14:textId="08E4B6D0"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w:t>
            </w:r>
          </w:p>
        </w:tc>
      </w:tr>
      <w:tr w:rsidR="00B50C46" w:rsidRPr="00304C03" w14:paraId="111EBFD1" w14:textId="77777777" w:rsidTr="004B59E7">
        <w:trPr>
          <w:trHeight w:val="227"/>
        </w:trPr>
        <w:tc>
          <w:tcPr>
            <w:tcW w:w="3827" w:type="dxa"/>
            <w:shd w:val="clear" w:color="auto" w:fill="auto"/>
            <w:noWrap/>
            <w:vAlign w:val="bottom"/>
            <w:hideMark/>
          </w:tcPr>
          <w:p w14:paraId="4B7936DA" w14:textId="77777777" w:rsidR="00B50C46" w:rsidRPr="00304C03" w:rsidRDefault="00B50C46" w:rsidP="004B59E7">
            <w:pPr>
              <w:rPr>
                <w:rFonts w:eastAsia="Times New Roman" w:cs="Calibri"/>
                <w:color w:val="00B050"/>
                <w:szCs w:val="20"/>
                <w:lang w:eastAsia="fr-FR"/>
              </w:rPr>
            </w:pPr>
            <w:r w:rsidRPr="00304C03">
              <w:rPr>
                <w:rFonts w:eastAsia="Times New Roman" w:cs="Calibri"/>
                <w:color w:val="00B050"/>
                <w:szCs w:val="20"/>
                <w:lang w:eastAsia="fr-FR"/>
              </w:rPr>
              <w:t>Effets d'agglomération</w:t>
            </w:r>
          </w:p>
        </w:tc>
        <w:tc>
          <w:tcPr>
            <w:tcW w:w="850" w:type="dxa"/>
            <w:shd w:val="clear" w:color="auto" w:fill="auto"/>
            <w:noWrap/>
            <w:vAlign w:val="bottom"/>
            <w:hideMark/>
          </w:tcPr>
          <w:p w14:paraId="47980856" w14:textId="77777777" w:rsidR="00B50C46" w:rsidRPr="00304C03" w:rsidRDefault="00B50C46" w:rsidP="004B59E7">
            <w:pPr>
              <w:jc w:val="right"/>
              <w:rPr>
                <w:rFonts w:eastAsia="Times New Roman" w:cs="Calibri"/>
                <w:color w:val="00B050"/>
                <w:szCs w:val="20"/>
                <w:lang w:eastAsia="fr-FR"/>
              </w:rPr>
            </w:pPr>
            <w:r w:rsidRPr="00304C03">
              <w:rPr>
                <w:rFonts w:eastAsia="Times New Roman" w:cs="Calibri"/>
                <w:color w:val="00B050"/>
                <w:szCs w:val="20"/>
                <w:lang w:eastAsia="fr-FR"/>
              </w:rPr>
              <w:t>6</w:t>
            </w:r>
          </w:p>
        </w:tc>
        <w:tc>
          <w:tcPr>
            <w:tcW w:w="851" w:type="dxa"/>
            <w:shd w:val="clear" w:color="auto" w:fill="auto"/>
            <w:noWrap/>
            <w:vAlign w:val="bottom"/>
          </w:tcPr>
          <w:p w14:paraId="301FFAED" w14:textId="02927CD6"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11,3</w:t>
            </w:r>
          </w:p>
        </w:tc>
        <w:tc>
          <w:tcPr>
            <w:tcW w:w="850" w:type="dxa"/>
            <w:shd w:val="clear" w:color="auto" w:fill="auto"/>
            <w:vAlign w:val="bottom"/>
          </w:tcPr>
          <w:p w14:paraId="55EA1B1B" w14:textId="6BE3375F"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11,9</w:t>
            </w:r>
          </w:p>
        </w:tc>
      </w:tr>
      <w:tr w:rsidR="00B50C46" w:rsidRPr="00304C03" w14:paraId="5453DE91" w14:textId="77777777" w:rsidTr="004B59E7">
        <w:trPr>
          <w:trHeight w:val="227"/>
        </w:trPr>
        <w:tc>
          <w:tcPr>
            <w:tcW w:w="3827" w:type="dxa"/>
            <w:shd w:val="clear" w:color="auto" w:fill="auto"/>
            <w:noWrap/>
            <w:vAlign w:val="bottom"/>
            <w:hideMark/>
          </w:tcPr>
          <w:p w14:paraId="63B162B5" w14:textId="77777777" w:rsidR="00B50C46" w:rsidRPr="00304C03" w:rsidRDefault="00B50C46" w:rsidP="004B59E7">
            <w:pPr>
              <w:rPr>
                <w:rFonts w:eastAsia="Times New Roman" w:cs="Calibri"/>
                <w:color w:val="00B050"/>
                <w:szCs w:val="20"/>
                <w:lang w:eastAsia="fr-FR"/>
              </w:rPr>
            </w:pPr>
            <w:r w:rsidRPr="00304C03">
              <w:rPr>
                <w:rFonts w:eastAsia="Times New Roman" w:cs="Calibri"/>
                <w:color w:val="00B050"/>
                <w:szCs w:val="20"/>
                <w:lang w:eastAsia="fr-FR"/>
              </w:rPr>
              <w:t xml:space="preserve">Valorisation des nouveaux emplois </w:t>
            </w:r>
          </w:p>
        </w:tc>
        <w:tc>
          <w:tcPr>
            <w:tcW w:w="850" w:type="dxa"/>
            <w:shd w:val="clear" w:color="auto" w:fill="auto"/>
            <w:noWrap/>
            <w:vAlign w:val="bottom"/>
            <w:hideMark/>
          </w:tcPr>
          <w:p w14:paraId="4125210E" w14:textId="77777777" w:rsidR="00B50C46" w:rsidRPr="00304C03" w:rsidRDefault="00B50C46" w:rsidP="004B59E7">
            <w:pPr>
              <w:jc w:val="right"/>
              <w:rPr>
                <w:rFonts w:eastAsia="Times New Roman" w:cs="Calibri"/>
                <w:color w:val="00B050"/>
                <w:szCs w:val="20"/>
                <w:lang w:eastAsia="fr-FR"/>
              </w:rPr>
            </w:pPr>
            <w:r w:rsidRPr="00304C03">
              <w:rPr>
                <w:rFonts w:eastAsia="Times New Roman" w:cs="Calibri"/>
                <w:color w:val="00B050"/>
                <w:szCs w:val="20"/>
                <w:lang w:eastAsia="fr-FR"/>
              </w:rPr>
              <w:t>10,3</w:t>
            </w:r>
          </w:p>
        </w:tc>
        <w:tc>
          <w:tcPr>
            <w:tcW w:w="851" w:type="dxa"/>
            <w:shd w:val="clear" w:color="auto" w:fill="auto"/>
            <w:noWrap/>
            <w:vAlign w:val="bottom"/>
          </w:tcPr>
          <w:p w14:paraId="55CC0BBE" w14:textId="78E57059"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19,6</w:t>
            </w:r>
          </w:p>
        </w:tc>
        <w:tc>
          <w:tcPr>
            <w:tcW w:w="850" w:type="dxa"/>
            <w:shd w:val="clear" w:color="auto" w:fill="auto"/>
            <w:vAlign w:val="bottom"/>
          </w:tcPr>
          <w:p w14:paraId="0FEB6379" w14:textId="0CD7E7DC"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20,7</w:t>
            </w:r>
          </w:p>
        </w:tc>
      </w:tr>
      <w:tr w:rsidR="00B50C46" w:rsidRPr="00304C03" w14:paraId="1437AAE8" w14:textId="77777777" w:rsidTr="004B59E7">
        <w:trPr>
          <w:trHeight w:val="227"/>
        </w:trPr>
        <w:tc>
          <w:tcPr>
            <w:tcW w:w="3827" w:type="dxa"/>
            <w:shd w:val="clear" w:color="auto" w:fill="auto"/>
            <w:noWrap/>
            <w:vAlign w:val="bottom"/>
            <w:hideMark/>
          </w:tcPr>
          <w:p w14:paraId="308E30B3" w14:textId="77777777" w:rsidR="00B50C46" w:rsidRPr="00304C03" w:rsidRDefault="00B50C46" w:rsidP="004B59E7">
            <w:pPr>
              <w:rPr>
                <w:rFonts w:eastAsia="Times New Roman" w:cs="Calibri"/>
                <w:color w:val="00B050"/>
                <w:szCs w:val="20"/>
                <w:lang w:eastAsia="fr-FR"/>
              </w:rPr>
            </w:pPr>
            <w:r w:rsidRPr="00304C03">
              <w:rPr>
                <w:rFonts w:eastAsia="Times New Roman" w:cs="Calibri"/>
                <w:color w:val="00B050"/>
                <w:szCs w:val="20"/>
                <w:lang w:eastAsia="fr-FR"/>
              </w:rPr>
              <w:t>Emplois de chantier</w:t>
            </w:r>
          </w:p>
        </w:tc>
        <w:tc>
          <w:tcPr>
            <w:tcW w:w="850" w:type="dxa"/>
            <w:shd w:val="clear" w:color="auto" w:fill="auto"/>
            <w:noWrap/>
            <w:vAlign w:val="bottom"/>
            <w:hideMark/>
          </w:tcPr>
          <w:p w14:paraId="4527C2D6" w14:textId="77777777" w:rsidR="00B50C46" w:rsidRPr="00304C03" w:rsidRDefault="00B50C46" w:rsidP="004B59E7">
            <w:pPr>
              <w:rPr>
                <w:rFonts w:eastAsia="Times New Roman" w:cs="Calibri"/>
                <w:color w:val="00B050"/>
                <w:szCs w:val="20"/>
                <w:lang w:eastAsia="fr-FR"/>
              </w:rPr>
            </w:pPr>
            <w:r w:rsidRPr="00304C03">
              <w:rPr>
                <w:rFonts w:eastAsia="Times New Roman" w:cs="Calibri"/>
                <w:color w:val="00B050"/>
                <w:szCs w:val="20"/>
                <w:lang w:eastAsia="fr-FR"/>
              </w:rPr>
              <w:t> </w:t>
            </w:r>
          </w:p>
        </w:tc>
        <w:tc>
          <w:tcPr>
            <w:tcW w:w="851" w:type="dxa"/>
            <w:shd w:val="clear" w:color="auto" w:fill="auto"/>
            <w:noWrap/>
            <w:vAlign w:val="bottom"/>
          </w:tcPr>
          <w:p w14:paraId="0C2EFB21" w14:textId="26FBC149"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5,2</w:t>
            </w:r>
          </w:p>
        </w:tc>
        <w:tc>
          <w:tcPr>
            <w:tcW w:w="850" w:type="dxa"/>
            <w:shd w:val="clear" w:color="auto" w:fill="auto"/>
            <w:vAlign w:val="bottom"/>
          </w:tcPr>
          <w:p w14:paraId="0164D478" w14:textId="1947DCB1"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5,5</w:t>
            </w:r>
          </w:p>
        </w:tc>
      </w:tr>
      <w:tr w:rsidR="00B50C46" w:rsidRPr="00304C03" w14:paraId="0E187DCC" w14:textId="77777777" w:rsidTr="004B59E7">
        <w:trPr>
          <w:trHeight w:val="227"/>
        </w:trPr>
        <w:tc>
          <w:tcPr>
            <w:tcW w:w="3827" w:type="dxa"/>
            <w:shd w:val="clear" w:color="auto" w:fill="auto"/>
            <w:noWrap/>
            <w:vAlign w:val="bottom"/>
            <w:hideMark/>
          </w:tcPr>
          <w:p w14:paraId="36A4394F" w14:textId="77777777" w:rsidR="00B50C46" w:rsidRPr="00304C03" w:rsidRDefault="00B50C46" w:rsidP="004B59E7">
            <w:pPr>
              <w:rPr>
                <w:rFonts w:eastAsia="Times New Roman" w:cs="Calibri"/>
                <w:color w:val="00B050"/>
                <w:szCs w:val="20"/>
                <w:lang w:eastAsia="fr-FR"/>
              </w:rPr>
            </w:pPr>
            <w:r w:rsidRPr="00304C03">
              <w:rPr>
                <w:rFonts w:eastAsia="Times New Roman" w:cs="Calibri"/>
                <w:color w:val="00B050"/>
                <w:szCs w:val="20"/>
                <w:lang w:eastAsia="fr-FR"/>
              </w:rPr>
              <w:t>Total avantages</w:t>
            </w:r>
          </w:p>
        </w:tc>
        <w:tc>
          <w:tcPr>
            <w:tcW w:w="850" w:type="dxa"/>
            <w:shd w:val="clear" w:color="auto" w:fill="auto"/>
            <w:noWrap/>
            <w:vAlign w:val="bottom"/>
            <w:hideMark/>
          </w:tcPr>
          <w:p w14:paraId="493AE0F6" w14:textId="77777777" w:rsidR="00B50C46" w:rsidRPr="00304C03" w:rsidRDefault="00B50C46" w:rsidP="004B59E7">
            <w:pPr>
              <w:jc w:val="right"/>
              <w:rPr>
                <w:rFonts w:eastAsia="Times New Roman" w:cs="Calibri"/>
                <w:color w:val="00B050"/>
                <w:szCs w:val="20"/>
                <w:lang w:eastAsia="fr-FR"/>
              </w:rPr>
            </w:pPr>
            <w:r w:rsidRPr="00304C03">
              <w:rPr>
                <w:rFonts w:eastAsia="Times New Roman" w:cs="Calibri"/>
                <w:color w:val="00B050"/>
                <w:szCs w:val="20"/>
                <w:lang w:eastAsia="fr-FR"/>
              </w:rPr>
              <w:t>59,9</w:t>
            </w:r>
          </w:p>
        </w:tc>
        <w:tc>
          <w:tcPr>
            <w:tcW w:w="851" w:type="dxa"/>
            <w:shd w:val="clear" w:color="auto" w:fill="auto"/>
            <w:noWrap/>
            <w:vAlign w:val="bottom"/>
          </w:tcPr>
          <w:p w14:paraId="743E5A0B" w14:textId="37BCC226"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65,7</w:t>
            </w:r>
          </w:p>
        </w:tc>
        <w:tc>
          <w:tcPr>
            <w:tcW w:w="850" w:type="dxa"/>
            <w:shd w:val="clear" w:color="auto" w:fill="auto"/>
            <w:vAlign w:val="bottom"/>
          </w:tcPr>
          <w:p w14:paraId="17114F36" w14:textId="402DD1BC" w:rsidR="00B50C46" w:rsidRPr="00FE747D" w:rsidRDefault="00FE747D" w:rsidP="00FE747D">
            <w:pPr>
              <w:jc w:val="right"/>
              <w:rPr>
                <w:rFonts w:eastAsia="Times New Roman" w:cs="Calibri"/>
                <w:color w:val="00B050"/>
                <w:szCs w:val="20"/>
                <w:lang w:eastAsia="fr-FR"/>
              </w:rPr>
            </w:pPr>
            <w:r>
              <w:rPr>
                <w:rFonts w:eastAsia="Times New Roman" w:cs="Calibri"/>
                <w:color w:val="00B050"/>
                <w:szCs w:val="20"/>
                <w:lang w:eastAsia="fr-FR"/>
              </w:rPr>
              <w:t>69,</w:t>
            </w:r>
            <w:r w:rsidR="004E6F4A">
              <w:rPr>
                <w:rFonts w:eastAsia="Times New Roman" w:cs="Calibri"/>
                <w:color w:val="00B050"/>
                <w:szCs w:val="20"/>
                <w:lang w:eastAsia="fr-FR"/>
              </w:rPr>
              <w:t>4</w:t>
            </w:r>
          </w:p>
        </w:tc>
      </w:tr>
    </w:tbl>
    <w:p w14:paraId="0383E845" w14:textId="77777777" w:rsidR="00EA1E33" w:rsidRPr="00150A72" w:rsidRDefault="00EA1E33" w:rsidP="00412C10">
      <w:pPr>
        <w:pStyle w:val="Titre3"/>
        <w:numPr>
          <w:ilvl w:val="3"/>
          <w:numId w:val="33"/>
        </w:numPr>
      </w:pPr>
      <w:bookmarkStart w:id="133" w:name="_Toc46917077"/>
      <w:bookmarkStart w:id="134" w:name="_Toc63352148"/>
      <w:r w:rsidRPr="00150A72">
        <w:t>L’analyse de la rentabilité globale du projet</w:t>
      </w:r>
      <w:bookmarkEnd w:id="133"/>
      <w:bookmarkEnd w:id="134"/>
    </w:p>
    <w:p w14:paraId="76725FF4" w14:textId="77777777" w:rsidR="00EA1E33" w:rsidRPr="00150A72" w:rsidRDefault="00EA1E33" w:rsidP="00EA1E33">
      <w:pPr>
        <w:widowControl w:val="0"/>
        <w:suppressAutoHyphens/>
        <w:jc w:val="both"/>
        <w:rPr>
          <w:rFonts w:cs="Cambria"/>
          <w:szCs w:val="20"/>
          <w:lang w:eastAsia="ar-SA"/>
        </w:rPr>
      </w:pPr>
    </w:p>
    <w:p w14:paraId="7465FF6F" w14:textId="2960E9BC" w:rsidR="00150A72" w:rsidRPr="00854115" w:rsidRDefault="00EA1E33" w:rsidP="00720184">
      <w:pPr>
        <w:widowControl w:val="0"/>
        <w:suppressAutoHyphens/>
        <w:jc w:val="both"/>
        <w:rPr>
          <w:rFonts w:cs="Cambria"/>
          <w:szCs w:val="20"/>
          <w:lang w:eastAsia="ar-SA"/>
        </w:rPr>
      </w:pPr>
      <w:r w:rsidRPr="00854115">
        <w:rPr>
          <w:rFonts w:cs="Cambria"/>
          <w:szCs w:val="20"/>
          <w:lang w:eastAsia="ar-SA"/>
        </w:rPr>
        <w:t xml:space="preserve">L’instruction de juin 2014 demande d’affecter aux ressources publiques consacrées au projet un coût d’opportunité des fonds publics de 1,2 (COFP), ainsi qu’un prix fictif de rareté des fonds publics de 0,05 (PFRFP), en multipliant la part des dépenses financées par des fonds publics d’un coefficient de 1,25 (voir encadré ci-après). Cela permet de tenir compte des distorsions économiques causées en théorie par les prélèvements fiscaux et du coût supplémentaire de ceux-ci en période de tensions budgétaires. </w:t>
      </w:r>
    </w:p>
    <w:p w14:paraId="4A9BF912" w14:textId="77777777" w:rsidR="00720184" w:rsidRDefault="00720184" w:rsidP="00150A72">
      <w:pPr>
        <w:widowControl w:val="0"/>
        <w:suppressAutoHyphens/>
        <w:jc w:val="both"/>
        <w:rPr>
          <w:rFonts w:cs="Cambria"/>
          <w:szCs w:val="20"/>
          <w:lang w:eastAsia="ar-SA"/>
        </w:rPr>
      </w:pPr>
    </w:p>
    <w:p w14:paraId="08053E0A" w14:textId="5822D03F" w:rsidR="00150A72" w:rsidRPr="00854115" w:rsidRDefault="00150A72" w:rsidP="00150A72">
      <w:pPr>
        <w:widowControl w:val="0"/>
        <w:suppressAutoHyphens/>
        <w:jc w:val="both"/>
        <w:rPr>
          <w:rFonts w:cs="Cambria"/>
          <w:szCs w:val="20"/>
          <w:lang w:eastAsia="ar-SA"/>
        </w:rPr>
      </w:pPr>
      <w:r w:rsidRPr="00854115">
        <w:rPr>
          <w:rFonts w:cs="Cambria"/>
          <w:szCs w:val="20"/>
          <w:lang w:eastAsia="ar-SA"/>
        </w:rPr>
        <w:t xml:space="preserve">Les résultats de l’analyse de la rentabilité globale du projet </w:t>
      </w:r>
      <w:r w:rsidR="004243DF">
        <w:rPr>
          <w:rFonts w:cs="Cambria"/>
          <w:szCs w:val="20"/>
          <w:lang w:eastAsia="ar-SA"/>
        </w:rPr>
        <w:t xml:space="preserve">sont </w:t>
      </w:r>
      <w:r w:rsidRPr="00854115">
        <w:rPr>
          <w:rFonts w:cs="Cambria"/>
          <w:szCs w:val="20"/>
          <w:lang w:eastAsia="ar-SA"/>
        </w:rPr>
        <w:t>donc les suivants </w:t>
      </w:r>
      <w:r w:rsidR="00826559" w:rsidRPr="00854115">
        <w:rPr>
          <w:rFonts w:cs="Cambria"/>
          <w:szCs w:val="20"/>
          <w:lang w:eastAsia="ar-SA"/>
        </w:rPr>
        <w:t>:</w:t>
      </w:r>
    </w:p>
    <w:p w14:paraId="4C29AAB9" w14:textId="77777777" w:rsidR="00150A72" w:rsidRPr="00854115" w:rsidRDefault="00150A72" w:rsidP="00150A72">
      <w:pPr>
        <w:widowControl w:val="0"/>
        <w:suppressAutoHyphens/>
        <w:ind w:left="2836" w:firstLine="709"/>
        <w:jc w:val="both"/>
        <w:rPr>
          <w:rFonts w:eastAsia="Calibri" w:cs="Cambria"/>
          <w:szCs w:val="20"/>
          <w:lang w:eastAsia="ar-SA"/>
        </w:rPr>
      </w:pPr>
    </w:p>
    <w:tbl>
      <w:tblPr>
        <w:tblW w:w="6672" w:type="dxa"/>
        <w:jc w:val="center"/>
        <w:tblCellMar>
          <w:left w:w="70" w:type="dxa"/>
          <w:right w:w="70" w:type="dxa"/>
        </w:tblCellMar>
        <w:tblLook w:val="04A0" w:firstRow="1" w:lastRow="0" w:firstColumn="1" w:lastColumn="0" w:noHBand="0" w:noVBand="1"/>
      </w:tblPr>
      <w:tblGrid>
        <w:gridCol w:w="4120"/>
        <w:gridCol w:w="1276"/>
        <w:gridCol w:w="1276"/>
      </w:tblGrid>
      <w:tr w:rsidR="004366F5" w:rsidRPr="00E95727" w14:paraId="77E5C966" w14:textId="77777777" w:rsidTr="0087255E">
        <w:trPr>
          <w:trHeight w:val="227"/>
          <w:jc w:val="center"/>
        </w:trPr>
        <w:tc>
          <w:tcPr>
            <w:tcW w:w="41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E264B0D" w14:textId="77777777" w:rsidR="004366F5" w:rsidRPr="00E95727" w:rsidRDefault="004366F5" w:rsidP="00E95727">
            <w:pPr>
              <w:jc w:val="both"/>
              <w:rPr>
                <w:rFonts w:eastAsia="Times New Roman"/>
                <w:b/>
                <w:bCs/>
                <w:color w:val="000000"/>
                <w:szCs w:val="20"/>
                <w:lang w:eastAsia="fr-FR"/>
              </w:rPr>
            </w:pPr>
            <w:r w:rsidRPr="00E95727">
              <w:rPr>
                <w:rFonts w:eastAsia="Times New Roman"/>
                <w:b/>
                <w:bCs/>
                <w:color w:val="931638"/>
                <w:szCs w:val="20"/>
                <w:lang w:eastAsia="fr-FR"/>
              </w:rPr>
              <w:t>Option basse de projet</w:t>
            </w:r>
          </w:p>
        </w:tc>
        <w:tc>
          <w:tcPr>
            <w:tcW w:w="2552"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6F2B3BB" w14:textId="77777777" w:rsidR="004366F5" w:rsidRPr="00E95727" w:rsidRDefault="004366F5" w:rsidP="00E95727">
            <w:pPr>
              <w:jc w:val="center"/>
              <w:rPr>
                <w:rFonts w:eastAsia="Times New Roman"/>
                <w:color w:val="000000"/>
                <w:szCs w:val="20"/>
                <w:lang w:eastAsia="fr-FR"/>
              </w:rPr>
            </w:pPr>
            <w:r w:rsidRPr="00E95727">
              <w:rPr>
                <w:rFonts w:eastAsia="Times New Roman"/>
                <w:color w:val="000000"/>
                <w:szCs w:val="20"/>
                <w:lang w:eastAsia="fr-FR"/>
              </w:rPr>
              <w:t>Euros 2015</w:t>
            </w:r>
          </w:p>
        </w:tc>
      </w:tr>
      <w:tr w:rsidR="004366F5" w:rsidRPr="00E95727" w14:paraId="6F20E3C5"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456C3E4C" w14:textId="61E5EBC8" w:rsidR="004366F5" w:rsidRPr="00E95727" w:rsidRDefault="004366F5" w:rsidP="00E95727">
            <w:pPr>
              <w:jc w:val="both"/>
              <w:rPr>
                <w:rFonts w:eastAsia="Times New Roman"/>
                <w:b/>
                <w:bCs/>
                <w:i/>
                <w:iCs/>
                <w:color w:val="000000"/>
                <w:szCs w:val="20"/>
                <w:lang w:eastAsia="fr-FR"/>
              </w:rPr>
            </w:pPr>
            <w:r w:rsidRPr="00E95727">
              <w:rPr>
                <w:rFonts w:eastAsia="Times New Roman"/>
                <w:b/>
                <w:bCs/>
                <w:i/>
                <w:iCs/>
                <w:color w:val="000000"/>
                <w:szCs w:val="20"/>
                <w:lang w:eastAsia="fr-FR"/>
              </w:rPr>
              <w:t xml:space="preserve"> </w:t>
            </w:r>
            <w:r w:rsidRPr="00E95727">
              <w:rPr>
                <w:rFonts w:eastAsia="Times New Roman"/>
                <w:i/>
                <w:iCs/>
                <w:color w:val="000000"/>
                <w:szCs w:val="20"/>
                <w:lang w:eastAsia="fr-FR"/>
              </w:rPr>
              <w:t xml:space="preserve">(en milliards d’euros </w:t>
            </w:r>
            <w:r w:rsidR="00F33EA6">
              <w:rPr>
                <w:rFonts w:eastAsia="Times New Roman"/>
                <w:i/>
                <w:iCs/>
                <w:color w:val="000000"/>
                <w:szCs w:val="20"/>
                <w:lang w:eastAsia="fr-FR"/>
              </w:rPr>
              <w:t>2015</w:t>
            </w:r>
            <w:r w:rsidRPr="00E95727">
              <w:rPr>
                <w:rFonts w:eastAsia="Times New Roman"/>
                <w:i/>
                <w:iCs/>
                <w:color w:val="000000"/>
                <w:szCs w:val="20"/>
                <w:lang w:eastAsia="fr-FR"/>
              </w:rPr>
              <w:t>)</w:t>
            </w:r>
          </w:p>
        </w:tc>
        <w:tc>
          <w:tcPr>
            <w:tcW w:w="1276" w:type="dxa"/>
            <w:tcBorders>
              <w:top w:val="nil"/>
              <w:left w:val="nil"/>
              <w:bottom w:val="single" w:sz="8" w:space="0" w:color="auto"/>
              <w:right w:val="single" w:sz="8" w:space="0" w:color="auto"/>
            </w:tcBorders>
            <w:shd w:val="clear" w:color="auto" w:fill="auto"/>
            <w:vAlign w:val="center"/>
            <w:hideMark/>
          </w:tcPr>
          <w:p w14:paraId="04E26B7C" w14:textId="77777777" w:rsidR="004366F5" w:rsidRPr="00E95727" w:rsidRDefault="004366F5" w:rsidP="00E95727">
            <w:pPr>
              <w:jc w:val="center"/>
              <w:rPr>
                <w:rFonts w:eastAsia="Times New Roman"/>
                <w:i/>
                <w:iCs/>
                <w:color w:val="000000"/>
                <w:szCs w:val="20"/>
                <w:lang w:eastAsia="fr-FR"/>
              </w:rPr>
            </w:pPr>
            <w:r w:rsidRPr="00E95727">
              <w:rPr>
                <w:rFonts w:eastAsia="Times New Roman"/>
                <w:i/>
                <w:iCs/>
                <w:color w:val="000000"/>
                <w:szCs w:val="20"/>
                <w:lang w:eastAsia="fr-FR"/>
              </w:rPr>
              <w:t>sans COFP</w:t>
            </w:r>
          </w:p>
        </w:tc>
        <w:tc>
          <w:tcPr>
            <w:tcW w:w="1276" w:type="dxa"/>
            <w:tcBorders>
              <w:top w:val="nil"/>
              <w:left w:val="nil"/>
              <w:bottom w:val="single" w:sz="8" w:space="0" w:color="auto"/>
              <w:right w:val="single" w:sz="8" w:space="0" w:color="auto"/>
            </w:tcBorders>
            <w:shd w:val="clear" w:color="auto" w:fill="auto"/>
            <w:vAlign w:val="center"/>
            <w:hideMark/>
          </w:tcPr>
          <w:p w14:paraId="7D422F63" w14:textId="77777777" w:rsidR="004366F5" w:rsidRPr="00E95727" w:rsidRDefault="004366F5" w:rsidP="00E95727">
            <w:pPr>
              <w:jc w:val="center"/>
              <w:rPr>
                <w:rFonts w:eastAsia="Times New Roman"/>
                <w:i/>
                <w:iCs/>
                <w:color w:val="000000"/>
                <w:szCs w:val="20"/>
                <w:lang w:eastAsia="fr-FR"/>
              </w:rPr>
            </w:pPr>
            <w:r w:rsidRPr="00E95727">
              <w:rPr>
                <w:rFonts w:eastAsia="Times New Roman"/>
                <w:i/>
                <w:iCs/>
                <w:color w:val="000000"/>
                <w:szCs w:val="20"/>
                <w:lang w:eastAsia="fr-FR"/>
              </w:rPr>
              <w:t>avec COFP</w:t>
            </w:r>
          </w:p>
        </w:tc>
      </w:tr>
      <w:tr w:rsidR="00AD463B" w:rsidRPr="00E95727" w14:paraId="6F391F54"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5BCEF1AE" w14:textId="77777777" w:rsidR="00AD463B" w:rsidRPr="00E95727" w:rsidRDefault="00AD463B" w:rsidP="00AD463B">
            <w:pPr>
              <w:jc w:val="both"/>
              <w:rPr>
                <w:rFonts w:eastAsia="Times New Roman"/>
                <w:color w:val="931638"/>
                <w:szCs w:val="20"/>
                <w:lang w:eastAsia="fr-FR"/>
              </w:rPr>
            </w:pPr>
            <w:r w:rsidRPr="00E95727">
              <w:rPr>
                <w:rFonts w:eastAsia="Times New Roman"/>
                <w:color w:val="931638"/>
                <w:szCs w:val="20"/>
                <w:lang w:eastAsia="fr-FR"/>
              </w:rPr>
              <w:t xml:space="preserve">Avantages </w:t>
            </w:r>
          </w:p>
        </w:tc>
        <w:tc>
          <w:tcPr>
            <w:tcW w:w="2552" w:type="dxa"/>
            <w:gridSpan w:val="2"/>
            <w:tcBorders>
              <w:top w:val="single" w:sz="8" w:space="0" w:color="auto"/>
              <w:left w:val="nil"/>
              <w:bottom w:val="single" w:sz="8" w:space="0" w:color="auto"/>
              <w:right w:val="single" w:sz="8" w:space="0" w:color="000000"/>
            </w:tcBorders>
            <w:shd w:val="clear" w:color="auto" w:fill="auto"/>
            <w:hideMark/>
          </w:tcPr>
          <w:p w14:paraId="6B3F1C9A" w14:textId="7D3FAD88" w:rsidR="00AD463B" w:rsidRPr="00AD463B" w:rsidRDefault="00AD463B" w:rsidP="00AD463B">
            <w:pPr>
              <w:jc w:val="center"/>
              <w:rPr>
                <w:rFonts w:eastAsia="Times New Roman"/>
                <w:color w:val="00B050"/>
                <w:szCs w:val="20"/>
                <w:lang w:eastAsia="fr-FR"/>
              </w:rPr>
            </w:pPr>
            <w:r w:rsidRPr="00AD463B">
              <w:rPr>
                <w:color w:val="00B050"/>
              </w:rPr>
              <w:t>69,37</w:t>
            </w:r>
          </w:p>
        </w:tc>
      </w:tr>
      <w:tr w:rsidR="00AD463B" w:rsidRPr="00E95727" w14:paraId="6519D2C8"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7D73BC31" w14:textId="77777777" w:rsidR="00AD463B" w:rsidRPr="00E95727" w:rsidRDefault="00AD463B" w:rsidP="00AD463B">
            <w:pPr>
              <w:jc w:val="both"/>
              <w:rPr>
                <w:rFonts w:eastAsia="Times New Roman"/>
                <w:color w:val="931638"/>
                <w:szCs w:val="20"/>
                <w:lang w:eastAsia="fr-FR"/>
              </w:rPr>
            </w:pPr>
            <w:r w:rsidRPr="00E95727">
              <w:rPr>
                <w:rFonts w:eastAsia="Times New Roman"/>
                <w:color w:val="931638"/>
                <w:szCs w:val="20"/>
                <w:lang w:eastAsia="fr-FR"/>
              </w:rPr>
              <w:t>Divers (voirie et taxes sur essence)</w:t>
            </w:r>
          </w:p>
        </w:tc>
        <w:tc>
          <w:tcPr>
            <w:tcW w:w="1276" w:type="dxa"/>
            <w:tcBorders>
              <w:top w:val="nil"/>
              <w:left w:val="nil"/>
              <w:bottom w:val="single" w:sz="8" w:space="0" w:color="auto"/>
              <w:right w:val="single" w:sz="8" w:space="0" w:color="auto"/>
            </w:tcBorders>
            <w:shd w:val="clear" w:color="auto" w:fill="auto"/>
            <w:hideMark/>
          </w:tcPr>
          <w:p w14:paraId="39061611" w14:textId="58A715BB" w:rsidR="00AD463B" w:rsidRPr="00AD463B" w:rsidRDefault="00AD463B" w:rsidP="00AD463B">
            <w:pPr>
              <w:jc w:val="center"/>
              <w:rPr>
                <w:rFonts w:eastAsia="Times New Roman"/>
                <w:color w:val="00B050"/>
                <w:szCs w:val="20"/>
                <w:lang w:eastAsia="fr-FR"/>
              </w:rPr>
            </w:pPr>
            <w:r w:rsidRPr="00AD463B">
              <w:rPr>
                <w:color w:val="00B050"/>
              </w:rPr>
              <w:t>-0,06</w:t>
            </w:r>
          </w:p>
        </w:tc>
        <w:tc>
          <w:tcPr>
            <w:tcW w:w="1276" w:type="dxa"/>
            <w:tcBorders>
              <w:top w:val="nil"/>
              <w:left w:val="nil"/>
              <w:bottom w:val="single" w:sz="8" w:space="0" w:color="auto"/>
              <w:right w:val="single" w:sz="8" w:space="0" w:color="auto"/>
            </w:tcBorders>
            <w:shd w:val="clear" w:color="auto" w:fill="auto"/>
            <w:hideMark/>
          </w:tcPr>
          <w:p w14:paraId="398958A0" w14:textId="29F0A790" w:rsidR="00AD463B" w:rsidRPr="00AD463B" w:rsidRDefault="00AD463B" w:rsidP="00AD463B">
            <w:pPr>
              <w:jc w:val="center"/>
              <w:rPr>
                <w:rFonts w:eastAsia="Times New Roman"/>
                <w:color w:val="00B050"/>
                <w:szCs w:val="20"/>
                <w:lang w:eastAsia="fr-FR"/>
              </w:rPr>
            </w:pPr>
            <w:r w:rsidRPr="00AD463B">
              <w:rPr>
                <w:color w:val="00B050"/>
              </w:rPr>
              <w:t>-0,08</w:t>
            </w:r>
          </w:p>
        </w:tc>
      </w:tr>
      <w:tr w:rsidR="00AD463B" w:rsidRPr="00E95727" w14:paraId="7B0A5B4F"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2AB828A3" w14:textId="77777777" w:rsidR="00AD463B" w:rsidRPr="00E95727" w:rsidRDefault="00AD463B" w:rsidP="00AD463B">
            <w:pPr>
              <w:jc w:val="both"/>
              <w:rPr>
                <w:rFonts w:eastAsia="Times New Roman"/>
                <w:color w:val="931638"/>
                <w:szCs w:val="20"/>
                <w:lang w:eastAsia="fr-FR"/>
              </w:rPr>
            </w:pPr>
            <w:r w:rsidRPr="00E95727">
              <w:rPr>
                <w:rFonts w:eastAsia="Times New Roman"/>
                <w:color w:val="931638"/>
                <w:szCs w:val="20"/>
                <w:lang w:eastAsia="fr-FR"/>
              </w:rPr>
              <w:t xml:space="preserve">Coûts d’exploitation et d’investissement </w:t>
            </w:r>
          </w:p>
        </w:tc>
        <w:tc>
          <w:tcPr>
            <w:tcW w:w="1276" w:type="dxa"/>
            <w:tcBorders>
              <w:top w:val="nil"/>
              <w:left w:val="nil"/>
              <w:bottom w:val="single" w:sz="8" w:space="0" w:color="auto"/>
              <w:right w:val="single" w:sz="8" w:space="0" w:color="auto"/>
            </w:tcBorders>
            <w:shd w:val="clear" w:color="auto" w:fill="auto"/>
            <w:hideMark/>
          </w:tcPr>
          <w:p w14:paraId="0900C302" w14:textId="40E54FDB" w:rsidR="00AD463B" w:rsidRPr="00AD463B" w:rsidRDefault="00AD463B" w:rsidP="00AD463B">
            <w:pPr>
              <w:jc w:val="center"/>
              <w:rPr>
                <w:rFonts w:eastAsia="Times New Roman"/>
                <w:color w:val="00B050"/>
                <w:szCs w:val="20"/>
                <w:lang w:eastAsia="fr-FR"/>
              </w:rPr>
            </w:pPr>
            <w:r w:rsidRPr="00AD463B">
              <w:rPr>
                <w:color w:val="00B050"/>
              </w:rPr>
              <w:t>-34,37</w:t>
            </w:r>
          </w:p>
        </w:tc>
        <w:tc>
          <w:tcPr>
            <w:tcW w:w="1276" w:type="dxa"/>
            <w:tcBorders>
              <w:top w:val="nil"/>
              <w:left w:val="nil"/>
              <w:bottom w:val="single" w:sz="8" w:space="0" w:color="auto"/>
              <w:right w:val="single" w:sz="8" w:space="0" w:color="auto"/>
            </w:tcBorders>
            <w:shd w:val="clear" w:color="auto" w:fill="auto"/>
            <w:hideMark/>
          </w:tcPr>
          <w:p w14:paraId="7D45D507" w14:textId="70BB7483" w:rsidR="00AD463B" w:rsidRPr="00AD463B" w:rsidRDefault="00AD463B" w:rsidP="00AD463B">
            <w:pPr>
              <w:jc w:val="center"/>
              <w:rPr>
                <w:rFonts w:eastAsia="Times New Roman"/>
                <w:color w:val="00B050"/>
                <w:szCs w:val="20"/>
                <w:lang w:eastAsia="fr-FR"/>
              </w:rPr>
            </w:pPr>
            <w:r w:rsidRPr="00AD463B">
              <w:rPr>
                <w:color w:val="00B050"/>
              </w:rPr>
              <w:t>-43,65</w:t>
            </w:r>
          </w:p>
        </w:tc>
      </w:tr>
      <w:tr w:rsidR="00AD463B" w:rsidRPr="00E95727" w14:paraId="6A54642D"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575DE9F2" w14:textId="77777777" w:rsidR="00AD463B" w:rsidRPr="00E95727" w:rsidRDefault="00AD463B" w:rsidP="00AD463B">
            <w:pPr>
              <w:jc w:val="both"/>
              <w:rPr>
                <w:rFonts w:eastAsia="Times New Roman"/>
                <w:b/>
                <w:bCs/>
                <w:color w:val="931638"/>
                <w:szCs w:val="20"/>
                <w:lang w:eastAsia="fr-FR"/>
              </w:rPr>
            </w:pPr>
            <w:r w:rsidRPr="00E95727">
              <w:rPr>
                <w:rFonts w:eastAsia="Times New Roman"/>
                <w:b/>
                <w:bCs/>
                <w:color w:val="931638"/>
                <w:szCs w:val="20"/>
                <w:lang w:eastAsia="fr-FR"/>
              </w:rPr>
              <w:t>Valeur actualisée nette (VAN)</w:t>
            </w:r>
          </w:p>
        </w:tc>
        <w:tc>
          <w:tcPr>
            <w:tcW w:w="1276" w:type="dxa"/>
            <w:tcBorders>
              <w:top w:val="nil"/>
              <w:left w:val="nil"/>
              <w:bottom w:val="single" w:sz="8" w:space="0" w:color="auto"/>
              <w:right w:val="single" w:sz="8" w:space="0" w:color="auto"/>
            </w:tcBorders>
            <w:shd w:val="clear" w:color="auto" w:fill="auto"/>
            <w:hideMark/>
          </w:tcPr>
          <w:p w14:paraId="586385F3" w14:textId="3E6DD492" w:rsidR="00AD463B" w:rsidRPr="00AD463B" w:rsidRDefault="00AD463B" w:rsidP="00AD463B">
            <w:pPr>
              <w:jc w:val="center"/>
              <w:rPr>
                <w:rFonts w:eastAsia="Times New Roman"/>
                <w:b/>
                <w:bCs/>
                <w:color w:val="00B050"/>
                <w:szCs w:val="20"/>
                <w:lang w:eastAsia="fr-FR"/>
              </w:rPr>
            </w:pPr>
            <w:r w:rsidRPr="00AD463B">
              <w:rPr>
                <w:color w:val="00B050"/>
              </w:rPr>
              <w:t>34,94</w:t>
            </w:r>
          </w:p>
        </w:tc>
        <w:tc>
          <w:tcPr>
            <w:tcW w:w="1276" w:type="dxa"/>
            <w:tcBorders>
              <w:top w:val="nil"/>
              <w:left w:val="nil"/>
              <w:bottom w:val="single" w:sz="8" w:space="0" w:color="auto"/>
              <w:right w:val="single" w:sz="8" w:space="0" w:color="auto"/>
            </w:tcBorders>
            <w:shd w:val="clear" w:color="auto" w:fill="auto"/>
            <w:hideMark/>
          </w:tcPr>
          <w:p w14:paraId="7D16AF6A" w14:textId="624D44BF" w:rsidR="00AD463B" w:rsidRPr="00AD463B" w:rsidRDefault="00AD463B" w:rsidP="00AD463B">
            <w:pPr>
              <w:jc w:val="center"/>
              <w:rPr>
                <w:rFonts w:eastAsia="Times New Roman"/>
                <w:b/>
                <w:bCs/>
                <w:color w:val="00B050"/>
                <w:szCs w:val="20"/>
                <w:lang w:eastAsia="fr-FR"/>
              </w:rPr>
            </w:pPr>
            <w:r w:rsidRPr="00AD463B">
              <w:rPr>
                <w:color w:val="00B050"/>
              </w:rPr>
              <w:t>25,64</w:t>
            </w:r>
          </w:p>
        </w:tc>
      </w:tr>
      <w:tr w:rsidR="00AD463B" w:rsidRPr="00E95727" w14:paraId="24B305C9"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4293F720" w14:textId="77777777" w:rsidR="00AD463B" w:rsidRPr="00E95727" w:rsidRDefault="00AD463B" w:rsidP="00AD463B">
            <w:pPr>
              <w:jc w:val="both"/>
              <w:rPr>
                <w:rFonts w:eastAsia="Times New Roman"/>
                <w:color w:val="931638"/>
                <w:szCs w:val="20"/>
                <w:lang w:eastAsia="fr-FR"/>
              </w:rPr>
            </w:pPr>
            <w:r w:rsidRPr="00E95727">
              <w:rPr>
                <w:rFonts w:eastAsia="Times New Roman"/>
                <w:color w:val="931638"/>
                <w:szCs w:val="20"/>
                <w:lang w:eastAsia="fr-FR"/>
              </w:rPr>
              <w:t>VAN / euro investi</w:t>
            </w:r>
          </w:p>
        </w:tc>
        <w:tc>
          <w:tcPr>
            <w:tcW w:w="1276" w:type="dxa"/>
            <w:tcBorders>
              <w:top w:val="nil"/>
              <w:left w:val="nil"/>
              <w:bottom w:val="single" w:sz="8" w:space="0" w:color="auto"/>
              <w:right w:val="single" w:sz="8" w:space="0" w:color="auto"/>
            </w:tcBorders>
            <w:shd w:val="clear" w:color="auto" w:fill="auto"/>
            <w:hideMark/>
          </w:tcPr>
          <w:p w14:paraId="00AC1625" w14:textId="1B140C8A" w:rsidR="00AD463B" w:rsidRPr="00AD463B" w:rsidRDefault="00AD463B" w:rsidP="00AD463B">
            <w:pPr>
              <w:jc w:val="center"/>
              <w:rPr>
                <w:rFonts w:eastAsia="Times New Roman"/>
                <w:color w:val="00B050"/>
                <w:szCs w:val="20"/>
                <w:lang w:eastAsia="fr-FR"/>
              </w:rPr>
            </w:pPr>
            <w:r w:rsidRPr="00AD463B">
              <w:rPr>
                <w:color w:val="00B050"/>
              </w:rPr>
              <w:t>1,24</w:t>
            </w:r>
          </w:p>
        </w:tc>
        <w:tc>
          <w:tcPr>
            <w:tcW w:w="1276" w:type="dxa"/>
            <w:tcBorders>
              <w:top w:val="nil"/>
              <w:left w:val="nil"/>
              <w:bottom w:val="single" w:sz="8" w:space="0" w:color="auto"/>
              <w:right w:val="single" w:sz="8" w:space="0" w:color="auto"/>
            </w:tcBorders>
            <w:shd w:val="clear" w:color="auto" w:fill="auto"/>
            <w:hideMark/>
          </w:tcPr>
          <w:p w14:paraId="64DA45C2" w14:textId="72BEC7BD" w:rsidR="00AD463B" w:rsidRPr="00AD463B" w:rsidRDefault="00AD463B" w:rsidP="00AD463B">
            <w:pPr>
              <w:jc w:val="center"/>
              <w:rPr>
                <w:rFonts w:eastAsia="Times New Roman"/>
                <w:color w:val="00B050"/>
                <w:szCs w:val="20"/>
                <w:lang w:eastAsia="fr-FR"/>
              </w:rPr>
            </w:pPr>
            <w:r w:rsidRPr="00AD463B">
              <w:rPr>
                <w:color w:val="00B050"/>
              </w:rPr>
              <w:t>0,72</w:t>
            </w:r>
          </w:p>
        </w:tc>
      </w:tr>
      <w:tr w:rsidR="00AD463B" w:rsidRPr="00E95727" w14:paraId="2DEC5FBB"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02F1BAF4" w14:textId="77777777" w:rsidR="00AD463B" w:rsidRPr="00E95727" w:rsidRDefault="00AD463B" w:rsidP="00AD463B">
            <w:pPr>
              <w:jc w:val="both"/>
              <w:rPr>
                <w:rFonts w:eastAsia="Times New Roman"/>
                <w:color w:val="931638"/>
                <w:szCs w:val="20"/>
                <w:lang w:eastAsia="fr-FR"/>
              </w:rPr>
            </w:pPr>
            <w:r w:rsidRPr="00E95727">
              <w:rPr>
                <w:rFonts w:eastAsia="Times New Roman"/>
                <w:color w:val="931638"/>
                <w:szCs w:val="20"/>
                <w:lang w:eastAsia="fr-FR"/>
              </w:rPr>
              <w:t>VAN / euro dépensé</w:t>
            </w:r>
          </w:p>
        </w:tc>
        <w:tc>
          <w:tcPr>
            <w:tcW w:w="1276" w:type="dxa"/>
            <w:tcBorders>
              <w:top w:val="nil"/>
              <w:left w:val="nil"/>
              <w:bottom w:val="single" w:sz="8" w:space="0" w:color="auto"/>
              <w:right w:val="single" w:sz="8" w:space="0" w:color="auto"/>
            </w:tcBorders>
            <w:shd w:val="clear" w:color="auto" w:fill="auto"/>
            <w:hideMark/>
          </w:tcPr>
          <w:p w14:paraId="6A9BCB8C" w14:textId="05CFB080" w:rsidR="00AD463B" w:rsidRPr="00AD463B" w:rsidRDefault="00AD463B" w:rsidP="00AD463B">
            <w:pPr>
              <w:jc w:val="center"/>
              <w:rPr>
                <w:rFonts w:eastAsia="Times New Roman"/>
                <w:color w:val="00B050"/>
                <w:szCs w:val="20"/>
                <w:lang w:eastAsia="fr-FR"/>
              </w:rPr>
            </w:pPr>
            <w:r w:rsidRPr="00AD463B">
              <w:rPr>
                <w:color w:val="00B050"/>
              </w:rPr>
              <w:t>1,01</w:t>
            </w:r>
          </w:p>
        </w:tc>
        <w:tc>
          <w:tcPr>
            <w:tcW w:w="1276" w:type="dxa"/>
            <w:tcBorders>
              <w:top w:val="nil"/>
              <w:left w:val="nil"/>
              <w:bottom w:val="single" w:sz="8" w:space="0" w:color="auto"/>
              <w:right w:val="single" w:sz="8" w:space="0" w:color="auto"/>
            </w:tcBorders>
            <w:shd w:val="clear" w:color="auto" w:fill="auto"/>
            <w:hideMark/>
          </w:tcPr>
          <w:p w14:paraId="75DCAD2C" w14:textId="66A41030" w:rsidR="00AD463B" w:rsidRPr="00AD463B" w:rsidRDefault="00AD463B" w:rsidP="00AD463B">
            <w:pPr>
              <w:jc w:val="center"/>
              <w:rPr>
                <w:rFonts w:eastAsia="Times New Roman"/>
                <w:color w:val="00B050"/>
                <w:szCs w:val="20"/>
                <w:lang w:eastAsia="fr-FR"/>
              </w:rPr>
            </w:pPr>
            <w:r w:rsidRPr="00AD463B">
              <w:rPr>
                <w:color w:val="00B050"/>
              </w:rPr>
              <w:t>0,59</w:t>
            </w:r>
          </w:p>
        </w:tc>
      </w:tr>
      <w:tr w:rsidR="00AD463B" w:rsidRPr="00E95727" w14:paraId="4B0121A6"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60214E64" w14:textId="77777777" w:rsidR="00AD463B" w:rsidRPr="00E95727" w:rsidRDefault="00AD463B" w:rsidP="00AD463B">
            <w:pPr>
              <w:jc w:val="both"/>
              <w:rPr>
                <w:rFonts w:eastAsia="Times New Roman"/>
                <w:i/>
                <w:iCs/>
                <w:color w:val="931638"/>
                <w:szCs w:val="20"/>
                <w:lang w:eastAsia="fr-FR"/>
              </w:rPr>
            </w:pPr>
            <w:r w:rsidRPr="00E95727">
              <w:rPr>
                <w:rFonts w:eastAsia="Times New Roman"/>
                <w:i/>
                <w:iCs/>
                <w:color w:val="931638"/>
                <w:szCs w:val="20"/>
                <w:lang w:eastAsia="fr-FR"/>
              </w:rPr>
              <w:t>TRI</w:t>
            </w:r>
          </w:p>
        </w:tc>
        <w:tc>
          <w:tcPr>
            <w:tcW w:w="1276" w:type="dxa"/>
            <w:tcBorders>
              <w:top w:val="nil"/>
              <w:left w:val="nil"/>
              <w:bottom w:val="single" w:sz="8" w:space="0" w:color="auto"/>
              <w:right w:val="single" w:sz="8" w:space="0" w:color="auto"/>
            </w:tcBorders>
            <w:shd w:val="clear" w:color="auto" w:fill="auto"/>
            <w:hideMark/>
          </w:tcPr>
          <w:p w14:paraId="7C1BA263" w14:textId="14FD7DCD" w:rsidR="00AD463B" w:rsidRPr="00AD463B" w:rsidRDefault="00AD463B" w:rsidP="00AD463B">
            <w:pPr>
              <w:jc w:val="center"/>
              <w:rPr>
                <w:rFonts w:eastAsia="Times New Roman"/>
                <w:color w:val="00B050"/>
                <w:szCs w:val="20"/>
                <w:lang w:eastAsia="fr-FR"/>
              </w:rPr>
            </w:pPr>
            <w:r w:rsidRPr="00AD463B">
              <w:rPr>
                <w:color w:val="00B050"/>
              </w:rPr>
              <w:t>9,2%</w:t>
            </w:r>
          </w:p>
        </w:tc>
        <w:tc>
          <w:tcPr>
            <w:tcW w:w="1276" w:type="dxa"/>
            <w:tcBorders>
              <w:top w:val="nil"/>
              <w:left w:val="nil"/>
              <w:bottom w:val="single" w:sz="8" w:space="0" w:color="auto"/>
              <w:right w:val="single" w:sz="8" w:space="0" w:color="auto"/>
            </w:tcBorders>
            <w:shd w:val="clear" w:color="auto" w:fill="auto"/>
            <w:hideMark/>
          </w:tcPr>
          <w:p w14:paraId="4B31A7DA" w14:textId="4E68A89D" w:rsidR="00AD463B" w:rsidRPr="00AD463B" w:rsidRDefault="00AD463B" w:rsidP="00AD463B">
            <w:pPr>
              <w:jc w:val="center"/>
              <w:rPr>
                <w:rFonts w:eastAsia="Times New Roman"/>
                <w:color w:val="00B050"/>
                <w:szCs w:val="20"/>
                <w:lang w:eastAsia="fr-FR"/>
              </w:rPr>
            </w:pPr>
            <w:r w:rsidRPr="00AD463B">
              <w:rPr>
                <w:color w:val="00B050"/>
              </w:rPr>
              <w:t>7,3%</w:t>
            </w:r>
          </w:p>
        </w:tc>
      </w:tr>
    </w:tbl>
    <w:p w14:paraId="0D215CD0" w14:textId="77777777" w:rsidR="00150A72" w:rsidRPr="00854115" w:rsidRDefault="00150A72" w:rsidP="00150A72">
      <w:pPr>
        <w:widowControl w:val="0"/>
        <w:suppressAutoHyphens/>
        <w:jc w:val="both"/>
        <w:rPr>
          <w:rFonts w:cs="Cambria"/>
          <w:szCs w:val="20"/>
          <w:lang w:eastAsia="ar-SA"/>
        </w:rPr>
      </w:pPr>
    </w:p>
    <w:p w14:paraId="53F23E26" w14:textId="4027D00B" w:rsidR="00150A72" w:rsidRPr="00854115" w:rsidRDefault="00150A72" w:rsidP="00150A72">
      <w:pPr>
        <w:widowControl w:val="0"/>
        <w:suppressAutoHyphens/>
        <w:jc w:val="both"/>
        <w:rPr>
          <w:rFonts w:cs="Cambria"/>
          <w:szCs w:val="20"/>
          <w:lang w:eastAsia="ar-SA"/>
        </w:rPr>
      </w:pPr>
      <w:r w:rsidRPr="00854115">
        <w:rPr>
          <w:rFonts w:cs="Cambria"/>
          <w:szCs w:val="20"/>
          <w:lang w:eastAsia="ar-SA"/>
        </w:rPr>
        <w:t>La rentabilité globale calculée sur la base des effets quantifiables, même évalués d’une manière prudente, s’</w:t>
      </w:r>
      <w:r w:rsidR="00A87CC4" w:rsidRPr="00854115">
        <w:rPr>
          <w:rFonts w:cs="Cambria"/>
          <w:szCs w:val="20"/>
          <w:lang w:eastAsia="ar-SA"/>
        </w:rPr>
        <w:t>av</w:t>
      </w:r>
      <w:r w:rsidR="004243DF">
        <w:rPr>
          <w:rFonts w:cs="Cambria"/>
          <w:szCs w:val="20"/>
          <w:lang w:eastAsia="ar-SA"/>
        </w:rPr>
        <w:t>ère</w:t>
      </w:r>
      <w:r w:rsidRPr="00854115">
        <w:rPr>
          <w:rFonts w:cs="Cambria"/>
          <w:szCs w:val="20"/>
          <w:lang w:eastAsia="ar-SA"/>
        </w:rPr>
        <w:t xml:space="preserve"> donc très bonne au regard de la plupart des investissements de transports en commun. </w:t>
      </w:r>
      <w:r w:rsidR="00EA1E33">
        <w:rPr>
          <w:rFonts w:cs="Cambria"/>
          <w:szCs w:val="20"/>
          <w:lang w:eastAsia="ar-SA"/>
        </w:rPr>
        <w:t xml:space="preserve">Il convient de souligner que cette évaluation 2020 effectuée sur la base des améliorations des modèles de prévision est dans l’ensemble à peu près la même que celle qui a été présentée dans le dossier de demande de DUP modificative de la L18 et qui a donné lieu à une </w:t>
      </w:r>
      <w:r w:rsidR="003551E5">
        <w:rPr>
          <w:rFonts w:cs="Cambria"/>
          <w:szCs w:val="20"/>
          <w:lang w:eastAsia="ar-SA"/>
        </w:rPr>
        <w:t>contre-expertise</w:t>
      </w:r>
      <w:r w:rsidR="00EA1E33">
        <w:rPr>
          <w:rFonts w:cs="Cambria"/>
          <w:szCs w:val="20"/>
          <w:lang w:eastAsia="ar-SA"/>
        </w:rPr>
        <w:t xml:space="preserve"> </w:t>
      </w:r>
      <w:r w:rsidR="003551E5">
        <w:rPr>
          <w:rFonts w:cs="Cambria"/>
          <w:szCs w:val="20"/>
          <w:lang w:eastAsia="ar-SA"/>
        </w:rPr>
        <w:t>à nouveau minutieuse de la part des contre experts désignés par le Secrétariat général pour l’investissement.</w:t>
      </w:r>
    </w:p>
    <w:p w14:paraId="5DDCC07D" w14:textId="77777777" w:rsidR="00720184" w:rsidRPr="00854115" w:rsidRDefault="00720184" w:rsidP="00720184">
      <w:pPr>
        <w:widowControl w:val="0"/>
        <w:suppressAutoHyphens/>
        <w:jc w:val="both"/>
        <w:rPr>
          <w:rFonts w:cs="Cambria"/>
          <w:szCs w:val="20"/>
          <w:lang w:eastAsia="ar-SA"/>
        </w:rPr>
      </w:pPr>
    </w:p>
    <w:p w14:paraId="78D15F49" w14:textId="77777777" w:rsidR="00720184" w:rsidRDefault="00720184" w:rsidP="00720184">
      <w:pPr>
        <w:widowControl w:val="0"/>
        <w:suppressAutoHyphens/>
        <w:jc w:val="both"/>
        <w:rPr>
          <w:rFonts w:cs="Cambria"/>
          <w:szCs w:val="20"/>
          <w:lang w:eastAsia="ar-SA"/>
        </w:rPr>
      </w:pPr>
      <w:r w:rsidRPr="00854115">
        <w:rPr>
          <w:rFonts w:cs="Cambria"/>
          <w:szCs w:val="20"/>
          <w:lang w:eastAsia="ar-SA"/>
        </w:rPr>
        <w:t xml:space="preserve">La question </w:t>
      </w:r>
      <w:r w:rsidRPr="003551E5">
        <w:rPr>
          <w:rFonts w:cs="Cambria"/>
          <w:szCs w:val="20"/>
          <w:lang w:eastAsia="ar-SA"/>
        </w:rPr>
        <w:t xml:space="preserve">est souvent posée </w:t>
      </w:r>
      <w:r w:rsidRPr="00854115">
        <w:rPr>
          <w:rFonts w:cs="Cambria"/>
          <w:szCs w:val="20"/>
          <w:lang w:eastAsia="ar-SA"/>
        </w:rPr>
        <w:t xml:space="preserve">de l’éventuelle imputation de la VAN d’une part aux effets transports « classiques » et d’autre part aux effets économiques considérés comme plus « innovants ». Cette distinction entre deux types d’avantages économiques, qui s’appuie pour beaucoup sur les habitudes de calcul des surplus pour des projets non transformationnels à partir des gains de temps pour les </w:t>
      </w:r>
      <w:r w:rsidRPr="00854115">
        <w:rPr>
          <w:rFonts w:cs="Cambria"/>
          <w:szCs w:val="20"/>
          <w:lang w:eastAsia="ar-SA"/>
        </w:rPr>
        <w:lastRenderedPageBreak/>
        <w:t xml:space="preserve">usagers, est artificielle du point de vue de la quantification de l’utilité publique, dès lors que les fondements méthodologiques sous-jacents aux calculs des différents avantages sont </w:t>
      </w:r>
      <w:r>
        <w:rPr>
          <w:rFonts w:cs="Cambria"/>
          <w:szCs w:val="20"/>
          <w:lang w:eastAsia="ar-SA"/>
        </w:rPr>
        <w:t xml:space="preserve">aussi </w:t>
      </w:r>
      <w:r w:rsidRPr="00854115">
        <w:rPr>
          <w:rFonts w:cs="Cambria"/>
          <w:szCs w:val="20"/>
          <w:lang w:eastAsia="ar-SA"/>
        </w:rPr>
        <w:t>robustes</w:t>
      </w:r>
      <w:r>
        <w:rPr>
          <w:rFonts w:cs="Cambria"/>
          <w:szCs w:val="20"/>
          <w:lang w:eastAsia="ar-SA"/>
        </w:rPr>
        <w:t xml:space="preserve"> et prudents pour les différents postes d’avantages ; ne considérer qu’une partie considérée comme « classique » de ces bénéfices pour fonder une décision publique, sous prétexte des habitudes prises et du caractère novateur de l’utilisation des acquis de l’économie géographique, indispensable pour un investissement transformationnel de telle ampleur, et probablement difficile à comprendre pour des spécialistes des seules questions de transport peu au fait des données modernes de l’économie géographique, risquerait de fortement sous-estimer les bénéfices du projet et donc d’induire la puissance publique dans une erreur préjudiciable au bien commun</w:t>
      </w:r>
      <w:r w:rsidRPr="00854115">
        <w:rPr>
          <w:rFonts w:cs="Cambria"/>
          <w:szCs w:val="20"/>
          <w:lang w:eastAsia="ar-SA"/>
        </w:rPr>
        <w:t>.</w:t>
      </w:r>
    </w:p>
    <w:p w14:paraId="6AD78A7C" w14:textId="77777777" w:rsidR="00720184" w:rsidRPr="00150A72" w:rsidRDefault="00720184" w:rsidP="00720184">
      <w:pPr>
        <w:widowControl w:val="0"/>
        <w:suppressAutoHyphens/>
        <w:jc w:val="both"/>
        <w:rPr>
          <w:rFonts w:eastAsia="Calibri" w:cs="Cambria"/>
          <w:position w:val="-1"/>
          <w:lang w:eastAsia="ar-SA"/>
        </w:rPr>
      </w:pPr>
    </w:p>
    <w:p w14:paraId="2040BE9F" w14:textId="77777777" w:rsidR="00720184" w:rsidRPr="00EA1E33" w:rsidRDefault="00720184" w:rsidP="00720184">
      <w:pPr>
        <w:pBdr>
          <w:top w:val="single" w:sz="8" w:space="1" w:color="931638"/>
          <w:left w:val="single" w:sz="8" w:space="4" w:color="931638"/>
          <w:bottom w:val="single" w:sz="8" w:space="0" w:color="931638"/>
          <w:right w:val="single" w:sz="8" w:space="4" w:color="931638"/>
        </w:pBdr>
        <w:shd w:val="clear" w:color="auto" w:fill="E6D8C3"/>
        <w:ind w:left="284"/>
        <w:jc w:val="both"/>
        <w:rPr>
          <w:b/>
          <w:bCs/>
        </w:rPr>
      </w:pPr>
      <w:r w:rsidRPr="00EA1E33">
        <w:rPr>
          <w:b/>
          <w:bCs/>
        </w:rPr>
        <w:t xml:space="preserve">Coût d'opportunité des fonds publics (COFP) </w:t>
      </w:r>
    </w:p>
    <w:p w14:paraId="47DBA82A" w14:textId="4146E679" w:rsidR="00720184" w:rsidRDefault="00720184" w:rsidP="00720184">
      <w:pPr>
        <w:pBdr>
          <w:top w:val="single" w:sz="8" w:space="1" w:color="931638"/>
          <w:left w:val="single" w:sz="8" w:space="4" w:color="931638"/>
          <w:bottom w:val="single" w:sz="8" w:space="0" w:color="931638"/>
          <w:right w:val="single" w:sz="8" w:space="4" w:color="931638"/>
        </w:pBdr>
        <w:shd w:val="clear" w:color="auto" w:fill="E6D8C3"/>
        <w:ind w:left="284"/>
        <w:jc w:val="both"/>
      </w:pPr>
      <w:r>
        <w:t>Les dépenses publiques nettes engendrées par un projet appellent un financement par des ressources fiscales supplémentaires dans le cadre de l’hypothèse de maintien du solde des finances publiques tel qu’il prévaudrait en l’absence du projet. La théorie économique indique que tout prélèvement fiscal crée une distorsion dans les prix relatifs des biens et services dans l’économie. Selon leur assiette et leur taux, ces prélèvements obligatoires modifient plus ou moins les prix relatifs dans l'économie et éloignent de ce fait le choix des consommateurs de l'optimum socio-économique. Pour prendre en compte cette distorsion dans le calcul de la VAN, toute dépense publique nette supplémentaire engendrée par la réalisation du projet (subvention, financement, entretien et maintenance, compléments aux recettes de trafic pour financer le loyer de contrat de partenariat, etc.) doit être multipliée par le coefficient d'opportunité des fonds publics (COFP). Le coefficient proposé par les instructions en vigueur est de 1,2.</w:t>
      </w:r>
    </w:p>
    <w:p w14:paraId="50CF2827" w14:textId="77777777" w:rsidR="00720184" w:rsidRPr="00EA1E33" w:rsidRDefault="00720184" w:rsidP="00720184">
      <w:pPr>
        <w:pBdr>
          <w:top w:val="single" w:sz="8" w:space="1" w:color="931638"/>
          <w:left w:val="single" w:sz="8" w:space="4" w:color="931638"/>
          <w:bottom w:val="single" w:sz="8" w:space="0" w:color="931638"/>
          <w:right w:val="single" w:sz="8" w:space="4" w:color="931638"/>
        </w:pBdr>
        <w:shd w:val="clear" w:color="auto" w:fill="E6D8C3"/>
        <w:ind w:left="284"/>
        <w:jc w:val="both"/>
        <w:rPr>
          <w:b/>
          <w:bCs/>
        </w:rPr>
      </w:pPr>
      <w:r w:rsidRPr="00EA1E33">
        <w:rPr>
          <w:b/>
          <w:bCs/>
        </w:rPr>
        <w:t xml:space="preserve">Prix fictif de rareté des fonds publics (PFRFP) </w:t>
      </w:r>
    </w:p>
    <w:p w14:paraId="3644324A" w14:textId="77777777" w:rsidR="00720184" w:rsidRPr="00150A72" w:rsidRDefault="00720184" w:rsidP="00720184">
      <w:pPr>
        <w:pBdr>
          <w:top w:val="single" w:sz="8" w:space="1" w:color="931638"/>
          <w:left w:val="single" w:sz="8" w:space="4" w:color="931638"/>
          <w:bottom w:val="single" w:sz="8" w:space="0" w:color="931638"/>
          <w:right w:val="single" w:sz="8" w:space="4" w:color="931638"/>
        </w:pBdr>
        <w:shd w:val="clear" w:color="auto" w:fill="E6D8C3"/>
        <w:ind w:left="284"/>
        <w:jc w:val="both"/>
      </w:pPr>
      <w:r>
        <w:t>Les projets au regard de leurs coûts et de leurs effets ne sont pas toujours tous finançables, car la puissance publique peut choisir de limiter les montants de fonds publics mobilisables. Pour hiérarchiser les projets en situation de rareté de l’argent public, chaque euro public net dépensé peut être affecté d’un coefficient supérieur à l’unité, qu’on appelle « prix fictif de rareté des fonds publics » (PFRFP) et qui s’ajoute au COFP lequel, lui, existe indépendamment du niveau des recettes fiscales consacrées aux investissements publics. Avec le PFRFP, la règle théorique de hiérarchisation des projets revient à considérer que la VAN positive ainsi corrigée (et optimisée quant à la date de réalisation) justifie, en termes socio-économiques, que le projet soit réalisé. Le rapport « Quinet » de 2013 présente des méthodes de calcul du PFRFP. Le prix proposé par les instructions en vigueur est de 0,05.</w:t>
      </w:r>
    </w:p>
    <w:p w14:paraId="1A9DEF63" w14:textId="77777777" w:rsidR="00150A72" w:rsidRPr="00150A72" w:rsidRDefault="00150A72" w:rsidP="00412C10">
      <w:pPr>
        <w:pStyle w:val="Titre3"/>
        <w:numPr>
          <w:ilvl w:val="3"/>
          <w:numId w:val="33"/>
        </w:numPr>
      </w:pPr>
      <w:bookmarkStart w:id="135" w:name="_Toc46917078"/>
      <w:bookmarkStart w:id="136" w:name="_Toc63352149"/>
      <w:r w:rsidRPr="00150A72">
        <w:t>Le bilan socio-économique par acteur</w:t>
      </w:r>
      <w:bookmarkEnd w:id="135"/>
      <w:bookmarkEnd w:id="136"/>
    </w:p>
    <w:p w14:paraId="37F56F1A" w14:textId="77777777" w:rsidR="00150A72" w:rsidRPr="00150A72" w:rsidRDefault="00150A72" w:rsidP="00150A72">
      <w:pPr>
        <w:jc w:val="both"/>
        <w:rPr>
          <w:lang w:eastAsia="he-IL" w:bidi="he-IL"/>
        </w:rPr>
      </w:pPr>
    </w:p>
    <w:p w14:paraId="5DB40386" w14:textId="2FAB7E91" w:rsidR="00150A72" w:rsidRPr="00150A72" w:rsidRDefault="00150A72" w:rsidP="00150A72">
      <w:pPr>
        <w:jc w:val="both"/>
        <w:rPr>
          <w:lang w:eastAsia="he-IL" w:bidi="he-IL"/>
        </w:rPr>
      </w:pPr>
      <w:r w:rsidRPr="00150A72">
        <w:rPr>
          <w:lang w:eastAsia="he-IL" w:bidi="he-IL"/>
        </w:rPr>
        <w:t xml:space="preserve">S’agissant d’un investissement national majeur, il importe de vérifier en quoi les différentes catégories d’acteurs économiques sont bénéficiaires. Le calcul du bilan </w:t>
      </w:r>
      <w:r w:rsidR="00826559" w:rsidRPr="00150A72">
        <w:rPr>
          <w:lang w:eastAsia="he-IL" w:bidi="he-IL"/>
        </w:rPr>
        <w:t>socio-économique</w:t>
      </w:r>
      <w:r w:rsidRPr="00150A72">
        <w:rPr>
          <w:lang w:eastAsia="he-IL" w:bidi="he-IL"/>
        </w:rPr>
        <w:t xml:space="preserve"> par acteur est un exercice d’imputation des bénéfices et des coûts qui suppose des conventions d’imputation. Elles ont été les suivantes, pour une analyse faite au premier stade de la redistribution entre les acteurs, comme le demande l’instruction de juin 2014 : </w:t>
      </w:r>
    </w:p>
    <w:p w14:paraId="5DF805AB" w14:textId="77777777" w:rsidR="00150A72" w:rsidRPr="00150A72" w:rsidRDefault="00150A72" w:rsidP="00150A72">
      <w:pPr>
        <w:jc w:val="both"/>
        <w:rPr>
          <w:b/>
          <w:lang w:eastAsia="he-IL" w:bidi="he-IL"/>
        </w:rPr>
      </w:pPr>
    </w:p>
    <w:p w14:paraId="0EFE50BC" w14:textId="77777777" w:rsidR="00150A72" w:rsidRPr="00150A72" w:rsidRDefault="00150A72" w:rsidP="00150A72">
      <w:pPr>
        <w:jc w:val="both"/>
        <w:rPr>
          <w:b/>
          <w:lang w:eastAsia="he-IL" w:bidi="he-IL"/>
        </w:rPr>
      </w:pPr>
      <w:r w:rsidRPr="00150A72">
        <w:rPr>
          <w:b/>
          <w:lang w:eastAsia="he-IL" w:bidi="he-IL"/>
        </w:rPr>
        <w:t xml:space="preserve">Gains de temps et régularité TC : </w:t>
      </w:r>
    </w:p>
    <w:p w14:paraId="3F8CDF9B" w14:textId="77777777" w:rsidR="00150A72" w:rsidRPr="00150A72" w:rsidRDefault="00150A72" w:rsidP="00150A72">
      <w:pPr>
        <w:jc w:val="both"/>
        <w:rPr>
          <w:lang w:eastAsia="he-IL" w:bidi="he-IL"/>
        </w:rPr>
      </w:pPr>
      <w:r w:rsidRPr="00150A72">
        <w:rPr>
          <w:lang w:eastAsia="he-IL" w:bidi="he-IL"/>
        </w:rPr>
        <w:t>Outre les usagers des transports, les entreprises sont aussi bénéficiaires des gains de temps et de régularité en pointe (hausse de productivité). Pour un déplacement Domicile-Travail, on estime par convention à 10% la part des bénéfices revenant aux entreprises, 90% aux usagers ; les déplacements Domicile-Travail représentant environ 50% des déplacements en pointe, on arrive à la répartition suivante : 5% des gains de temps et des avantages de régularité TC sont affectés aux entreprises, le reste aux usagers.</w:t>
      </w:r>
    </w:p>
    <w:p w14:paraId="1A6B0205" w14:textId="77777777" w:rsidR="00150A72" w:rsidRPr="00150A72" w:rsidRDefault="00150A72" w:rsidP="00150A72">
      <w:pPr>
        <w:jc w:val="both"/>
        <w:rPr>
          <w:b/>
          <w:lang w:eastAsia="he-IL" w:bidi="he-IL"/>
        </w:rPr>
      </w:pPr>
    </w:p>
    <w:p w14:paraId="163942F3" w14:textId="77777777" w:rsidR="00150A72" w:rsidRPr="00150A72" w:rsidRDefault="00150A72" w:rsidP="00150A72">
      <w:pPr>
        <w:jc w:val="both"/>
        <w:rPr>
          <w:lang w:eastAsia="he-IL" w:bidi="he-IL"/>
        </w:rPr>
      </w:pPr>
      <w:r w:rsidRPr="00150A72">
        <w:rPr>
          <w:b/>
          <w:lang w:eastAsia="he-IL" w:bidi="he-IL"/>
        </w:rPr>
        <w:t>Décongestion VP</w:t>
      </w:r>
      <w:r w:rsidRPr="00150A72">
        <w:rPr>
          <w:lang w:eastAsia="he-IL" w:bidi="he-IL"/>
        </w:rPr>
        <w:t xml:space="preserve"> :</w:t>
      </w:r>
    </w:p>
    <w:p w14:paraId="3E9C062A" w14:textId="462CF8BC" w:rsidR="00150A72" w:rsidRDefault="00150A72" w:rsidP="00150A72">
      <w:pPr>
        <w:jc w:val="both"/>
        <w:rPr>
          <w:lang w:eastAsia="he-IL" w:bidi="he-IL"/>
        </w:rPr>
      </w:pPr>
      <w:r w:rsidRPr="00150A72">
        <w:rPr>
          <w:lang w:eastAsia="he-IL" w:bidi="he-IL"/>
        </w:rPr>
        <w:t xml:space="preserve">Raisonnement similaire à celui appliqué à la régularité TC, avec une part moindre des déplacements </w:t>
      </w:r>
      <w:r w:rsidRPr="003551E5">
        <w:rPr>
          <w:lang w:eastAsia="he-IL" w:bidi="he-IL"/>
        </w:rPr>
        <w:t>D</w:t>
      </w:r>
      <w:r w:rsidR="000E47AD" w:rsidRPr="003551E5">
        <w:rPr>
          <w:lang w:eastAsia="he-IL" w:bidi="he-IL"/>
        </w:rPr>
        <w:t>omicile-</w:t>
      </w:r>
      <w:r w:rsidRPr="003551E5">
        <w:rPr>
          <w:lang w:eastAsia="he-IL" w:bidi="he-IL"/>
        </w:rPr>
        <w:t>T</w:t>
      </w:r>
      <w:r w:rsidR="000E47AD" w:rsidRPr="003551E5">
        <w:rPr>
          <w:lang w:eastAsia="he-IL" w:bidi="he-IL"/>
        </w:rPr>
        <w:t>ravail</w:t>
      </w:r>
      <w:r w:rsidRPr="003551E5">
        <w:rPr>
          <w:lang w:eastAsia="he-IL" w:bidi="he-IL"/>
        </w:rPr>
        <w:t xml:space="preserve"> </w:t>
      </w:r>
      <w:r w:rsidRPr="00150A72">
        <w:rPr>
          <w:lang w:eastAsia="he-IL" w:bidi="he-IL"/>
        </w:rPr>
        <w:t>en heure de pointe : 3% des avantages de décongestion sont affectés aux entreprises, le reste aux usagers.</w:t>
      </w:r>
    </w:p>
    <w:p w14:paraId="02A540AB" w14:textId="77777777" w:rsidR="00150A72" w:rsidRPr="00150A72" w:rsidRDefault="00150A72" w:rsidP="00150A72">
      <w:pPr>
        <w:jc w:val="both"/>
        <w:rPr>
          <w:b/>
          <w:lang w:eastAsia="he-IL" w:bidi="he-IL"/>
        </w:rPr>
      </w:pPr>
    </w:p>
    <w:p w14:paraId="7CF97F66" w14:textId="1538F9BF" w:rsidR="00150A72" w:rsidRPr="00150A72" w:rsidRDefault="00150A72" w:rsidP="00150A72">
      <w:pPr>
        <w:jc w:val="both"/>
        <w:rPr>
          <w:b/>
          <w:lang w:eastAsia="he-IL" w:bidi="he-IL"/>
        </w:rPr>
      </w:pPr>
      <w:r w:rsidRPr="00150A72">
        <w:rPr>
          <w:b/>
          <w:lang w:eastAsia="he-IL" w:bidi="he-IL"/>
        </w:rPr>
        <w:t xml:space="preserve">Effets économiques : </w:t>
      </w:r>
    </w:p>
    <w:p w14:paraId="0A996837" w14:textId="3BD5D429" w:rsidR="00150A72" w:rsidRPr="00150A72" w:rsidRDefault="00150A72" w:rsidP="0083506E">
      <w:pPr>
        <w:numPr>
          <w:ilvl w:val="0"/>
          <w:numId w:val="26"/>
        </w:numPr>
        <w:jc w:val="both"/>
        <w:rPr>
          <w:lang w:eastAsia="he-IL" w:bidi="he-IL"/>
        </w:rPr>
      </w:pPr>
      <w:r w:rsidRPr="00150A72">
        <w:rPr>
          <w:b/>
          <w:lang w:eastAsia="he-IL" w:bidi="he-IL"/>
        </w:rPr>
        <w:t>Effets d’agglomération</w:t>
      </w:r>
      <w:r w:rsidRPr="00150A72">
        <w:rPr>
          <w:lang w:eastAsia="he-IL" w:bidi="he-IL"/>
        </w:rPr>
        <w:t xml:space="preserve"> : valorisation de gains de salaires et de productivité de la manière suivante : 30% ménages, 50% entreprises et 20% Puissance Publique.</w:t>
      </w:r>
    </w:p>
    <w:p w14:paraId="3A3FB8B5" w14:textId="15E7BFF9" w:rsidR="00150A72" w:rsidRPr="00150A72" w:rsidRDefault="00150A72" w:rsidP="0083506E">
      <w:pPr>
        <w:numPr>
          <w:ilvl w:val="0"/>
          <w:numId w:val="26"/>
        </w:numPr>
        <w:jc w:val="both"/>
        <w:rPr>
          <w:lang w:eastAsia="he-IL" w:bidi="he-IL"/>
        </w:rPr>
      </w:pPr>
      <w:r w:rsidRPr="00150A72">
        <w:rPr>
          <w:b/>
          <w:lang w:eastAsia="he-IL" w:bidi="he-IL"/>
        </w:rPr>
        <w:t>Valorisation des nouveaux emplois</w:t>
      </w:r>
      <w:r w:rsidR="00EC23F8">
        <w:rPr>
          <w:lang w:eastAsia="he-IL" w:bidi="he-IL"/>
        </w:rPr>
        <w:t xml:space="preserve"> </w:t>
      </w:r>
      <w:r w:rsidRPr="00150A72">
        <w:rPr>
          <w:lang w:eastAsia="he-IL" w:bidi="he-IL"/>
        </w:rPr>
        <w:t>: 80% Puissance Publique et 20% entreprises, avec la part de la Puissance Publique répartie au prorata des recettes fiscales : 55% Etat, 45% Collectivités Territoriales (source INSEE 2012, en tenant compte des dotations de l’Etat aux collectivités).</w:t>
      </w:r>
    </w:p>
    <w:p w14:paraId="399DD078" w14:textId="77777777" w:rsidR="00150A72" w:rsidRPr="00150A72" w:rsidRDefault="00150A72" w:rsidP="00150A72">
      <w:pPr>
        <w:jc w:val="both"/>
        <w:rPr>
          <w:b/>
          <w:lang w:eastAsia="he-IL" w:bidi="he-IL"/>
        </w:rPr>
      </w:pPr>
    </w:p>
    <w:p w14:paraId="78C320DB" w14:textId="45D1C77D" w:rsidR="00150A72" w:rsidRPr="00150A72" w:rsidRDefault="00150A72" w:rsidP="00150A72">
      <w:pPr>
        <w:jc w:val="both"/>
        <w:rPr>
          <w:lang w:eastAsia="he-IL" w:bidi="he-IL"/>
        </w:rPr>
      </w:pPr>
      <w:r w:rsidRPr="00150A72">
        <w:rPr>
          <w:b/>
          <w:lang w:eastAsia="he-IL" w:bidi="he-IL"/>
        </w:rPr>
        <w:t>Usage du sol</w:t>
      </w:r>
      <w:r w:rsidRPr="00150A72">
        <w:rPr>
          <w:lang w:eastAsia="he-IL" w:bidi="he-IL"/>
        </w:rPr>
        <w:t xml:space="preserve"> :</w:t>
      </w:r>
    </w:p>
    <w:p w14:paraId="70D060AD" w14:textId="77777777" w:rsidR="00150A72" w:rsidRPr="00150A72" w:rsidRDefault="00150A72" w:rsidP="00150A72">
      <w:pPr>
        <w:jc w:val="both"/>
        <w:rPr>
          <w:lang w:eastAsia="he-IL" w:bidi="he-IL"/>
        </w:rPr>
      </w:pPr>
      <w:r w:rsidRPr="00150A72">
        <w:rPr>
          <w:lang w:eastAsia="he-IL" w:bidi="he-IL"/>
        </w:rPr>
        <w:t>La quasi-totalité des effets valorisés concerne la part publique des investissements liés à la viabilisation (VRD) des hectares non consommés et leur entretien annuel, du ressort des Collectivités Territoriales.</w:t>
      </w:r>
    </w:p>
    <w:p w14:paraId="7C6C6CF9" w14:textId="77777777" w:rsidR="0084080B" w:rsidRDefault="0084080B" w:rsidP="00150A72">
      <w:pPr>
        <w:jc w:val="both"/>
        <w:rPr>
          <w:b/>
          <w:lang w:eastAsia="he-IL" w:bidi="he-IL"/>
        </w:rPr>
      </w:pPr>
    </w:p>
    <w:p w14:paraId="492AA7F0" w14:textId="767833E9" w:rsidR="00150A72" w:rsidRPr="00150A72" w:rsidRDefault="00150A72" w:rsidP="00150A72">
      <w:pPr>
        <w:jc w:val="both"/>
        <w:rPr>
          <w:lang w:eastAsia="he-IL" w:bidi="he-IL"/>
        </w:rPr>
      </w:pPr>
      <w:r w:rsidRPr="00150A72">
        <w:rPr>
          <w:b/>
          <w:lang w:eastAsia="he-IL" w:bidi="he-IL"/>
        </w:rPr>
        <w:t>Externalités classiques</w:t>
      </w:r>
      <w:r w:rsidRPr="00150A72">
        <w:rPr>
          <w:lang w:eastAsia="he-IL" w:bidi="he-IL"/>
        </w:rPr>
        <w:t xml:space="preserve"> : </w:t>
      </w:r>
    </w:p>
    <w:p w14:paraId="04798DDD" w14:textId="6BBF945C" w:rsidR="00150A72" w:rsidRPr="00150A72" w:rsidRDefault="00150A72" w:rsidP="00150A72">
      <w:pPr>
        <w:jc w:val="both"/>
        <w:rPr>
          <w:lang w:eastAsia="he-IL" w:bidi="he-IL"/>
        </w:rPr>
      </w:pPr>
      <w:r w:rsidRPr="00150A72">
        <w:rPr>
          <w:lang w:eastAsia="he-IL" w:bidi="he-IL"/>
        </w:rPr>
        <w:t xml:space="preserve">Par convention, pollution </w:t>
      </w:r>
      <w:r w:rsidR="00826559" w:rsidRPr="00150A72">
        <w:rPr>
          <w:lang w:eastAsia="he-IL" w:bidi="he-IL"/>
        </w:rPr>
        <w:t>et bruit</w:t>
      </w:r>
      <w:r w:rsidRPr="00150A72">
        <w:rPr>
          <w:lang w:eastAsia="he-IL" w:bidi="he-IL"/>
        </w:rPr>
        <w:t xml:space="preserve"> sont imputés en totalité aux ménages, sécurité et économie en GES profitent également un peu (10%) aux entreprises.</w:t>
      </w:r>
    </w:p>
    <w:p w14:paraId="46440B6F" w14:textId="77777777" w:rsidR="00150A72" w:rsidRPr="00150A72" w:rsidRDefault="00150A72" w:rsidP="00150A72">
      <w:pPr>
        <w:jc w:val="both"/>
        <w:rPr>
          <w:lang w:eastAsia="he-IL" w:bidi="he-IL"/>
        </w:rPr>
      </w:pPr>
    </w:p>
    <w:p w14:paraId="3B778B59" w14:textId="699717A7" w:rsidR="00150A72" w:rsidRDefault="00150A72" w:rsidP="00150A72">
      <w:pPr>
        <w:jc w:val="both"/>
        <w:rPr>
          <w:lang w:eastAsia="he-IL" w:bidi="he-IL"/>
        </w:rPr>
      </w:pPr>
      <w:r w:rsidRPr="00150A72">
        <w:rPr>
          <w:lang w:eastAsia="he-IL" w:bidi="he-IL"/>
        </w:rPr>
        <w:t xml:space="preserve">Les résultats </w:t>
      </w:r>
      <w:r w:rsidR="00720184">
        <w:rPr>
          <w:lang w:eastAsia="he-IL" w:bidi="he-IL"/>
        </w:rPr>
        <w:t xml:space="preserve">de ce bilan par acteurs </w:t>
      </w:r>
      <w:r w:rsidR="004243DF">
        <w:rPr>
          <w:lang w:eastAsia="he-IL" w:bidi="he-IL"/>
        </w:rPr>
        <w:t>sont</w:t>
      </w:r>
      <w:r w:rsidRPr="00150A72">
        <w:rPr>
          <w:lang w:eastAsia="he-IL" w:bidi="he-IL"/>
        </w:rPr>
        <w:t xml:space="preserve"> les suivants :</w:t>
      </w:r>
    </w:p>
    <w:p w14:paraId="7A8D0B3C" w14:textId="77777777" w:rsidR="00AD463B" w:rsidRPr="00150A72" w:rsidRDefault="00AD463B" w:rsidP="00150A72">
      <w:pPr>
        <w:widowControl w:val="0"/>
        <w:suppressAutoHyphens/>
        <w:ind w:left="2836" w:firstLine="709"/>
        <w:jc w:val="both"/>
        <w:rPr>
          <w:rFonts w:eastAsia="Calibri" w:cs="Cambria"/>
          <w:szCs w:val="20"/>
          <w:lang w:eastAsia="ar-SA"/>
        </w:rPr>
      </w:pPr>
    </w:p>
    <w:tbl>
      <w:tblPr>
        <w:tblW w:w="6369" w:type="dxa"/>
        <w:jc w:val="center"/>
        <w:tblCellMar>
          <w:left w:w="70" w:type="dxa"/>
          <w:right w:w="70" w:type="dxa"/>
        </w:tblCellMar>
        <w:tblLook w:val="04A0" w:firstRow="1" w:lastRow="0" w:firstColumn="1" w:lastColumn="0" w:noHBand="0" w:noVBand="1"/>
      </w:tblPr>
      <w:tblGrid>
        <w:gridCol w:w="3676"/>
        <w:gridCol w:w="2693"/>
      </w:tblGrid>
      <w:tr w:rsidR="004366F5" w:rsidRPr="00323F4E" w14:paraId="5CB0F612" w14:textId="77777777" w:rsidTr="0087255E">
        <w:trPr>
          <w:trHeight w:val="227"/>
          <w:jc w:val="center"/>
        </w:trPr>
        <w:tc>
          <w:tcPr>
            <w:tcW w:w="367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A7DD108" w14:textId="77777777" w:rsidR="004366F5" w:rsidRPr="00323F4E" w:rsidRDefault="004366F5" w:rsidP="00323F4E">
            <w:pPr>
              <w:jc w:val="both"/>
              <w:rPr>
                <w:rFonts w:eastAsia="Times New Roman"/>
                <w:b/>
                <w:bCs/>
                <w:color w:val="931638"/>
                <w:szCs w:val="20"/>
                <w:lang w:eastAsia="fr-FR"/>
              </w:rPr>
            </w:pPr>
            <w:r w:rsidRPr="00323F4E">
              <w:rPr>
                <w:rFonts w:eastAsia="Times New Roman"/>
                <w:b/>
                <w:bCs/>
                <w:color w:val="931638"/>
                <w:szCs w:val="20"/>
                <w:lang w:eastAsia="fr-FR"/>
              </w:rPr>
              <w:t xml:space="preserve">Option basse de projet : </w:t>
            </w:r>
          </w:p>
        </w:tc>
        <w:tc>
          <w:tcPr>
            <w:tcW w:w="2693"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0F481DEE" w14:textId="77777777" w:rsidR="004366F5" w:rsidRPr="00323F4E" w:rsidRDefault="004366F5" w:rsidP="00323F4E">
            <w:pPr>
              <w:jc w:val="center"/>
              <w:rPr>
                <w:rFonts w:eastAsia="Times New Roman"/>
                <w:color w:val="000000"/>
                <w:szCs w:val="20"/>
                <w:lang w:eastAsia="fr-FR"/>
              </w:rPr>
            </w:pPr>
            <w:r w:rsidRPr="00323F4E">
              <w:rPr>
                <w:rFonts w:eastAsia="Times New Roman"/>
                <w:color w:val="000000"/>
                <w:szCs w:val="20"/>
                <w:lang w:eastAsia="fr-FR"/>
              </w:rPr>
              <w:t>Euros 2015</w:t>
            </w:r>
          </w:p>
        </w:tc>
      </w:tr>
      <w:tr w:rsidR="00EC23F8" w:rsidRPr="00323F4E" w14:paraId="4DCC34E2" w14:textId="77777777" w:rsidTr="00E22CEA">
        <w:trPr>
          <w:trHeight w:val="227"/>
          <w:jc w:val="center"/>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0BDCFCBD" w14:textId="77777777" w:rsidR="00EC23F8" w:rsidRPr="00323F4E" w:rsidRDefault="00EC23F8" w:rsidP="00323F4E">
            <w:pPr>
              <w:jc w:val="both"/>
              <w:rPr>
                <w:rFonts w:eastAsia="Times New Roman"/>
                <w:color w:val="000000"/>
                <w:szCs w:val="20"/>
                <w:lang w:eastAsia="fr-FR"/>
              </w:rPr>
            </w:pPr>
            <w:r w:rsidRPr="00323F4E">
              <w:rPr>
                <w:rFonts w:eastAsia="Times New Roman"/>
                <w:color w:val="000000"/>
                <w:szCs w:val="20"/>
                <w:lang w:eastAsia="fr-FR"/>
              </w:rPr>
              <w:t xml:space="preserve"> </w:t>
            </w:r>
            <w:r w:rsidRPr="00323F4E">
              <w:rPr>
                <w:rFonts w:eastAsia="Times New Roman"/>
                <w:i/>
                <w:iCs/>
                <w:color w:val="000000"/>
                <w:szCs w:val="20"/>
                <w:lang w:eastAsia="fr-FR"/>
              </w:rPr>
              <w:t>(en milliards)</w:t>
            </w:r>
          </w:p>
        </w:tc>
        <w:tc>
          <w:tcPr>
            <w:tcW w:w="2693" w:type="dxa"/>
            <w:tcBorders>
              <w:top w:val="nil"/>
              <w:left w:val="nil"/>
              <w:bottom w:val="single" w:sz="8" w:space="0" w:color="auto"/>
              <w:right w:val="single" w:sz="8" w:space="0" w:color="auto"/>
            </w:tcBorders>
            <w:shd w:val="clear" w:color="auto" w:fill="auto"/>
            <w:vAlign w:val="center"/>
            <w:hideMark/>
          </w:tcPr>
          <w:p w14:paraId="1E8ACC4C" w14:textId="53D6505D" w:rsidR="00EC23F8" w:rsidRPr="00323F4E" w:rsidRDefault="00EC23F8" w:rsidP="00323F4E">
            <w:pPr>
              <w:jc w:val="center"/>
              <w:rPr>
                <w:rFonts w:eastAsia="Times New Roman"/>
                <w:i/>
                <w:iCs/>
                <w:color w:val="000000"/>
                <w:szCs w:val="20"/>
                <w:lang w:eastAsia="fr-FR"/>
              </w:rPr>
            </w:pPr>
            <w:r w:rsidRPr="00323F4E">
              <w:rPr>
                <w:rFonts w:eastAsia="Times New Roman"/>
                <w:i/>
                <w:iCs/>
                <w:color w:val="000000"/>
                <w:szCs w:val="20"/>
                <w:lang w:eastAsia="fr-FR"/>
              </w:rPr>
              <w:t>avec COFP</w:t>
            </w:r>
          </w:p>
        </w:tc>
      </w:tr>
      <w:tr w:rsidR="00AD463B" w:rsidRPr="00323F4E" w14:paraId="696C0E83" w14:textId="77777777" w:rsidTr="0087255E">
        <w:trPr>
          <w:trHeight w:val="227"/>
          <w:jc w:val="center"/>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2E15A190" w14:textId="77777777" w:rsidR="00AD463B" w:rsidRPr="00323F4E" w:rsidRDefault="00AD463B" w:rsidP="00AD463B">
            <w:pPr>
              <w:jc w:val="both"/>
              <w:rPr>
                <w:rFonts w:eastAsia="Times New Roman"/>
                <w:color w:val="931638"/>
                <w:szCs w:val="20"/>
                <w:lang w:eastAsia="fr-FR"/>
              </w:rPr>
            </w:pPr>
            <w:r w:rsidRPr="00323F4E">
              <w:rPr>
                <w:rFonts w:eastAsia="Times New Roman"/>
                <w:color w:val="931638"/>
                <w:szCs w:val="20"/>
                <w:lang w:eastAsia="fr-FR"/>
              </w:rPr>
              <w:t>Usagers Transports Publics</w:t>
            </w:r>
          </w:p>
        </w:tc>
        <w:tc>
          <w:tcPr>
            <w:tcW w:w="2693" w:type="dxa"/>
            <w:tcBorders>
              <w:top w:val="single" w:sz="8" w:space="0" w:color="auto"/>
              <w:left w:val="single" w:sz="8" w:space="0" w:color="auto"/>
              <w:bottom w:val="nil"/>
              <w:right w:val="single" w:sz="8" w:space="0" w:color="000000"/>
            </w:tcBorders>
            <w:shd w:val="clear" w:color="auto" w:fill="auto"/>
            <w:hideMark/>
          </w:tcPr>
          <w:p w14:paraId="555CEFE5" w14:textId="60551283" w:rsidR="00AD463B" w:rsidRPr="00AD463B" w:rsidRDefault="00AD463B" w:rsidP="00AD463B">
            <w:pPr>
              <w:jc w:val="center"/>
              <w:rPr>
                <w:rFonts w:eastAsia="Times New Roman"/>
                <w:color w:val="00B050"/>
                <w:szCs w:val="20"/>
                <w:lang w:eastAsia="fr-FR"/>
              </w:rPr>
            </w:pPr>
            <w:r w:rsidRPr="00AD463B">
              <w:rPr>
                <w:color w:val="00B050"/>
              </w:rPr>
              <w:t>20,58</w:t>
            </w:r>
          </w:p>
        </w:tc>
      </w:tr>
      <w:tr w:rsidR="00AD463B" w:rsidRPr="00323F4E" w14:paraId="5BEFE047" w14:textId="77777777" w:rsidTr="0087255E">
        <w:trPr>
          <w:trHeight w:val="227"/>
          <w:jc w:val="center"/>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7175AE20" w14:textId="77777777" w:rsidR="00AD463B" w:rsidRPr="00323F4E" w:rsidRDefault="00AD463B" w:rsidP="00AD463B">
            <w:pPr>
              <w:jc w:val="both"/>
              <w:rPr>
                <w:rFonts w:eastAsia="Times New Roman"/>
                <w:color w:val="931638"/>
                <w:szCs w:val="20"/>
                <w:lang w:eastAsia="fr-FR"/>
              </w:rPr>
            </w:pPr>
            <w:r w:rsidRPr="00323F4E">
              <w:rPr>
                <w:rFonts w:eastAsia="Times New Roman"/>
                <w:color w:val="931638"/>
                <w:szCs w:val="20"/>
                <w:lang w:eastAsia="fr-FR"/>
              </w:rPr>
              <w:t>Usagers Véhicules Particuliers</w:t>
            </w:r>
          </w:p>
        </w:tc>
        <w:tc>
          <w:tcPr>
            <w:tcW w:w="2693" w:type="dxa"/>
            <w:tcBorders>
              <w:top w:val="single" w:sz="8" w:space="0" w:color="auto"/>
              <w:left w:val="single" w:sz="8" w:space="0" w:color="auto"/>
              <w:bottom w:val="nil"/>
              <w:right w:val="single" w:sz="8" w:space="0" w:color="000000"/>
            </w:tcBorders>
            <w:shd w:val="clear" w:color="auto" w:fill="auto"/>
            <w:hideMark/>
          </w:tcPr>
          <w:p w14:paraId="59EC5E70" w14:textId="2827144A" w:rsidR="00AD463B" w:rsidRPr="00AD463B" w:rsidRDefault="00AD463B" w:rsidP="00AD463B">
            <w:pPr>
              <w:jc w:val="center"/>
              <w:rPr>
                <w:rFonts w:eastAsia="Times New Roman"/>
                <w:color w:val="00B050"/>
                <w:szCs w:val="20"/>
                <w:lang w:eastAsia="fr-FR"/>
              </w:rPr>
            </w:pPr>
            <w:r w:rsidRPr="00AD463B">
              <w:rPr>
                <w:color w:val="00B050"/>
              </w:rPr>
              <w:t>1,08</w:t>
            </w:r>
          </w:p>
        </w:tc>
      </w:tr>
      <w:tr w:rsidR="00EC23F8" w:rsidRPr="00323F4E" w14:paraId="24003E65" w14:textId="77777777" w:rsidTr="00E22CEA">
        <w:trPr>
          <w:trHeight w:val="227"/>
          <w:jc w:val="center"/>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1C7BEBB9" w14:textId="77777777" w:rsidR="00EC23F8" w:rsidRPr="00323F4E" w:rsidRDefault="00EC23F8" w:rsidP="00430BE7">
            <w:pPr>
              <w:jc w:val="both"/>
              <w:rPr>
                <w:rFonts w:eastAsia="Times New Roman"/>
                <w:color w:val="931638"/>
                <w:szCs w:val="20"/>
                <w:lang w:eastAsia="fr-FR"/>
              </w:rPr>
            </w:pPr>
            <w:r w:rsidRPr="00323F4E">
              <w:rPr>
                <w:rFonts w:eastAsia="Times New Roman"/>
                <w:color w:val="931638"/>
                <w:szCs w:val="20"/>
                <w:lang w:eastAsia="fr-FR"/>
              </w:rPr>
              <w:t>Puissance Publique</w:t>
            </w:r>
          </w:p>
        </w:tc>
        <w:tc>
          <w:tcPr>
            <w:tcW w:w="2693" w:type="dxa"/>
            <w:tcBorders>
              <w:top w:val="single" w:sz="8" w:space="0" w:color="auto"/>
              <w:left w:val="nil"/>
              <w:bottom w:val="single" w:sz="8" w:space="0" w:color="auto"/>
              <w:right w:val="single" w:sz="8" w:space="0" w:color="auto"/>
            </w:tcBorders>
            <w:shd w:val="clear" w:color="auto" w:fill="auto"/>
            <w:hideMark/>
          </w:tcPr>
          <w:p w14:paraId="4AFE9754" w14:textId="497256F8" w:rsidR="00EC23F8" w:rsidRPr="00AD463B" w:rsidRDefault="00EC23F8" w:rsidP="00430BE7">
            <w:pPr>
              <w:jc w:val="center"/>
              <w:rPr>
                <w:rFonts w:eastAsia="Times New Roman"/>
                <w:color w:val="00B050"/>
                <w:szCs w:val="20"/>
                <w:lang w:eastAsia="fr-FR"/>
              </w:rPr>
            </w:pPr>
            <w:r w:rsidRPr="00AD463B">
              <w:rPr>
                <w:color w:val="00B050"/>
              </w:rPr>
              <w:t>-</w:t>
            </w:r>
            <w:r w:rsidR="005975FE" w:rsidRPr="00AD463B">
              <w:rPr>
                <w:color w:val="00B050"/>
              </w:rPr>
              <w:t>11,3</w:t>
            </w:r>
            <w:r w:rsidR="00AD463B" w:rsidRPr="00AD463B">
              <w:rPr>
                <w:color w:val="00B050"/>
              </w:rPr>
              <w:t>6</w:t>
            </w:r>
          </w:p>
        </w:tc>
      </w:tr>
      <w:tr w:rsidR="00AD463B" w:rsidRPr="00323F4E" w14:paraId="4911E628" w14:textId="77777777" w:rsidTr="0087255E">
        <w:trPr>
          <w:trHeight w:val="227"/>
          <w:jc w:val="center"/>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38666A1B" w14:textId="77777777" w:rsidR="00AD463B" w:rsidRPr="00323F4E" w:rsidRDefault="00AD463B" w:rsidP="00AD463B">
            <w:pPr>
              <w:jc w:val="both"/>
              <w:rPr>
                <w:rFonts w:eastAsia="Times New Roman"/>
                <w:color w:val="931638"/>
                <w:szCs w:val="20"/>
                <w:lang w:eastAsia="fr-FR"/>
              </w:rPr>
            </w:pPr>
            <w:r w:rsidRPr="00323F4E">
              <w:rPr>
                <w:rFonts w:eastAsia="Times New Roman"/>
                <w:color w:val="931638"/>
                <w:szCs w:val="20"/>
                <w:lang w:eastAsia="fr-FR"/>
              </w:rPr>
              <w:t>Entreprises</w:t>
            </w:r>
          </w:p>
        </w:tc>
        <w:tc>
          <w:tcPr>
            <w:tcW w:w="2693" w:type="dxa"/>
            <w:tcBorders>
              <w:top w:val="single" w:sz="8" w:space="0" w:color="auto"/>
              <w:left w:val="single" w:sz="8" w:space="0" w:color="auto"/>
              <w:bottom w:val="nil"/>
              <w:right w:val="single" w:sz="8" w:space="0" w:color="000000"/>
            </w:tcBorders>
            <w:shd w:val="clear" w:color="auto" w:fill="auto"/>
            <w:hideMark/>
          </w:tcPr>
          <w:p w14:paraId="6A7C994C" w14:textId="1E482502" w:rsidR="00AD463B" w:rsidRPr="00AD463B" w:rsidRDefault="00AD463B" w:rsidP="00AD463B">
            <w:pPr>
              <w:jc w:val="center"/>
              <w:rPr>
                <w:rFonts w:eastAsia="Times New Roman"/>
                <w:color w:val="00B050"/>
                <w:szCs w:val="20"/>
                <w:lang w:eastAsia="fr-FR"/>
              </w:rPr>
            </w:pPr>
            <w:r w:rsidRPr="00AD463B">
              <w:rPr>
                <w:color w:val="00B050"/>
              </w:rPr>
              <w:t>11,07</w:t>
            </w:r>
          </w:p>
        </w:tc>
      </w:tr>
      <w:tr w:rsidR="00AD463B" w:rsidRPr="00323F4E" w14:paraId="12AAA5A2" w14:textId="77777777" w:rsidTr="0087255E">
        <w:trPr>
          <w:trHeight w:val="227"/>
          <w:jc w:val="center"/>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4EB75570" w14:textId="77777777" w:rsidR="00AD463B" w:rsidRPr="00323F4E" w:rsidRDefault="00AD463B" w:rsidP="00AD463B">
            <w:pPr>
              <w:jc w:val="both"/>
              <w:rPr>
                <w:rFonts w:eastAsia="Times New Roman"/>
                <w:color w:val="931638"/>
                <w:szCs w:val="20"/>
                <w:lang w:eastAsia="fr-FR"/>
              </w:rPr>
            </w:pPr>
            <w:r w:rsidRPr="00323F4E">
              <w:rPr>
                <w:rFonts w:eastAsia="Times New Roman"/>
                <w:color w:val="931638"/>
                <w:szCs w:val="20"/>
                <w:lang w:eastAsia="fr-FR"/>
              </w:rPr>
              <w:t>Ménages</w:t>
            </w:r>
          </w:p>
        </w:tc>
        <w:tc>
          <w:tcPr>
            <w:tcW w:w="2693" w:type="dxa"/>
            <w:tcBorders>
              <w:top w:val="single" w:sz="8" w:space="0" w:color="auto"/>
              <w:left w:val="single" w:sz="8" w:space="0" w:color="auto"/>
              <w:bottom w:val="nil"/>
              <w:right w:val="single" w:sz="8" w:space="0" w:color="000000"/>
            </w:tcBorders>
            <w:shd w:val="clear" w:color="auto" w:fill="auto"/>
            <w:hideMark/>
          </w:tcPr>
          <w:p w14:paraId="6C1F952C" w14:textId="03B21353" w:rsidR="00AD463B" w:rsidRPr="00AD463B" w:rsidRDefault="00AD463B" w:rsidP="00AD463B">
            <w:pPr>
              <w:jc w:val="center"/>
              <w:rPr>
                <w:rFonts w:eastAsia="Times New Roman"/>
                <w:color w:val="00B050"/>
                <w:szCs w:val="20"/>
                <w:lang w:eastAsia="fr-FR"/>
              </w:rPr>
            </w:pPr>
            <w:r w:rsidRPr="00AD463B">
              <w:rPr>
                <w:color w:val="00B050"/>
              </w:rPr>
              <w:t>4,28</w:t>
            </w:r>
          </w:p>
        </w:tc>
      </w:tr>
      <w:tr w:rsidR="00AD463B" w:rsidRPr="00323F4E" w14:paraId="10D4DBFC" w14:textId="77777777" w:rsidTr="0087255E">
        <w:trPr>
          <w:trHeight w:val="227"/>
          <w:jc w:val="center"/>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37A0FA04" w14:textId="77777777" w:rsidR="00AD463B" w:rsidRPr="00323F4E" w:rsidRDefault="00AD463B" w:rsidP="00AD463B">
            <w:pPr>
              <w:jc w:val="both"/>
              <w:rPr>
                <w:rFonts w:eastAsia="Times New Roman"/>
                <w:color w:val="931638"/>
                <w:szCs w:val="20"/>
                <w:lang w:eastAsia="fr-FR"/>
              </w:rPr>
            </w:pPr>
            <w:r w:rsidRPr="00323F4E">
              <w:rPr>
                <w:rFonts w:eastAsia="Times New Roman"/>
                <w:color w:val="931638"/>
                <w:szCs w:val="20"/>
                <w:lang w:eastAsia="fr-FR"/>
              </w:rPr>
              <w:t>Gestionnaires d’infrastructure</w:t>
            </w:r>
          </w:p>
        </w:tc>
        <w:tc>
          <w:tcPr>
            <w:tcW w:w="2693" w:type="dxa"/>
            <w:tcBorders>
              <w:top w:val="single" w:sz="8" w:space="0" w:color="auto"/>
              <w:left w:val="single" w:sz="8" w:space="0" w:color="auto"/>
              <w:bottom w:val="nil"/>
              <w:right w:val="single" w:sz="8" w:space="0" w:color="000000"/>
            </w:tcBorders>
            <w:shd w:val="clear" w:color="auto" w:fill="auto"/>
            <w:hideMark/>
          </w:tcPr>
          <w:p w14:paraId="767F6865" w14:textId="3781F47E" w:rsidR="00AD463B" w:rsidRPr="00AD463B" w:rsidRDefault="00AD463B" w:rsidP="00AD463B">
            <w:pPr>
              <w:jc w:val="center"/>
              <w:rPr>
                <w:rFonts w:eastAsia="Times New Roman"/>
                <w:color w:val="00B050"/>
                <w:szCs w:val="20"/>
                <w:lang w:eastAsia="fr-FR"/>
              </w:rPr>
            </w:pPr>
            <w:r w:rsidRPr="00AD463B">
              <w:rPr>
                <w:color w:val="00B050"/>
              </w:rPr>
              <w:t>0,00</w:t>
            </w:r>
          </w:p>
        </w:tc>
      </w:tr>
      <w:tr w:rsidR="00AD463B" w:rsidRPr="00323F4E" w14:paraId="28C2CC3A" w14:textId="77777777" w:rsidTr="0087255E">
        <w:trPr>
          <w:trHeight w:val="227"/>
          <w:jc w:val="center"/>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51081E99" w14:textId="77777777" w:rsidR="00AD463B" w:rsidRPr="00323F4E" w:rsidRDefault="00AD463B" w:rsidP="00AD463B">
            <w:pPr>
              <w:jc w:val="both"/>
              <w:rPr>
                <w:rFonts w:eastAsia="Times New Roman"/>
                <w:color w:val="931638"/>
                <w:szCs w:val="20"/>
                <w:lang w:eastAsia="fr-FR"/>
              </w:rPr>
            </w:pPr>
            <w:r w:rsidRPr="00323F4E">
              <w:rPr>
                <w:rFonts w:eastAsia="Times New Roman"/>
                <w:color w:val="931638"/>
                <w:szCs w:val="20"/>
                <w:lang w:eastAsia="fr-FR"/>
              </w:rPr>
              <w:t>Opérateurs de transport</w:t>
            </w:r>
          </w:p>
        </w:tc>
        <w:tc>
          <w:tcPr>
            <w:tcW w:w="2693" w:type="dxa"/>
            <w:tcBorders>
              <w:top w:val="single" w:sz="8" w:space="0" w:color="auto"/>
              <w:left w:val="single" w:sz="8" w:space="0" w:color="auto"/>
              <w:bottom w:val="single" w:sz="8" w:space="0" w:color="auto"/>
              <w:right w:val="single" w:sz="8" w:space="0" w:color="000000"/>
            </w:tcBorders>
            <w:shd w:val="clear" w:color="auto" w:fill="auto"/>
            <w:hideMark/>
          </w:tcPr>
          <w:p w14:paraId="484561B9" w14:textId="3CB3E60E" w:rsidR="00AD463B" w:rsidRPr="00AD463B" w:rsidRDefault="00AD463B" w:rsidP="00AD463B">
            <w:pPr>
              <w:jc w:val="center"/>
              <w:rPr>
                <w:rFonts w:eastAsia="Times New Roman"/>
                <w:color w:val="00B050"/>
                <w:szCs w:val="20"/>
                <w:lang w:eastAsia="fr-FR"/>
              </w:rPr>
            </w:pPr>
            <w:r w:rsidRPr="00AD463B">
              <w:rPr>
                <w:color w:val="00B050"/>
              </w:rPr>
              <w:t>0,00</w:t>
            </w:r>
          </w:p>
        </w:tc>
      </w:tr>
    </w:tbl>
    <w:p w14:paraId="4A44807C" w14:textId="77777777" w:rsidR="00150A72" w:rsidRPr="00150A72" w:rsidRDefault="00150A72" w:rsidP="00412C10">
      <w:pPr>
        <w:pStyle w:val="Titre3"/>
        <w:numPr>
          <w:ilvl w:val="3"/>
          <w:numId w:val="33"/>
        </w:numPr>
      </w:pPr>
      <w:bookmarkStart w:id="137" w:name="_Toc46917079"/>
      <w:bookmarkStart w:id="138" w:name="_Toc63352150"/>
      <w:r w:rsidRPr="00150A72">
        <w:t>Le bilan social et territorial</w:t>
      </w:r>
      <w:bookmarkEnd w:id="137"/>
      <w:bookmarkEnd w:id="138"/>
    </w:p>
    <w:p w14:paraId="4101F57B" w14:textId="77777777" w:rsidR="00150A72" w:rsidRPr="00150A72" w:rsidRDefault="00150A72" w:rsidP="00150A72">
      <w:pPr>
        <w:jc w:val="both"/>
        <w:rPr>
          <w:szCs w:val="20"/>
        </w:rPr>
      </w:pPr>
    </w:p>
    <w:p w14:paraId="033340C3" w14:textId="3C0583B0" w:rsidR="00150A72" w:rsidRPr="00150A72" w:rsidRDefault="00150A72" w:rsidP="00150A72">
      <w:pPr>
        <w:jc w:val="both"/>
        <w:rPr>
          <w:szCs w:val="20"/>
        </w:rPr>
      </w:pPr>
      <w:r w:rsidRPr="00150A72">
        <w:rPr>
          <w:szCs w:val="20"/>
        </w:rPr>
        <w:t xml:space="preserve">Le projet a comme finalité explicite de réduire les déséquilibres sociaux et territoriaux. Il permet une meilleure accessibilité aux emplois qui est un élément majeur de la réussite des politiques d’incitation à l’emploi dans les zones urbaines sensibles, celles qui ont le plus souffert des inégalités dans la région au cours de ces dernières décennies. L’accessibilité apparaît comme un levier essentiel de la justice sociale, car elle élargit l’univers des champs d’action des personnes.  « </w:t>
      </w:r>
      <w:r w:rsidRPr="00150A72">
        <w:rPr>
          <w:i/>
          <w:szCs w:val="20"/>
        </w:rPr>
        <w:t>Les groupes moins favorisés ont des relations sociales davantage basées sur la proximité, sur le quartier et par conséquent déconnectés des centres de développement économique</w:t>
      </w:r>
      <w:r w:rsidRPr="00150A72">
        <w:rPr>
          <w:szCs w:val="20"/>
        </w:rPr>
        <w:t xml:space="preserve"> » alors que « </w:t>
      </w:r>
      <w:r w:rsidRPr="00150A72">
        <w:rPr>
          <w:i/>
          <w:szCs w:val="20"/>
        </w:rPr>
        <w:t>les groupes dominants profitent de réseaux sociaux qui ne sont pas basés sur la proximité spatiale et disposent de grilles de lecture de l’espace facilement transposables dans différents lieux</w:t>
      </w:r>
      <w:r w:rsidRPr="00150A72">
        <w:rPr>
          <w:szCs w:val="20"/>
        </w:rPr>
        <w:t> »</w:t>
      </w:r>
      <w:r w:rsidRPr="00150A72">
        <w:rPr>
          <w:szCs w:val="20"/>
          <w:vertAlign w:val="superscript"/>
        </w:rPr>
        <w:footnoteReference w:id="74"/>
      </w:r>
      <w:r w:rsidRPr="00150A72">
        <w:rPr>
          <w:szCs w:val="20"/>
        </w:rPr>
        <w:t xml:space="preserve"> . </w:t>
      </w:r>
    </w:p>
    <w:p w14:paraId="60481A7B" w14:textId="77777777" w:rsidR="00150A72" w:rsidRPr="00150A72" w:rsidRDefault="00150A72" w:rsidP="00150A72">
      <w:pPr>
        <w:widowControl w:val="0"/>
        <w:suppressAutoHyphens/>
        <w:jc w:val="both"/>
        <w:rPr>
          <w:rFonts w:eastAsia="Calibri" w:cs="Cambria"/>
          <w:szCs w:val="20"/>
          <w:lang w:eastAsia="ar-SA"/>
        </w:rPr>
      </w:pPr>
    </w:p>
    <w:p w14:paraId="492CCFE1" w14:textId="0DCDC6CE" w:rsidR="00150A72" w:rsidRPr="00150A72" w:rsidRDefault="00114ABB" w:rsidP="00150A72">
      <w:pPr>
        <w:jc w:val="both"/>
        <w:rPr>
          <w:szCs w:val="20"/>
        </w:rPr>
      </w:pPr>
      <w:r>
        <w:rPr>
          <w:szCs w:val="20"/>
        </w:rPr>
        <w:t>L</w:t>
      </w:r>
      <w:r w:rsidR="00150A72" w:rsidRPr="00150A72">
        <w:rPr>
          <w:szCs w:val="20"/>
        </w:rPr>
        <w:t xml:space="preserve">a mobilité est relativement plus importante pour les personnes de revenus les moins élevés et les chômeurs que pour les personnes aisées. Les cartes d’amélioration de l’accessibilité de la présente pièce illustrent bien l’impact positif de l’infrastructure sur ce point. L’analyse met en évidence le fait que la partie Est de l’agglomération devient nettement plus attractive et les simulations des modèles utilisés pour cette évaluation indiquent également une baisse de la tension immobilière que subit le centre de l’agglomération. Par conséquent, les ménages de revenus moyens y retrouvent du pouvoir d’achat </w:t>
      </w:r>
      <w:r>
        <w:rPr>
          <w:szCs w:val="20"/>
        </w:rPr>
        <w:t>et c</w:t>
      </w:r>
      <w:r w:rsidR="00150A72" w:rsidRPr="00150A72">
        <w:rPr>
          <w:szCs w:val="20"/>
        </w:rPr>
        <w:t xml:space="preserve">ela permet d’augmenter leur confort et donc de réduire la tendance actuelle à ce que l’on </w:t>
      </w:r>
      <w:r w:rsidR="00150A72" w:rsidRPr="00150A72">
        <w:rPr>
          <w:szCs w:val="20"/>
        </w:rPr>
        <w:lastRenderedPageBreak/>
        <w:t xml:space="preserve">appelle la centrifugation sociale, le fait de n’avoir comme choix que d’être soit logés à l’étroit, soit dans des zones d’accessibilité médiocre ou hors du cœur de l’agglomération. L’application géographique autorisée par la méthode d’évaluation et de représentation de l’utilité des destinations accessibles au sein d’un territoire (voir </w:t>
      </w:r>
      <w:r w:rsidR="00150A72" w:rsidRPr="00AB0872">
        <w:rPr>
          <w:szCs w:val="20"/>
        </w:rPr>
        <w:t>titre 5.3. précédent</w:t>
      </w:r>
      <w:r w:rsidR="00281481" w:rsidRPr="00150A72">
        <w:rPr>
          <w:szCs w:val="20"/>
        </w:rPr>
        <w:t>)</w:t>
      </w:r>
      <w:r w:rsidR="00281481">
        <w:rPr>
          <w:szCs w:val="20"/>
        </w:rPr>
        <w:t xml:space="preserve"> </w:t>
      </w:r>
      <w:r w:rsidR="00AB0872">
        <w:rPr>
          <w:szCs w:val="20"/>
        </w:rPr>
        <w:t xml:space="preserve">tel qu’il était proposé dans l’annexe II de la circulaire de mars 2004 </w:t>
      </w:r>
      <w:r w:rsidR="00150A72" w:rsidRPr="00150A72">
        <w:rPr>
          <w:szCs w:val="20"/>
        </w:rPr>
        <w:t>permet de donner une indication de la répartition territoriale des bénéfices économiques considérés dans leur ensemble</w:t>
      </w:r>
      <w:r>
        <w:rPr>
          <w:szCs w:val="20"/>
        </w:rPr>
        <w:t> :</w:t>
      </w:r>
    </w:p>
    <w:p w14:paraId="572FCA7F" w14:textId="77777777" w:rsidR="00150A72" w:rsidRPr="00150A72" w:rsidRDefault="00150A72" w:rsidP="00225D2D">
      <w:pPr>
        <w:keepNext/>
        <w:spacing w:before="600"/>
        <w:ind w:left="862" w:hanging="862"/>
        <w:jc w:val="both"/>
        <w:rPr>
          <w:rFonts w:eastAsia="Times New Roman"/>
          <w:b/>
          <w:bCs/>
          <w:color w:val="414B46"/>
          <w:sz w:val="24"/>
        </w:rPr>
      </w:pPr>
      <w:bookmarkStart w:id="139" w:name="_Toc47100965"/>
      <w:bookmarkStart w:id="140" w:name="_Toc47101430"/>
      <w:bookmarkStart w:id="141" w:name="_Toc47101654"/>
      <w:bookmarkStart w:id="142" w:name="_Toc47101896"/>
      <w:bookmarkStart w:id="143" w:name="_Toc48901518"/>
      <w:r w:rsidRPr="00150A72">
        <w:rPr>
          <w:rFonts w:eastAsia="Calibri" w:cs="Cambria"/>
          <w:b/>
          <w:bCs/>
          <w:noProof/>
          <w:color w:val="414B46"/>
          <w:sz w:val="24"/>
          <w:szCs w:val="20"/>
          <w:lang w:eastAsia="fr-FR"/>
        </w:rPr>
        <w:drawing>
          <wp:anchor distT="0" distB="0" distL="114300" distR="114300" simplePos="0" relativeHeight="251634176" behindDoc="0" locked="0" layoutInCell="1" allowOverlap="1" wp14:anchorId="191B71D1" wp14:editId="4CEA1A6B">
            <wp:simplePos x="0" y="0"/>
            <wp:positionH relativeFrom="column">
              <wp:posOffset>4973320</wp:posOffset>
            </wp:positionH>
            <wp:positionV relativeFrom="paragraph">
              <wp:posOffset>3402965</wp:posOffset>
            </wp:positionV>
            <wp:extent cx="1397000" cy="838200"/>
            <wp:effectExtent l="19050" t="19050" r="12700" b="19050"/>
            <wp:wrapNone/>
            <wp:docPr id="942" name="Image 1" descr="C:\Documents and Settings\HP_Administrator\Local Settings\Temporary Internet Files\Content.Word\29448_S1_S1_35_deltaActif_B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Documents and Settings\HP_Administrator\Local Settings\Temporary Internet Files\Content.Word\29448_S1_S1_35_deltaActif_B00.jpg"/>
                    <pic:cNvPicPr>
                      <a:picLocks noChangeAspect="1" noChangeArrowheads="1"/>
                    </pic:cNvPicPr>
                  </pic:nvPicPr>
                  <pic:blipFill>
                    <a:blip r:embed="rId57">
                      <a:extLst>
                        <a:ext uri="{28A0092B-C50C-407E-A947-70E740481C1C}">
                          <a14:useLocalDpi xmlns:a14="http://schemas.microsoft.com/office/drawing/2010/main" val="0"/>
                        </a:ext>
                      </a:extLst>
                    </a:blip>
                    <a:srcRect l="29608" t="22829" r="27437"/>
                    <a:stretch>
                      <a:fillRect/>
                    </a:stretch>
                  </pic:blipFill>
                  <pic:spPr bwMode="auto">
                    <a:xfrm>
                      <a:off x="0" y="0"/>
                      <a:ext cx="1397000" cy="83820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150A72">
        <w:rPr>
          <w:noProof/>
          <w:lang w:eastAsia="fr-FR"/>
        </w:rPr>
        <w:drawing>
          <wp:inline distT="0" distB="0" distL="0" distR="0" wp14:anchorId="4C045D40" wp14:editId="5E7A4D0B">
            <wp:extent cx="6369050" cy="4253230"/>
            <wp:effectExtent l="0" t="0" r="0" b="0"/>
            <wp:docPr id="943" name="Image 943" descr="29448_Valorisation_AnnexeII_Programme_D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9448_Valorisation_AnnexeII_Programme_D0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369050" cy="4253230"/>
                    </a:xfrm>
                    <a:prstGeom prst="rect">
                      <a:avLst/>
                    </a:prstGeom>
                    <a:noFill/>
                    <a:ln>
                      <a:noFill/>
                    </a:ln>
                  </pic:spPr>
                </pic:pic>
              </a:graphicData>
            </a:graphic>
          </wp:inline>
        </w:drawing>
      </w:r>
      <w:bookmarkEnd w:id="139"/>
      <w:bookmarkEnd w:id="140"/>
      <w:bookmarkEnd w:id="141"/>
      <w:bookmarkEnd w:id="142"/>
      <w:bookmarkEnd w:id="143"/>
    </w:p>
    <w:p w14:paraId="5F784938" w14:textId="77777777" w:rsidR="00150A72" w:rsidRPr="00150A72" w:rsidRDefault="00150A72" w:rsidP="00150A72">
      <w:pPr>
        <w:widowControl w:val="0"/>
        <w:suppressAutoHyphens/>
        <w:jc w:val="both"/>
        <w:rPr>
          <w:rFonts w:eastAsia="Calibri" w:cs="Cambria"/>
          <w:szCs w:val="20"/>
          <w:lang w:eastAsia="ar-SA"/>
        </w:rPr>
      </w:pPr>
    </w:p>
    <w:p w14:paraId="0C921C62" w14:textId="5EBE5643" w:rsidR="004243DF" w:rsidRDefault="00114ABB" w:rsidP="004243DF">
      <w:pPr>
        <w:jc w:val="both"/>
        <w:rPr>
          <w:rFonts w:eastAsia="Calibri" w:cs="Cambria"/>
          <w:szCs w:val="20"/>
          <w:lang w:eastAsia="ar-SA"/>
        </w:rPr>
      </w:pPr>
      <w:r w:rsidRPr="00150A72">
        <w:rPr>
          <w:szCs w:val="20"/>
        </w:rPr>
        <w:t>La carte ci-</w:t>
      </w:r>
      <w:r>
        <w:rPr>
          <w:szCs w:val="20"/>
        </w:rPr>
        <w:t>dessu</w:t>
      </w:r>
      <w:r w:rsidRPr="00150A72">
        <w:rPr>
          <w:szCs w:val="20"/>
        </w:rPr>
        <w:t>s, où les communes sont représentées en fonction de l’</w:t>
      </w:r>
      <w:r w:rsidRPr="00150A72">
        <w:rPr>
          <w:b/>
          <w:szCs w:val="20"/>
        </w:rPr>
        <w:t xml:space="preserve">augmentation de l’utilité économique par actif, </w:t>
      </w:r>
      <w:r w:rsidRPr="00150A72">
        <w:rPr>
          <w:szCs w:val="20"/>
        </w:rPr>
        <w:t>met bien en évidence cet effet de redistribution spatiale. Sur cette carte, les zones sont d’autant plus foncées que la variation d’utilité par actif est importante.</w:t>
      </w:r>
      <w:r w:rsidR="004243DF">
        <w:rPr>
          <w:szCs w:val="20"/>
        </w:rPr>
        <w:t xml:space="preserve"> </w:t>
      </w:r>
      <w:r w:rsidR="00150A72" w:rsidRPr="00150A72">
        <w:rPr>
          <w:rFonts w:eastAsia="Calibri" w:cs="Cambria"/>
          <w:szCs w:val="20"/>
          <w:lang w:eastAsia="ar-SA"/>
        </w:rPr>
        <w:t>On constate également que ce sont les communes dont les revenus fiscaux moyens sont les plus faibles qui, en moyenne, bénéficient le plus des avantages du projet. Les bénéfices du projet du Grand Paris calculés selon la méthode d’évaluation et de représentation de l’utilité des destinations accessibles au sein d’un territoire sont plus concentrés sur les classes de revenu les plus modestes : la majorité des gains (54%) bénéficie aux ménages de revenus inférieurs à la moyenne, alors que ceux-ci ne représentent que 46% du revenu des ménages de la région.</w:t>
      </w:r>
      <w:r w:rsidR="004243DF">
        <w:rPr>
          <w:rFonts w:eastAsia="Calibri" w:cs="Cambria"/>
          <w:szCs w:val="20"/>
          <w:lang w:eastAsia="ar-SA"/>
        </w:rPr>
        <w:t xml:space="preserve"> </w:t>
      </w:r>
      <w:r w:rsidR="00150A72" w:rsidRPr="00150A72">
        <w:rPr>
          <w:rFonts w:eastAsia="Calibri" w:cs="Cambria"/>
          <w:szCs w:val="20"/>
          <w:lang w:eastAsia="ar-SA"/>
        </w:rPr>
        <w:t xml:space="preserve">Les résultats du logiciel Pirandello montraient enfin que la réalisation du réseau automatique a un effet majeur sur le brassage social dans les communes. Ce sont les communes qui aujourd’hui sont les plus denses en populations aisées qui vont connaître la plus forte augmentation de populations modestes, et la réciproque est également vraie. </w:t>
      </w:r>
    </w:p>
    <w:p w14:paraId="47003EBA" w14:textId="6F733F1B" w:rsidR="00DA1554" w:rsidRDefault="00DA1554" w:rsidP="004243DF">
      <w:pPr>
        <w:jc w:val="both"/>
        <w:rPr>
          <w:rFonts w:eastAsia="Calibri" w:cs="Cambria"/>
          <w:szCs w:val="20"/>
          <w:lang w:eastAsia="ar-SA"/>
        </w:rPr>
      </w:pPr>
    </w:p>
    <w:p w14:paraId="3348F156" w14:textId="3797C8BA" w:rsidR="00DA1554" w:rsidRDefault="00DA1554" w:rsidP="004243DF">
      <w:pPr>
        <w:jc w:val="both"/>
        <w:rPr>
          <w:rFonts w:eastAsia="Calibri" w:cs="Cambria"/>
          <w:szCs w:val="20"/>
          <w:lang w:eastAsia="ar-SA"/>
        </w:rPr>
      </w:pPr>
    </w:p>
    <w:p w14:paraId="54FC59FE" w14:textId="1A3D26BB" w:rsidR="00DA1554" w:rsidRDefault="00DA1554" w:rsidP="004243DF">
      <w:pPr>
        <w:jc w:val="both"/>
        <w:rPr>
          <w:rFonts w:eastAsia="Calibri" w:cs="Cambria"/>
          <w:szCs w:val="20"/>
          <w:lang w:eastAsia="ar-SA"/>
        </w:rPr>
      </w:pPr>
    </w:p>
    <w:p w14:paraId="37038AB5" w14:textId="77777777" w:rsidR="00DA1554" w:rsidRDefault="00DA1554" w:rsidP="004243DF">
      <w:pPr>
        <w:jc w:val="both"/>
        <w:rPr>
          <w:rFonts w:eastAsia="Calibri" w:cs="Cambria"/>
          <w:szCs w:val="20"/>
          <w:lang w:eastAsia="ar-SA"/>
        </w:rPr>
      </w:pPr>
    </w:p>
    <w:p w14:paraId="0B80C6E8" w14:textId="77777777" w:rsidR="00150A72" w:rsidRPr="00150A72" w:rsidRDefault="00150A72" w:rsidP="00412C10">
      <w:pPr>
        <w:pStyle w:val="Titre3"/>
        <w:numPr>
          <w:ilvl w:val="3"/>
          <w:numId w:val="33"/>
        </w:numPr>
      </w:pPr>
      <w:bookmarkStart w:id="144" w:name="_Toc46917080"/>
      <w:bookmarkStart w:id="145" w:name="_Toc63352151"/>
      <w:r w:rsidRPr="00150A72">
        <w:t>Les variantes</w:t>
      </w:r>
      <w:bookmarkEnd w:id="144"/>
      <w:bookmarkEnd w:id="145"/>
    </w:p>
    <w:p w14:paraId="5AD3C8C3" w14:textId="63CF8C33" w:rsidR="00E6513A" w:rsidRPr="001618FE" w:rsidRDefault="00E6513A" w:rsidP="00225D2D">
      <w:pPr>
        <w:keepNext/>
        <w:keepLines/>
        <w:spacing w:before="200"/>
        <w:jc w:val="both"/>
        <w:rPr>
          <w:rFonts w:eastAsia="Times New Roman"/>
          <w:bCs/>
          <w:szCs w:val="20"/>
        </w:rPr>
      </w:pPr>
      <w:r w:rsidRPr="001618FE">
        <w:rPr>
          <w:rFonts w:eastAsia="Times New Roman"/>
          <w:bCs/>
          <w:szCs w:val="20"/>
        </w:rPr>
        <w:t>Dans cette partie où sont présentées différentes variantes de calcul</w:t>
      </w:r>
      <w:r w:rsidR="00AB0872" w:rsidRPr="001618FE">
        <w:rPr>
          <w:rFonts w:eastAsia="Times New Roman"/>
          <w:bCs/>
          <w:szCs w:val="20"/>
        </w:rPr>
        <w:t xml:space="preserve"> pour permettre </w:t>
      </w:r>
      <w:r w:rsidR="00DA1554" w:rsidRPr="001618FE">
        <w:rPr>
          <w:rFonts w:eastAsia="Times New Roman"/>
          <w:bCs/>
          <w:szCs w:val="20"/>
        </w:rPr>
        <w:t xml:space="preserve">de conforter </w:t>
      </w:r>
      <w:r w:rsidR="00AB0872" w:rsidRPr="001618FE">
        <w:rPr>
          <w:rFonts w:eastAsia="Times New Roman"/>
          <w:bCs/>
          <w:szCs w:val="20"/>
        </w:rPr>
        <w:t xml:space="preserve">la robustesse de </w:t>
      </w:r>
      <w:r w:rsidR="00DA1554" w:rsidRPr="001618FE">
        <w:rPr>
          <w:rFonts w:eastAsia="Times New Roman"/>
          <w:bCs/>
          <w:szCs w:val="20"/>
        </w:rPr>
        <w:t>la rentabilité du Grand Paris Express</w:t>
      </w:r>
      <w:r w:rsidRPr="001618FE">
        <w:rPr>
          <w:rFonts w:eastAsia="Times New Roman"/>
          <w:bCs/>
          <w:szCs w:val="20"/>
        </w:rPr>
        <w:t>, on présentera les calculs en base 2015</w:t>
      </w:r>
    </w:p>
    <w:p w14:paraId="4E66981B" w14:textId="77777777" w:rsidR="00C36348" w:rsidRDefault="00150A72" w:rsidP="00150A72">
      <w:pPr>
        <w:keepNext/>
        <w:keepLines/>
        <w:spacing w:before="200"/>
        <w:jc w:val="both"/>
        <w:outlineLvl w:val="3"/>
        <w:rPr>
          <w:rFonts w:eastAsia="Times New Roman"/>
          <w:bCs/>
          <w:i/>
          <w:iCs/>
          <w:color w:val="931638"/>
          <w:szCs w:val="20"/>
        </w:rPr>
      </w:pPr>
      <w:r w:rsidRPr="00150A72">
        <w:rPr>
          <w:rFonts w:eastAsia="Times New Roman"/>
          <w:bCs/>
          <w:i/>
          <w:iCs/>
          <w:color w:val="931638"/>
          <w:szCs w:val="20"/>
        </w:rPr>
        <w:t>L’incertitude sur la croissance nationale : croissance régulière à 0,5%</w:t>
      </w:r>
    </w:p>
    <w:p w14:paraId="1E41F790" w14:textId="05B662F0" w:rsidR="00DA1554" w:rsidRPr="00677AE2" w:rsidRDefault="00150A72" w:rsidP="00225D2D">
      <w:pPr>
        <w:keepNext/>
        <w:keepLines/>
        <w:spacing w:before="200"/>
        <w:jc w:val="both"/>
        <w:rPr>
          <w:rFonts w:eastAsia="Times New Roman"/>
          <w:bCs/>
          <w:i/>
          <w:iCs/>
          <w:color w:val="931638"/>
          <w:szCs w:val="20"/>
        </w:rPr>
      </w:pPr>
      <w:r w:rsidRPr="00DA1554">
        <w:rPr>
          <w:szCs w:val="20"/>
        </w:rPr>
        <w:t>Les fortes incertitudes sur la croissance de la France et des pays avancés rendent utiles une variante de l’évaluation de l’impact socio-économique dans une hypothèse de croissance faible pour les cinquante prochaines années. Même si on maintient le taux d’actualisation à 4,5% par souci de cohérence et par prudence</w:t>
      </w:r>
      <w:r w:rsidRPr="00DA1554">
        <w:rPr>
          <w:szCs w:val="20"/>
          <w:vertAlign w:val="superscript"/>
        </w:rPr>
        <w:footnoteReference w:id="75"/>
      </w:r>
      <w:r w:rsidRPr="00DA1554">
        <w:rPr>
          <w:szCs w:val="20"/>
        </w:rPr>
        <w:t>, le montant des avantages actualisés du projet</w:t>
      </w:r>
      <w:r w:rsidR="001B7B76" w:rsidRPr="00DA1554">
        <w:rPr>
          <w:szCs w:val="20"/>
        </w:rPr>
        <w:t xml:space="preserve"> avec une croissance nationale de 0,5% par an</w:t>
      </w:r>
      <w:r w:rsidRPr="00DA1554">
        <w:rPr>
          <w:szCs w:val="20"/>
        </w:rPr>
        <w:t xml:space="preserve"> peut être apprécié à </w:t>
      </w:r>
      <w:r w:rsidR="00680E13">
        <w:rPr>
          <w:szCs w:val="20"/>
        </w:rPr>
        <w:t xml:space="preserve">63,53 </w:t>
      </w:r>
      <w:r w:rsidRPr="00DA1554">
        <w:rPr>
          <w:szCs w:val="20"/>
        </w:rPr>
        <w:t xml:space="preserve">milliards d’euros avec COFP. La VAN reste ainsi positive. La rentabilité sociale du projet est donc </w:t>
      </w:r>
      <w:r w:rsidRPr="00DA1554">
        <w:rPr>
          <w:b/>
          <w:szCs w:val="20"/>
        </w:rPr>
        <w:t>diminuée, mais sans que cela remette en cause la pertinence du projet.</w:t>
      </w:r>
    </w:p>
    <w:p w14:paraId="61C4F53A" w14:textId="4EF4BEA1" w:rsidR="003F1A22" w:rsidRPr="00DA1554" w:rsidRDefault="00DA1554" w:rsidP="00225D2D">
      <w:pPr>
        <w:keepNext/>
        <w:keepLines/>
        <w:spacing w:before="200"/>
        <w:jc w:val="both"/>
        <w:rPr>
          <w:rFonts w:eastAsia="Times New Roman"/>
          <w:b/>
          <w:bCs/>
          <w:iCs/>
          <w:strike/>
          <w:szCs w:val="20"/>
        </w:rPr>
      </w:pPr>
      <w:r w:rsidRPr="00DA1554">
        <w:rPr>
          <w:rFonts w:eastAsia="Times New Roman"/>
          <w:b/>
          <w:bCs/>
          <w:iCs/>
          <w:strike/>
          <w:szCs w:val="20"/>
        </w:rPr>
        <w:t xml:space="preserve"> </w:t>
      </w:r>
    </w:p>
    <w:tbl>
      <w:tblPr>
        <w:tblW w:w="6764" w:type="dxa"/>
        <w:jc w:val="center"/>
        <w:tblCellMar>
          <w:left w:w="70" w:type="dxa"/>
          <w:right w:w="70" w:type="dxa"/>
        </w:tblCellMar>
        <w:tblLook w:val="04A0" w:firstRow="1" w:lastRow="0" w:firstColumn="1" w:lastColumn="0" w:noHBand="0" w:noVBand="1"/>
      </w:tblPr>
      <w:tblGrid>
        <w:gridCol w:w="4120"/>
        <w:gridCol w:w="1379"/>
        <w:gridCol w:w="1265"/>
      </w:tblGrid>
      <w:tr w:rsidR="001B7B76" w:rsidRPr="001B7B76" w14:paraId="5DAC0380" w14:textId="77777777" w:rsidTr="001B7B76">
        <w:trPr>
          <w:trHeight w:val="330"/>
          <w:jc w:val="center"/>
        </w:trPr>
        <w:tc>
          <w:tcPr>
            <w:tcW w:w="4120" w:type="dxa"/>
            <w:tcBorders>
              <w:top w:val="nil"/>
              <w:left w:val="nil"/>
              <w:bottom w:val="nil"/>
              <w:right w:val="nil"/>
            </w:tcBorders>
            <w:shd w:val="clear" w:color="auto" w:fill="auto"/>
            <w:noWrap/>
            <w:vAlign w:val="bottom"/>
            <w:hideMark/>
          </w:tcPr>
          <w:p w14:paraId="61934B8E" w14:textId="77777777" w:rsidR="001B7B76" w:rsidRPr="0084080B" w:rsidRDefault="001B7B76" w:rsidP="0084080B">
            <w:pPr>
              <w:jc w:val="center"/>
              <w:rPr>
                <w:rFonts w:eastAsia="Times New Roman"/>
                <w:b/>
                <w:bCs/>
                <w:color w:val="000000"/>
                <w:lang w:eastAsia="fr-FR"/>
              </w:rPr>
            </w:pPr>
            <w:r w:rsidRPr="0084080B">
              <w:rPr>
                <w:rFonts w:eastAsia="Times New Roman"/>
                <w:b/>
                <w:bCs/>
                <w:color w:val="000000"/>
                <w:lang w:eastAsia="fr-FR"/>
              </w:rPr>
              <w:t>Croissance nationale à 0,5%</w:t>
            </w:r>
          </w:p>
        </w:tc>
        <w:tc>
          <w:tcPr>
            <w:tcW w:w="1379" w:type="dxa"/>
            <w:tcBorders>
              <w:top w:val="nil"/>
              <w:left w:val="nil"/>
              <w:bottom w:val="nil"/>
              <w:right w:val="nil"/>
            </w:tcBorders>
            <w:shd w:val="clear" w:color="auto" w:fill="auto"/>
            <w:noWrap/>
            <w:vAlign w:val="bottom"/>
            <w:hideMark/>
          </w:tcPr>
          <w:p w14:paraId="6AC67E8B" w14:textId="0BC72CD6" w:rsidR="001B7B76" w:rsidRPr="001B7B76" w:rsidRDefault="001B7B76" w:rsidP="001B7B76">
            <w:pPr>
              <w:rPr>
                <w:rFonts w:ascii="Calibri" w:eastAsia="Times New Roman" w:hAnsi="Calibri"/>
                <w:color w:val="000000"/>
                <w:sz w:val="22"/>
                <w:szCs w:val="22"/>
                <w:lang w:eastAsia="fr-FR"/>
              </w:rPr>
            </w:pPr>
          </w:p>
        </w:tc>
        <w:tc>
          <w:tcPr>
            <w:tcW w:w="1265" w:type="dxa"/>
            <w:tcBorders>
              <w:top w:val="nil"/>
              <w:left w:val="nil"/>
              <w:bottom w:val="nil"/>
              <w:right w:val="nil"/>
            </w:tcBorders>
            <w:shd w:val="clear" w:color="auto" w:fill="auto"/>
            <w:noWrap/>
            <w:vAlign w:val="bottom"/>
            <w:hideMark/>
          </w:tcPr>
          <w:p w14:paraId="5BF19347" w14:textId="77777777" w:rsidR="001B7B76" w:rsidRPr="001B7B76" w:rsidRDefault="001B7B76" w:rsidP="001B7B76">
            <w:pPr>
              <w:rPr>
                <w:rFonts w:ascii="Calibri" w:eastAsia="Times New Roman" w:hAnsi="Calibri"/>
                <w:color w:val="000000"/>
                <w:sz w:val="22"/>
                <w:szCs w:val="22"/>
                <w:lang w:eastAsia="fr-FR"/>
              </w:rPr>
            </w:pPr>
          </w:p>
        </w:tc>
      </w:tr>
      <w:tr w:rsidR="001B7B76" w:rsidRPr="001B7B76" w14:paraId="02C1C0FD" w14:textId="77777777" w:rsidTr="001618FE">
        <w:trPr>
          <w:trHeight w:val="227"/>
          <w:jc w:val="center"/>
        </w:trPr>
        <w:tc>
          <w:tcPr>
            <w:tcW w:w="41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B0F373E" w14:textId="0FB78BEE" w:rsidR="001B7B76" w:rsidRPr="001B7B76" w:rsidRDefault="001B7B76" w:rsidP="001618FE">
            <w:pPr>
              <w:rPr>
                <w:rFonts w:eastAsia="Times New Roman"/>
                <w:b/>
                <w:bCs/>
                <w:color w:val="931638"/>
                <w:szCs w:val="20"/>
                <w:lang w:eastAsia="fr-FR"/>
              </w:rPr>
            </w:pPr>
            <w:r w:rsidRPr="001B7B76">
              <w:rPr>
                <w:rFonts w:eastAsia="Times New Roman"/>
                <w:b/>
                <w:bCs/>
                <w:color w:val="931638"/>
                <w:szCs w:val="20"/>
                <w:lang w:eastAsia="fr-FR"/>
              </w:rPr>
              <w:t>Option basse de projet</w:t>
            </w:r>
            <w:r w:rsidR="001618FE">
              <w:rPr>
                <w:rFonts w:eastAsia="Times New Roman"/>
                <w:b/>
                <w:bCs/>
                <w:color w:val="931638"/>
                <w:szCs w:val="20"/>
                <w:lang w:eastAsia="fr-FR"/>
              </w:rPr>
              <w:t xml:space="preserve"> </w:t>
            </w:r>
            <w:r w:rsidR="001618FE" w:rsidRPr="001618FE">
              <w:rPr>
                <w:rFonts w:eastAsia="Times New Roman"/>
                <w:b/>
                <w:bCs/>
                <w:color w:val="931638"/>
                <w:szCs w:val="20"/>
                <w:lang w:eastAsia="fr-FR"/>
              </w:rPr>
              <w:t>Md€ 2015</w:t>
            </w:r>
          </w:p>
        </w:tc>
        <w:tc>
          <w:tcPr>
            <w:tcW w:w="1379" w:type="dxa"/>
            <w:tcBorders>
              <w:top w:val="single" w:sz="8" w:space="0" w:color="auto"/>
              <w:left w:val="nil"/>
              <w:bottom w:val="single" w:sz="8" w:space="0" w:color="auto"/>
              <w:right w:val="single" w:sz="8" w:space="0" w:color="auto"/>
            </w:tcBorders>
            <w:shd w:val="clear" w:color="auto" w:fill="auto"/>
            <w:vAlign w:val="center"/>
            <w:hideMark/>
          </w:tcPr>
          <w:p w14:paraId="01C71507" w14:textId="77777777" w:rsidR="001B7B76" w:rsidRPr="001B7B76" w:rsidRDefault="001B7B76" w:rsidP="001618FE">
            <w:pPr>
              <w:jc w:val="center"/>
              <w:rPr>
                <w:rFonts w:eastAsia="Times New Roman"/>
                <w:i/>
                <w:color w:val="000000"/>
                <w:szCs w:val="20"/>
                <w:lang w:eastAsia="fr-FR"/>
              </w:rPr>
            </w:pPr>
            <w:r w:rsidRPr="001B7B76">
              <w:rPr>
                <w:rFonts w:eastAsia="Times New Roman"/>
                <w:i/>
                <w:color w:val="000000"/>
                <w:szCs w:val="20"/>
                <w:lang w:eastAsia="fr-FR"/>
              </w:rPr>
              <w:t>sans COFP</w:t>
            </w:r>
          </w:p>
        </w:tc>
        <w:tc>
          <w:tcPr>
            <w:tcW w:w="1265" w:type="dxa"/>
            <w:tcBorders>
              <w:top w:val="single" w:sz="8" w:space="0" w:color="auto"/>
              <w:left w:val="nil"/>
              <w:bottom w:val="single" w:sz="8" w:space="0" w:color="auto"/>
              <w:right w:val="single" w:sz="8" w:space="0" w:color="auto"/>
            </w:tcBorders>
            <w:shd w:val="clear" w:color="auto" w:fill="auto"/>
            <w:vAlign w:val="center"/>
            <w:hideMark/>
          </w:tcPr>
          <w:p w14:paraId="4D7E564E" w14:textId="77777777" w:rsidR="001B7B76" w:rsidRPr="001B7B76" w:rsidRDefault="001B7B76" w:rsidP="001618FE">
            <w:pPr>
              <w:jc w:val="center"/>
              <w:rPr>
                <w:rFonts w:eastAsia="Times New Roman"/>
                <w:i/>
                <w:color w:val="000000"/>
                <w:szCs w:val="20"/>
                <w:lang w:eastAsia="fr-FR"/>
              </w:rPr>
            </w:pPr>
            <w:r w:rsidRPr="001B7B76">
              <w:rPr>
                <w:rFonts w:eastAsia="Times New Roman"/>
                <w:i/>
                <w:color w:val="000000"/>
                <w:szCs w:val="20"/>
                <w:lang w:eastAsia="fr-FR"/>
              </w:rPr>
              <w:t>avec COFP</w:t>
            </w:r>
          </w:p>
        </w:tc>
      </w:tr>
      <w:tr w:rsidR="00AD463B" w:rsidRPr="001B7B76" w14:paraId="63434C73"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5E155B70"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 xml:space="preserve">Avantages </w:t>
            </w:r>
          </w:p>
        </w:tc>
        <w:tc>
          <w:tcPr>
            <w:tcW w:w="2644" w:type="dxa"/>
            <w:gridSpan w:val="2"/>
            <w:tcBorders>
              <w:top w:val="single" w:sz="8" w:space="0" w:color="auto"/>
              <w:left w:val="nil"/>
              <w:bottom w:val="single" w:sz="8" w:space="0" w:color="auto"/>
              <w:right w:val="single" w:sz="8" w:space="0" w:color="000000"/>
            </w:tcBorders>
            <w:shd w:val="clear" w:color="auto" w:fill="auto"/>
            <w:hideMark/>
          </w:tcPr>
          <w:p w14:paraId="7461B400" w14:textId="19D1E1C3" w:rsidR="00AD463B" w:rsidRPr="00AD463B" w:rsidRDefault="00AD463B" w:rsidP="00AD463B">
            <w:pPr>
              <w:jc w:val="center"/>
              <w:rPr>
                <w:rFonts w:eastAsia="Times New Roman"/>
                <w:color w:val="00B050"/>
                <w:szCs w:val="20"/>
                <w:lang w:eastAsia="fr-FR"/>
              </w:rPr>
            </w:pPr>
            <w:r w:rsidRPr="00AD463B">
              <w:rPr>
                <w:color w:val="00B050"/>
              </w:rPr>
              <w:t>58,97</w:t>
            </w:r>
          </w:p>
        </w:tc>
      </w:tr>
      <w:tr w:rsidR="00AD463B" w:rsidRPr="001B7B76" w14:paraId="1997F996"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27D8B9B6"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Divers (voirie et taxes sur essence)</w:t>
            </w:r>
          </w:p>
        </w:tc>
        <w:tc>
          <w:tcPr>
            <w:tcW w:w="1379" w:type="dxa"/>
            <w:tcBorders>
              <w:top w:val="nil"/>
              <w:left w:val="nil"/>
              <w:bottom w:val="single" w:sz="8" w:space="0" w:color="auto"/>
              <w:right w:val="single" w:sz="8" w:space="0" w:color="auto"/>
            </w:tcBorders>
            <w:shd w:val="clear" w:color="auto" w:fill="auto"/>
            <w:hideMark/>
          </w:tcPr>
          <w:p w14:paraId="40593E1A" w14:textId="4DB1F286" w:rsidR="00AD463B" w:rsidRPr="00AD463B" w:rsidRDefault="00AD463B" w:rsidP="00AD463B">
            <w:pPr>
              <w:jc w:val="center"/>
              <w:rPr>
                <w:rFonts w:eastAsia="Times New Roman"/>
                <w:color w:val="00B050"/>
                <w:szCs w:val="20"/>
                <w:lang w:eastAsia="fr-FR"/>
              </w:rPr>
            </w:pPr>
            <w:r w:rsidRPr="00AD463B">
              <w:rPr>
                <w:color w:val="00B050"/>
              </w:rPr>
              <w:t>-0,11</w:t>
            </w:r>
          </w:p>
        </w:tc>
        <w:tc>
          <w:tcPr>
            <w:tcW w:w="1265" w:type="dxa"/>
            <w:tcBorders>
              <w:top w:val="nil"/>
              <w:left w:val="nil"/>
              <w:bottom w:val="single" w:sz="8" w:space="0" w:color="auto"/>
              <w:right w:val="single" w:sz="8" w:space="0" w:color="auto"/>
            </w:tcBorders>
            <w:shd w:val="clear" w:color="auto" w:fill="auto"/>
            <w:hideMark/>
          </w:tcPr>
          <w:p w14:paraId="3AB0541F" w14:textId="4878B03A" w:rsidR="00AD463B" w:rsidRPr="00AD463B" w:rsidRDefault="00AD463B" w:rsidP="00AD463B">
            <w:pPr>
              <w:jc w:val="center"/>
              <w:rPr>
                <w:rFonts w:eastAsia="Times New Roman"/>
                <w:color w:val="00B050"/>
                <w:szCs w:val="20"/>
                <w:lang w:eastAsia="fr-FR"/>
              </w:rPr>
            </w:pPr>
            <w:r w:rsidRPr="00AD463B">
              <w:rPr>
                <w:color w:val="00B050"/>
              </w:rPr>
              <w:t>-0,14</w:t>
            </w:r>
          </w:p>
        </w:tc>
      </w:tr>
      <w:tr w:rsidR="00AD463B" w:rsidRPr="001B7B76" w14:paraId="452934CE"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764EBE8A"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 xml:space="preserve">Coûts d’exploitation et d’investissement </w:t>
            </w:r>
          </w:p>
        </w:tc>
        <w:tc>
          <w:tcPr>
            <w:tcW w:w="1379" w:type="dxa"/>
            <w:tcBorders>
              <w:top w:val="nil"/>
              <w:left w:val="nil"/>
              <w:bottom w:val="single" w:sz="8" w:space="0" w:color="auto"/>
              <w:right w:val="single" w:sz="8" w:space="0" w:color="auto"/>
            </w:tcBorders>
            <w:shd w:val="clear" w:color="auto" w:fill="auto"/>
            <w:hideMark/>
          </w:tcPr>
          <w:p w14:paraId="45F0A62C" w14:textId="78502A5C" w:rsidR="00AD463B" w:rsidRPr="00AD463B" w:rsidRDefault="00AD463B" w:rsidP="00AD463B">
            <w:pPr>
              <w:jc w:val="center"/>
              <w:rPr>
                <w:rFonts w:eastAsia="Times New Roman"/>
                <w:color w:val="00B050"/>
                <w:szCs w:val="20"/>
                <w:lang w:eastAsia="fr-FR"/>
              </w:rPr>
            </w:pPr>
            <w:r w:rsidRPr="00AD463B">
              <w:rPr>
                <w:color w:val="00B050"/>
              </w:rPr>
              <w:t>-34,37</w:t>
            </w:r>
          </w:p>
        </w:tc>
        <w:tc>
          <w:tcPr>
            <w:tcW w:w="1265" w:type="dxa"/>
            <w:tcBorders>
              <w:top w:val="nil"/>
              <w:left w:val="nil"/>
              <w:bottom w:val="single" w:sz="8" w:space="0" w:color="auto"/>
              <w:right w:val="single" w:sz="8" w:space="0" w:color="auto"/>
            </w:tcBorders>
            <w:shd w:val="clear" w:color="auto" w:fill="auto"/>
            <w:hideMark/>
          </w:tcPr>
          <w:p w14:paraId="3C23D182" w14:textId="6A60C298" w:rsidR="00AD463B" w:rsidRPr="00AD463B" w:rsidRDefault="00AD463B" w:rsidP="00AD463B">
            <w:pPr>
              <w:jc w:val="center"/>
              <w:rPr>
                <w:rFonts w:eastAsia="Times New Roman"/>
                <w:color w:val="00B050"/>
                <w:szCs w:val="20"/>
                <w:lang w:eastAsia="fr-FR"/>
              </w:rPr>
            </w:pPr>
            <w:r w:rsidRPr="00AD463B">
              <w:rPr>
                <w:color w:val="00B050"/>
              </w:rPr>
              <w:t>-43,65</w:t>
            </w:r>
          </w:p>
        </w:tc>
      </w:tr>
      <w:tr w:rsidR="00AD463B" w:rsidRPr="001B7B76" w14:paraId="7E032D56"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58DB8EBD"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Valeur actualisée nette (VAN)</w:t>
            </w:r>
          </w:p>
        </w:tc>
        <w:tc>
          <w:tcPr>
            <w:tcW w:w="1379" w:type="dxa"/>
            <w:tcBorders>
              <w:top w:val="nil"/>
              <w:left w:val="nil"/>
              <w:bottom w:val="single" w:sz="8" w:space="0" w:color="auto"/>
              <w:right w:val="single" w:sz="8" w:space="0" w:color="auto"/>
            </w:tcBorders>
            <w:shd w:val="clear" w:color="auto" w:fill="auto"/>
            <w:hideMark/>
          </w:tcPr>
          <w:p w14:paraId="79FFC292" w14:textId="75CAEC97" w:rsidR="00AD463B" w:rsidRPr="00AD463B" w:rsidRDefault="00AD463B" w:rsidP="00AD463B">
            <w:pPr>
              <w:jc w:val="center"/>
              <w:rPr>
                <w:rFonts w:eastAsia="Times New Roman"/>
                <w:b/>
                <w:bCs/>
                <w:color w:val="00B050"/>
                <w:szCs w:val="20"/>
                <w:lang w:eastAsia="fr-FR"/>
              </w:rPr>
            </w:pPr>
            <w:r w:rsidRPr="00AD463B">
              <w:rPr>
                <w:color w:val="00B050"/>
              </w:rPr>
              <w:t>24,50</w:t>
            </w:r>
          </w:p>
        </w:tc>
        <w:tc>
          <w:tcPr>
            <w:tcW w:w="1265" w:type="dxa"/>
            <w:tcBorders>
              <w:top w:val="nil"/>
              <w:left w:val="nil"/>
              <w:bottom w:val="single" w:sz="8" w:space="0" w:color="auto"/>
              <w:right w:val="single" w:sz="8" w:space="0" w:color="auto"/>
            </w:tcBorders>
            <w:shd w:val="clear" w:color="auto" w:fill="auto"/>
            <w:hideMark/>
          </w:tcPr>
          <w:p w14:paraId="63D85A0A" w14:textId="201FC983" w:rsidR="00AD463B" w:rsidRPr="00AD463B" w:rsidRDefault="00AD463B" w:rsidP="00AD463B">
            <w:pPr>
              <w:jc w:val="center"/>
              <w:rPr>
                <w:rFonts w:eastAsia="Times New Roman"/>
                <w:b/>
                <w:bCs/>
                <w:color w:val="00B050"/>
                <w:szCs w:val="20"/>
                <w:lang w:eastAsia="fr-FR"/>
              </w:rPr>
            </w:pPr>
            <w:r w:rsidRPr="00AD463B">
              <w:rPr>
                <w:color w:val="00B050"/>
              </w:rPr>
              <w:t>15,19</w:t>
            </w:r>
          </w:p>
        </w:tc>
      </w:tr>
      <w:tr w:rsidR="00AD463B" w:rsidRPr="001B7B76" w14:paraId="4E97720D"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5AEF382C"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VAN / euro investi</w:t>
            </w:r>
          </w:p>
        </w:tc>
        <w:tc>
          <w:tcPr>
            <w:tcW w:w="1379" w:type="dxa"/>
            <w:tcBorders>
              <w:top w:val="nil"/>
              <w:left w:val="nil"/>
              <w:bottom w:val="single" w:sz="8" w:space="0" w:color="auto"/>
              <w:right w:val="single" w:sz="8" w:space="0" w:color="auto"/>
            </w:tcBorders>
            <w:shd w:val="clear" w:color="auto" w:fill="auto"/>
            <w:hideMark/>
          </w:tcPr>
          <w:p w14:paraId="264ADA9C" w14:textId="6E357CC3" w:rsidR="00AD463B" w:rsidRPr="00AD463B" w:rsidRDefault="00AD463B" w:rsidP="00AD463B">
            <w:pPr>
              <w:jc w:val="center"/>
              <w:rPr>
                <w:rFonts w:eastAsia="Times New Roman"/>
                <w:color w:val="00B050"/>
                <w:szCs w:val="20"/>
                <w:lang w:eastAsia="fr-FR"/>
              </w:rPr>
            </w:pPr>
            <w:r w:rsidRPr="00AD463B">
              <w:rPr>
                <w:color w:val="00B050"/>
              </w:rPr>
              <w:t>0,87</w:t>
            </w:r>
          </w:p>
        </w:tc>
        <w:tc>
          <w:tcPr>
            <w:tcW w:w="1265" w:type="dxa"/>
            <w:tcBorders>
              <w:top w:val="nil"/>
              <w:left w:val="nil"/>
              <w:bottom w:val="single" w:sz="8" w:space="0" w:color="auto"/>
              <w:right w:val="single" w:sz="8" w:space="0" w:color="auto"/>
            </w:tcBorders>
            <w:shd w:val="clear" w:color="auto" w:fill="auto"/>
            <w:hideMark/>
          </w:tcPr>
          <w:p w14:paraId="20B1585C" w14:textId="43DBE5F8" w:rsidR="00AD463B" w:rsidRPr="00AD463B" w:rsidRDefault="00AD463B" w:rsidP="00AD463B">
            <w:pPr>
              <w:jc w:val="center"/>
              <w:rPr>
                <w:rFonts w:eastAsia="Times New Roman"/>
                <w:color w:val="00B050"/>
                <w:szCs w:val="20"/>
                <w:lang w:eastAsia="fr-FR"/>
              </w:rPr>
            </w:pPr>
            <w:r w:rsidRPr="00AD463B">
              <w:rPr>
                <w:color w:val="00B050"/>
              </w:rPr>
              <w:t>0,43</w:t>
            </w:r>
          </w:p>
        </w:tc>
      </w:tr>
      <w:tr w:rsidR="00AD463B" w:rsidRPr="001B7B76" w14:paraId="5DE35073" w14:textId="77777777" w:rsidTr="0087255E">
        <w:trPr>
          <w:trHeight w:val="227"/>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22FF3225"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VAN / euro dépensé</w:t>
            </w:r>
          </w:p>
        </w:tc>
        <w:tc>
          <w:tcPr>
            <w:tcW w:w="1379" w:type="dxa"/>
            <w:tcBorders>
              <w:top w:val="nil"/>
              <w:left w:val="nil"/>
              <w:bottom w:val="single" w:sz="8" w:space="0" w:color="auto"/>
              <w:right w:val="single" w:sz="8" w:space="0" w:color="auto"/>
            </w:tcBorders>
            <w:shd w:val="clear" w:color="auto" w:fill="auto"/>
            <w:hideMark/>
          </w:tcPr>
          <w:p w14:paraId="33336B9E" w14:textId="6617C8E1" w:rsidR="00AD463B" w:rsidRPr="00AD463B" w:rsidRDefault="00AD463B" w:rsidP="00AD463B">
            <w:pPr>
              <w:jc w:val="center"/>
              <w:rPr>
                <w:rFonts w:eastAsia="Times New Roman"/>
                <w:color w:val="00B050"/>
                <w:szCs w:val="20"/>
                <w:lang w:eastAsia="fr-FR"/>
              </w:rPr>
            </w:pPr>
            <w:r w:rsidRPr="00AD463B">
              <w:rPr>
                <w:color w:val="00B050"/>
              </w:rPr>
              <w:t>0,71</w:t>
            </w:r>
          </w:p>
        </w:tc>
        <w:tc>
          <w:tcPr>
            <w:tcW w:w="1265" w:type="dxa"/>
            <w:tcBorders>
              <w:top w:val="nil"/>
              <w:left w:val="nil"/>
              <w:bottom w:val="single" w:sz="8" w:space="0" w:color="auto"/>
              <w:right w:val="single" w:sz="8" w:space="0" w:color="auto"/>
            </w:tcBorders>
            <w:shd w:val="clear" w:color="auto" w:fill="auto"/>
            <w:hideMark/>
          </w:tcPr>
          <w:p w14:paraId="56B44C63" w14:textId="5623BAB3" w:rsidR="00AD463B" w:rsidRPr="00AD463B" w:rsidRDefault="00AD463B" w:rsidP="00AD463B">
            <w:pPr>
              <w:jc w:val="center"/>
              <w:rPr>
                <w:rFonts w:eastAsia="Times New Roman"/>
                <w:color w:val="00B050"/>
                <w:szCs w:val="20"/>
                <w:lang w:eastAsia="fr-FR"/>
              </w:rPr>
            </w:pPr>
            <w:r w:rsidRPr="00AD463B">
              <w:rPr>
                <w:color w:val="00B050"/>
              </w:rPr>
              <w:t>0,35</w:t>
            </w:r>
          </w:p>
        </w:tc>
      </w:tr>
    </w:tbl>
    <w:p w14:paraId="429ECB98" w14:textId="5395113C" w:rsidR="00150A72" w:rsidRPr="00150A72" w:rsidRDefault="00150A72" w:rsidP="00150A72">
      <w:pPr>
        <w:keepNext/>
        <w:keepLines/>
        <w:spacing w:before="200"/>
        <w:jc w:val="both"/>
        <w:outlineLvl w:val="3"/>
        <w:rPr>
          <w:rFonts w:eastAsia="Times New Roman"/>
          <w:bCs/>
          <w:i/>
          <w:iCs/>
          <w:color w:val="931638"/>
          <w:szCs w:val="20"/>
        </w:rPr>
      </w:pPr>
      <w:r w:rsidRPr="00150A72">
        <w:rPr>
          <w:rFonts w:eastAsia="Times New Roman"/>
          <w:bCs/>
          <w:i/>
          <w:iCs/>
          <w:color w:val="931638"/>
          <w:szCs w:val="20"/>
        </w:rPr>
        <w:t>L’incertitude sur la croissance nationale : croissance zéro à compter de 203</w:t>
      </w:r>
      <w:r w:rsidR="00F03843">
        <w:rPr>
          <w:rFonts w:eastAsia="Times New Roman"/>
          <w:bCs/>
          <w:i/>
          <w:iCs/>
          <w:color w:val="931638"/>
          <w:szCs w:val="20"/>
        </w:rPr>
        <w:t>0</w:t>
      </w:r>
      <w:r w:rsidRPr="00150A72">
        <w:rPr>
          <w:rFonts w:eastAsia="Times New Roman"/>
          <w:bCs/>
          <w:i/>
          <w:iCs/>
          <w:color w:val="931638"/>
          <w:szCs w:val="20"/>
        </w:rPr>
        <w:t xml:space="preserve"> </w:t>
      </w:r>
    </w:p>
    <w:p w14:paraId="60F54D66" w14:textId="77777777" w:rsidR="00150A72" w:rsidRPr="00150A72" w:rsidRDefault="00150A72" w:rsidP="00225D2D">
      <w:pPr>
        <w:keepNext/>
        <w:tabs>
          <w:tab w:val="left" w:pos="0"/>
        </w:tabs>
        <w:jc w:val="both"/>
        <w:rPr>
          <w:szCs w:val="20"/>
        </w:rPr>
      </w:pPr>
    </w:p>
    <w:p w14:paraId="1B226934" w14:textId="65ED995F" w:rsidR="00150A72" w:rsidRPr="00DA1554" w:rsidRDefault="00150A72" w:rsidP="00225D2D">
      <w:pPr>
        <w:keepNext/>
        <w:tabs>
          <w:tab w:val="left" w:pos="720"/>
        </w:tabs>
        <w:jc w:val="both"/>
        <w:rPr>
          <w:b/>
          <w:szCs w:val="20"/>
        </w:rPr>
      </w:pPr>
      <w:bookmarkStart w:id="146" w:name="_Toc47100967"/>
      <w:bookmarkStart w:id="147" w:name="_Toc47101656"/>
      <w:bookmarkStart w:id="148" w:name="_Toc47101898"/>
      <w:r w:rsidRPr="00DA1554">
        <w:rPr>
          <w:szCs w:val="20"/>
        </w:rPr>
        <w:t xml:space="preserve">Dans cette variante alternative, le taux </w:t>
      </w:r>
      <w:r w:rsidR="001D2D1C" w:rsidRPr="00DA1554">
        <w:rPr>
          <w:szCs w:val="20"/>
        </w:rPr>
        <w:t>d’actualisation est</w:t>
      </w:r>
      <w:r w:rsidRPr="00DA1554">
        <w:rPr>
          <w:szCs w:val="20"/>
        </w:rPr>
        <w:t xml:space="preserve"> également maintenu à 4,5% (comme dans le cas précédent)</w:t>
      </w:r>
      <w:r w:rsidRPr="00DA1554">
        <w:rPr>
          <w:szCs w:val="20"/>
          <w:vertAlign w:val="superscript"/>
        </w:rPr>
        <w:footnoteReference w:id="76"/>
      </w:r>
      <w:r w:rsidR="001B7B76" w:rsidRPr="00DA1554">
        <w:rPr>
          <w:szCs w:val="20"/>
        </w:rPr>
        <w:t xml:space="preserve"> et la VAN reste encore </w:t>
      </w:r>
      <w:r w:rsidR="00680E13">
        <w:rPr>
          <w:szCs w:val="20"/>
        </w:rPr>
        <w:t xml:space="preserve">largement </w:t>
      </w:r>
      <w:r w:rsidR="001B7B76" w:rsidRPr="00DA1554">
        <w:rPr>
          <w:szCs w:val="20"/>
        </w:rPr>
        <w:t xml:space="preserve">positive </w:t>
      </w:r>
      <w:r w:rsidR="001D2D1C" w:rsidRPr="00DA1554">
        <w:rPr>
          <w:szCs w:val="20"/>
        </w:rPr>
        <w:t>:</w:t>
      </w:r>
      <w:bookmarkEnd w:id="146"/>
      <w:bookmarkEnd w:id="147"/>
      <w:bookmarkEnd w:id="148"/>
      <w:r w:rsidR="00DA1554" w:rsidRPr="00DA1554">
        <w:rPr>
          <w:b/>
          <w:szCs w:val="20"/>
        </w:rPr>
        <w:t xml:space="preserve"> </w:t>
      </w:r>
    </w:p>
    <w:p w14:paraId="7DCCE811" w14:textId="77777777" w:rsidR="003F1A22" w:rsidRDefault="003F1A22" w:rsidP="00225D2D">
      <w:pPr>
        <w:keepNext/>
        <w:keepLines/>
        <w:jc w:val="both"/>
        <w:rPr>
          <w:rFonts w:eastAsia="Times New Roman"/>
          <w:bCs/>
          <w:i/>
          <w:iCs/>
          <w:color w:val="931638"/>
          <w:szCs w:val="20"/>
        </w:rPr>
      </w:pPr>
    </w:p>
    <w:tbl>
      <w:tblPr>
        <w:tblW w:w="6936" w:type="dxa"/>
        <w:jc w:val="center"/>
        <w:tblCellMar>
          <w:left w:w="70" w:type="dxa"/>
          <w:right w:w="70" w:type="dxa"/>
        </w:tblCellMar>
        <w:tblLook w:val="04A0" w:firstRow="1" w:lastRow="0" w:firstColumn="1" w:lastColumn="0" w:noHBand="0" w:noVBand="1"/>
      </w:tblPr>
      <w:tblGrid>
        <w:gridCol w:w="4120"/>
        <w:gridCol w:w="1399"/>
        <w:gridCol w:w="1417"/>
      </w:tblGrid>
      <w:tr w:rsidR="001B7B76" w:rsidRPr="001B7B76" w14:paraId="39B03F0A" w14:textId="77777777" w:rsidTr="001B7B76">
        <w:trPr>
          <w:trHeight w:val="330"/>
          <w:jc w:val="center"/>
        </w:trPr>
        <w:tc>
          <w:tcPr>
            <w:tcW w:w="4120" w:type="dxa"/>
            <w:tcBorders>
              <w:top w:val="nil"/>
              <w:left w:val="nil"/>
              <w:bottom w:val="nil"/>
              <w:right w:val="nil"/>
            </w:tcBorders>
            <w:shd w:val="clear" w:color="auto" w:fill="auto"/>
            <w:noWrap/>
            <w:vAlign w:val="bottom"/>
            <w:hideMark/>
          </w:tcPr>
          <w:p w14:paraId="72DE1C75" w14:textId="2C2EFA21" w:rsidR="001B7B76" w:rsidRPr="0084080B" w:rsidRDefault="001B7B76" w:rsidP="0084080B">
            <w:pPr>
              <w:jc w:val="center"/>
              <w:rPr>
                <w:rFonts w:eastAsia="Times New Roman"/>
                <w:b/>
                <w:bCs/>
                <w:color w:val="000000"/>
                <w:lang w:eastAsia="fr-FR"/>
              </w:rPr>
            </w:pPr>
            <w:r w:rsidRPr="0084080B">
              <w:rPr>
                <w:rFonts w:eastAsia="Times New Roman"/>
                <w:b/>
                <w:bCs/>
                <w:color w:val="000000"/>
                <w:lang w:eastAsia="fr-FR"/>
              </w:rPr>
              <w:t>Croissance nationale à 0%</w:t>
            </w:r>
          </w:p>
        </w:tc>
        <w:tc>
          <w:tcPr>
            <w:tcW w:w="1399" w:type="dxa"/>
            <w:tcBorders>
              <w:top w:val="nil"/>
              <w:left w:val="nil"/>
              <w:bottom w:val="nil"/>
              <w:right w:val="nil"/>
            </w:tcBorders>
            <w:shd w:val="clear" w:color="auto" w:fill="auto"/>
            <w:noWrap/>
            <w:vAlign w:val="bottom"/>
            <w:hideMark/>
          </w:tcPr>
          <w:p w14:paraId="4DF6A4D2" w14:textId="28D4EE50" w:rsidR="001B7B76" w:rsidRPr="001B7B76" w:rsidRDefault="001B7B76" w:rsidP="001B7B76">
            <w:pPr>
              <w:rPr>
                <w:rFonts w:ascii="Calibri" w:eastAsia="Times New Roman" w:hAnsi="Calibri"/>
                <w:color w:val="000000"/>
                <w:sz w:val="22"/>
                <w:szCs w:val="22"/>
                <w:lang w:eastAsia="fr-FR"/>
              </w:rPr>
            </w:pPr>
          </w:p>
        </w:tc>
        <w:tc>
          <w:tcPr>
            <w:tcW w:w="1417" w:type="dxa"/>
            <w:tcBorders>
              <w:top w:val="nil"/>
              <w:left w:val="nil"/>
              <w:bottom w:val="nil"/>
              <w:right w:val="nil"/>
            </w:tcBorders>
            <w:shd w:val="clear" w:color="auto" w:fill="auto"/>
            <w:noWrap/>
            <w:vAlign w:val="bottom"/>
            <w:hideMark/>
          </w:tcPr>
          <w:p w14:paraId="0A1DF0EC" w14:textId="77777777" w:rsidR="001B7B76" w:rsidRPr="001B7B76" w:rsidRDefault="001B7B76" w:rsidP="001B7B76">
            <w:pPr>
              <w:rPr>
                <w:rFonts w:ascii="Calibri" w:eastAsia="Times New Roman" w:hAnsi="Calibri"/>
                <w:color w:val="000000"/>
                <w:sz w:val="22"/>
                <w:szCs w:val="22"/>
                <w:lang w:eastAsia="fr-FR"/>
              </w:rPr>
            </w:pPr>
          </w:p>
        </w:tc>
      </w:tr>
      <w:tr w:rsidR="001B7B76" w:rsidRPr="001B7B76" w14:paraId="34FDE029" w14:textId="77777777" w:rsidTr="001618FE">
        <w:trPr>
          <w:trHeight w:val="170"/>
          <w:jc w:val="center"/>
        </w:trPr>
        <w:tc>
          <w:tcPr>
            <w:tcW w:w="41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96F2A0A" w14:textId="523DD303" w:rsidR="001B7B76" w:rsidRPr="001B7B76" w:rsidRDefault="001B7B76" w:rsidP="001618FE">
            <w:pPr>
              <w:rPr>
                <w:rFonts w:eastAsia="Times New Roman"/>
                <w:b/>
                <w:bCs/>
                <w:color w:val="931638"/>
                <w:szCs w:val="20"/>
                <w:lang w:eastAsia="fr-FR"/>
              </w:rPr>
            </w:pPr>
            <w:r w:rsidRPr="001B7B76">
              <w:rPr>
                <w:rFonts w:eastAsia="Times New Roman"/>
                <w:b/>
                <w:bCs/>
                <w:color w:val="931638"/>
                <w:szCs w:val="20"/>
                <w:lang w:eastAsia="fr-FR"/>
              </w:rPr>
              <w:t>Option basse de projet</w:t>
            </w:r>
            <w:r w:rsidR="001618FE">
              <w:rPr>
                <w:rFonts w:eastAsia="Times New Roman"/>
                <w:b/>
                <w:bCs/>
                <w:color w:val="931638"/>
                <w:szCs w:val="20"/>
                <w:lang w:eastAsia="fr-FR"/>
              </w:rPr>
              <w:t xml:space="preserve"> </w:t>
            </w:r>
            <w:r w:rsidR="001618FE" w:rsidRPr="001618FE">
              <w:rPr>
                <w:rFonts w:eastAsia="Times New Roman"/>
                <w:b/>
                <w:bCs/>
                <w:color w:val="931638"/>
                <w:szCs w:val="20"/>
                <w:lang w:eastAsia="fr-FR"/>
              </w:rPr>
              <w:t>Md€ 2015</w:t>
            </w:r>
          </w:p>
        </w:tc>
        <w:tc>
          <w:tcPr>
            <w:tcW w:w="1399" w:type="dxa"/>
            <w:tcBorders>
              <w:top w:val="single" w:sz="8" w:space="0" w:color="auto"/>
              <w:left w:val="nil"/>
              <w:bottom w:val="single" w:sz="8" w:space="0" w:color="auto"/>
              <w:right w:val="single" w:sz="8" w:space="0" w:color="auto"/>
            </w:tcBorders>
            <w:shd w:val="clear" w:color="auto" w:fill="auto"/>
            <w:vAlign w:val="center"/>
            <w:hideMark/>
          </w:tcPr>
          <w:p w14:paraId="78AC9F71" w14:textId="77777777" w:rsidR="001B7B76" w:rsidRPr="001B7B76" w:rsidRDefault="001B7B76" w:rsidP="001B7B76">
            <w:pPr>
              <w:jc w:val="center"/>
              <w:rPr>
                <w:rFonts w:eastAsia="Times New Roman"/>
                <w:color w:val="000000"/>
                <w:szCs w:val="20"/>
                <w:lang w:eastAsia="fr-FR"/>
              </w:rPr>
            </w:pPr>
            <w:r w:rsidRPr="001B7B76">
              <w:rPr>
                <w:rFonts w:eastAsia="Times New Roman"/>
                <w:color w:val="000000"/>
                <w:szCs w:val="20"/>
                <w:lang w:eastAsia="fr-FR"/>
              </w:rPr>
              <w:t>sans COFP</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14:paraId="116D9BC7" w14:textId="77777777" w:rsidR="001B7B76" w:rsidRPr="001B7B76" w:rsidRDefault="001B7B76" w:rsidP="001B7B76">
            <w:pPr>
              <w:jc w:val="center"/>
              <w:rPr>
                <w:rFonts w:eastAsia="Times New Roman"/>
                <w:color w:val="000000"/>
                <w:szCs w:val="20"/>
                <w:lang w:eastAsia="fr-FR"/>
              </w:rPr>
            </w:pPr>
            <w:r w:rsidRPr="001B7B76">
              <w:rPr>
                <w:rFonts w:eastAsia="Times New Roman"/>
                <w:color w:val="000000"/>
                <w:szCs w:val="20"/>
                <w:lang w:eastAsia="fr-FR"/>
              </w:rPr>
              <w:t>avec COFP</w:t>
            </w:r>
          </w:p>
        </w:tc>
      </w:tr>
      <w:tr w:rsidR="00AD463B" w:rsidRPr="001B7B76" w14:paraId="3D0AEA45" w14:textId="77777777" w:rsidTr="0087255E">
        <w:trPr>
          <w:trHeight w:val="170"/>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0A8D4796"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 xml:space="preserve">Avantages </w:t>
            </w:r>
          </w:p>
        </w:tc>
        <w:tc>
          <w:tcPr>
            <w:tcW w:w="2816" w:type="dxa"/>
            <w:gridSpan w:val="2"/>
            <w:tcBorders>
              <w:top w:val="single" w:sz="8" w:space="0" w:color="auto"/>
              <w:left w:val="nil"/>
              <w:bottom w:val="single" w:sz="8" w:space="0" w:color="auto"/>
              <w:right w:val="single" w:sz="8" w:space="0" w:color="000000"/>
            </w:tcBorders>
            <w:shd w:val="clear" w:color="auto" w:fill="auto"/>
            <w:hideMark/>
          </w:tcPr>
          <w:p w14:paraId="68FFEBEE" w14:textId="1411050A" w:rsidR="00AD463B" w:rsidRPr="00AD463B" w:rsidRDefault="00AD463B" w:rsidP="00AD463B">
            <w:pPr>
              <w:jc w:val="center"/>
              <w:rPr>
                <w:rFonts w:eastAsia="Times New Roman"/>
                <w:color w:val="00B050"/>
                <w:szCs w:val="20"/>
                <w:lang w:eastAsia="fr-FR"/>
              </w:rPr>
            </w:pPr>
            <w:r w:rsidRPr="00AD463B">
              <w:rPr>
                <w:color w:val="00B050"/>
              </w:rPr>
              <w:t>54,73</w:t>
            </w:r>
          </w:p>
        </w:tc>
      </w:tr>
      <w:tr w:rsidR="00AD463B" w:rsidRPr="001B7B76" w14:paraId="083A18F5" w14:textId="77777777" w:rsidTr="0087255E">
        <w:trPr>
          <w:trHeight w:val="170"/>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66CA269D"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Divers (voirie et taxes sur essence)</w:t>
            </w:r>
          </w:p>
        </w:tc>
        <w:tc>
          <w:tcPr>
            <w:tcW w:w="1399" w:type="dxa"/>
            <w:tcBorders>
              <w:top w:val="nil"/>
              <w:left w:val="nil"/>
              <w:bottom w:val="single" w:sz="8" w:space="0" w:color="auto"/>
              <w:right w:val="single" w:sz="8" w:space="0" w:color="auto"/>
            </w:tcBorders>
            <w:shd w:val="clear" w:color="auto" w:fill="auto"/>
            <w:hideMark/>
          </w:tcPr>
          <w:p w14:paraId="74385529" w14:textId="1A631A9E" w:rsidR="00AD463B" w:rsidRPr="00AD463B" w:rsidRDefault="00AD463B" w:rsidP="00AD463B">
            <w:pPr>
              <w:jc w:val="center"/>
              <w:rPr>
                <w:rFonts w:eastAsia="Times New Roman"/>
                <w:color w:val="00B050"/>
                <w:szCs w:val="20"/>
                <w:lang w:eastAsia="fr-FR"/>
              </w:rPr>
            </w:pPr>
            <w:r w:rsidRPr="00AD463B">
              <w:rPr>
                <w:color w:val="00B050"/>
              </w:rPr>
              <w:t>-0,13</w:t>
            </w:r>
          </w:p>
        </w:tc>
        <w:tc>
          <w:tcPr>
            <w:tcW w:w="1417" w:type="dxa"/>
            <w:tcBorders>
              <w:top w:val="nil"/>
              <w:left w:val="nil"/>
              <w:bottom w:val="single" w:sz="8" w:space="0" w:color="auto"/>
              <w:right w:val="single" w:sz="8" w:space="0" w:color="auto"/>
            </w:tcBorders>
            <w:shd w:val="clear" w:color="auto" w:fill="auto"/>
            <w:hideMark/>
          </w:tcPr>
          <w:p w14:paraId="3027F6F6" w14:textId="29BCFDF9" w:rsidR="00AD463B" w:rsidRPr="00AD463B" w:rsidRDefault="00AD463B" w:rsidP="00AD463B">
            <w:pPr>
              <w:jc w:val="center"/>
              <w:rPr>
                <w:rFonts w:eastAsia="Times New Roman"/>
                <w:color w:val="00B050"/>
                <w:szCs w:val="20"/>
                <w:lang w:eastAsia="fr-FR"/>
              </w:rPr>
            </w:pPr>
            <w:r w:rsidRPr="00AD463B">
              <w:rPr>
                <w:color w:val="00B050"/>
              </w:rPr>
              <w:t>-0,16</w:t>
            </w:r>
          </w:p>
        </w:tc>
      </w:tr>
      <w:tr w:rsidR="00AD463B" w:rsidRPr="001B7B76" w14:paraId="3AD2026B" w14:textId="77777777" w:rsidTr="0087255E">
        <w:trPr>
          <w:trHeight w:val="170"/>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37DC1D76"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 xml:space="preserve">Coûts d’exploitation et d’investissement </w:t>
            </w:r>
          </w:p>
        </w:tc>
        <w:tc>
          <w:tcPr>
            <w:tcW w:w="1399" w:type="dxa"/>
            <w:tcBorders>
              <w:top w:val="nil"/>
              <w:left w:val="nil"/>
              <w:bottom w:val="single" w:sz="8" w:space="0" w:color="auto"/>
              <w:right w:val="single" w:sz="8" w:space="0" w:color="auto"/>
            </w:tcBorders>
            <w:shd w:val="clear" w:color="auto" w:fill="auto"/>
            <w:hideMark/>
          </w:tcPr>
          <w:p w14:paraId="12630306" w14:textId="7D1263C7" w:rsidR="00AD463B" w:rsidRPr="00AD463B" w:rsidRDefault="00AD463B" w:rsidP="00AD463B">
            <w:pPr>
              <w:jc w:val="center"/>
              <w:rPr>
                <w:rFonts w:eastAsia="Times New Roman"/>
                <w:color w:val="00B050"/>
                <w:szCs w:val="20"/>
                <w:lang w:eastAsia="fr-FR"/>
              </w:rPr>
            </w:pPr>
            <w:r w:rsidRPr="00AD463B">
              <w:rPr>
                <w:color w:val="00B050"/>
              </w:rPr>
              <w:t>-34,37</w:t>
            </w:r>
          </w:p>
        </w:tc>
        <w:tc>
          <w:tcPr>
            <w:tcW w:w="1417" w:type="dxa"/>
            <w:tcBorders>
              <w:top w:val="nil"/>
              <w:left w:val="nil"/>
              <w:bottom w:val="single" w:sz="8" w:space="0" w:color="auto"/>
              <w:right w:val="single" w:sz="8" w:space="0" w:color="auto"/>
            </w:tcBorders>
            <w:shd w:val="clear" w:color="auto" w:fill="auto"/>
            <w:hideMark/>
          </w:tcPr>
          <w:p w14:paraId="7B77B7C5" w14:textId="79A2D065" w:rsidR="00AD463B" w:rsidRPr="00AD463B" w:rsidRDefault="00AD463B" w:rsidP="00AD463B">
            <w:pPr>
              <w:jc w:val="center"/>
              <w:rPr>
                <w:rFonts w:eastAsia="Times New Roman"/>
                <w:color w:val="00B050"/>
                <w:szCs w:val="20"/>
                <w:lang w:eastAsia="fr-FR"/>
              </w:rPr>
            </w:pPr>
            <w:r w:rsidRPr="00AD463B">
              <w:rPr>
                <w:color w:val="00B050"/>
              </w:rPr>
              <w:t>-43,65</w:t>
            </w:r>
          </w:p>
        </w:tc>
      </w:tr>
      <w:tr w:rsidR="00AD463B" w:rsidRPr="001B7B76" w14:paraId="2C5504ED" w14:textId="77777777" w:rsidTr="0087255E">
        <w:trPr>
          <w:trHeight w:val="170"/>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25B39478"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Valeur actualisée nette (VAN)</w:t>
            </w:r>
          </w:p>
        </w:tc>
        <w:tc>
          <w:tcPr>
            <w:tcW w:w="1399" w:type="dxa"/>
            <w:tcBorders>
              <w:top w:val="nil"/>
              <w:left w:val="nil"/>
              <w:bottom w:val="single" w:sz="8" w:space="0" w:color="auto"/>
              <w:right w:val="single" w:sz="8" w:space="0" w:color="auto"/>
            </w:tcBorders>
            <w:shd w:val="clear" w:color="auto" w:fill="auto"/>
            <w:hideMark/>
          </w:tcPr>
          <w:p w14:paraId="75539203" w14:textId="06A4E3D6" w:rsidR="00AD463B" w:rsidRPr="00AD463B" w:rsidRDefault="00AD463B" w:rsidP="00AD463B">
            <w:pPr>
              <w:jc w:val="center"/>
              <w:rPr>
                <w:rFonts w:eastAsia="Times New Roman"/>
                <w:b/>
                <w:bCs/>
                <w:color w:val="00B050"/>
                <w:szCs w:val="20"/>
                <w:lang w:eastAsia="fr-FR"/>
              </w:rPr>
            </w:pPr>
            <w:r w:rsidRPr="00AD463B">
              <w:rPr>
                <w:color w:val="00B050"/>
              </w:rPr>
              <w:t>20,23</w:t>
            </w:r>
          </w:p>
        </w:tc>
        <w:tc>
          <w:tcPr>
            <w:tcW w:w="1417" w:type="dxa"/>
            <w:tcBorders>
              <w:top w:val="nil"/>
              <w:left w:val="nil"/>
              <w:bottom w:val="single" w:sz="8" w:space="0" w:color="auto"/>
              <w:right w:val="single" w:sz="8" w:space="0" w:color="auto"/>
            </w:tcBorders>
            <w:shd w:val="clear" w:color="auto" w:fill="auto"/>
            <w:hideMark/>
          </w:tcPr>
          <w:p w14:paraId="221575CD" w14:textId="6E11941E" w:rsidR="00AD463B" w:rsidRPr="00AD463B" w:rsidRDefault="00AD463B" w:rsidP="00AD463B">
            <w:pPr>
              <w:jc w:val="center"/>
              <w:rPr>
                <w:rFonts w:eastAsia="Times New Roman"/>
                <w:b/>
                <w:bCs/>
                <w:color w:val="00B050"/>
                <w:szCs w:val="20"/>
                <w:lang w:eastAsia="fr-FR"/>
              </w:rPr>
            </w:pPr>
            <w:r w:rsidRPr="00AD463B">
              <w:rPr>
                <w:color w:val="00B050"/>
              </w:rPr>
              <w:t>10,92</w:t>
            </w:r>
          </w:p>
        </w:tc>
      </w:tr>
      <w:tr w:rsidR="00AD463B" w:rsidRPr="001B7B76" w14:paraId="25ECBC2A" w14:textId="77777777" w:rsidTr="0087255E">
        <w:trPr>
          <w:trHeight w:val="170"/>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54AACE90"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VAN / euro investi</w:t>
            </w:r>
          </w:p>
        </w:tc>
        <w:tc>
          <w:tcPr>
            <w:tcW w:w="1399" w:type="dxa"/>
            <w:tcBorders>
              <w:top w:val="nil"/>
              <w:left w:val="nil"/>
              <w:bottom w:val="single" w:sz="8" w:space="0" w:color="auto"/>
              <w:right w:val="single" w:sz="8" w:space="0" w:color="auto"/>
            </w:tcBorders>
            <w:shd w:val="clear" w:color="auto" w:fill="auto"/>
            <w:hideMark/>
          </w:tcPr>
          <w:p w14:paraId="37C35BAE" w14:textId="5B850C1F" w:rsidR="00AD463B" w:rsidRPr="00AD463B" w:rsidRDefault="00AD463B" w:rsidP="00AD463B">
            <w:pPr>
              <w:jc w:val="center"/>
              <w:rPr>
                <w:rFonts w:eastAsia="Times New Roman"/>
                <w:color w:val="00B050"/>
                <w:szCs w:val="20"/>
                <w:lang w:eastAsia="fr-FR"/>
              </w:rPr>
            </w:pPr>
            <w:r w:rsidRPr="00AD463B">
              <w:rPr>
                <w:color w:val="00B050"/>
              </w:rPr>
              <w:t>0,72</w:t>
            </w:r>
          </w:p>
        </w:tc>
        <w:tc>
          <w:tcPr>
            <w:tcW w:w="1417" w:type="dxa"/>
            <w:tcBorders>
              <w:top w:val="nil"/>
              <w:left w:val="nil"/>
              <w:bottom w:val="single" w:sz="8" w:space="0" w:color="auto"/>
              <w:right w:val="single" w:sz="8" w:space="0" w:color="auto"/>
            </w:tcBorders>
            <w:shd w:val="clear" w:color="auto" w:fill="auto"/>
            <w:hideMark/>
          </w:tcPr>
          <w:p w14:paraId="5CA0F53B" w14:textId="1530483F" w:rsidR="00AD463B" w:rsidRPr="00AD463B" w:rsidRDefault="00AD463B" w:rsidP="00AD463B">
            <w:pPr>
              <w:jc w:val="center"/>
              <w:rPr>
                <w:rFonts w:eastAsia="Times New Roman"/>
                <w:color w:val="00B050"/>
                <w:szCs w:val="20"/>
                <w:lang w:eastAsia="fr-FR"/>
              </w:rPr>
            </w:pPr>
            <w:r w:rsidRPr="00AD463B">
              <w:rPr>
                <w:color w:val="00B050"/>
              </w:rPr>
              <w:t>0,31</w:t>
            </w:r>
          </w:p>
        </w:tc>
      </w:tr>
      <w:tr w:rsidR="00AD463B" w:rsidRPr="001B7B76" w14:paraId="38FB108E" w14:textId="77777777" w:rsidTr="0087255E">
        <w:trPr>
          <w:trHeight w:val="170"/>
          <w:jc w:val="center"/>
        </w:trPr>
        <w:tc>
          <w:tcPr>
            <w:tcW w:w="4120" w:type="dxa"/>
            <w:tcBorders>
              <w:top w:val="nil"/>
              <w:left w:val="single" w:sz="8" w:space="0" w:color="auto"/>
              <w:bottom w:val="single" w:sz="8" w:space="0" w:color="auto"/>
              <w:right w:val="single" w:sz="8" w:space="0" w:color="auto"/>
            </w:tcBorders>
            <w:shd w:val="clear" w:color="auto" w:fill="auto"/>
            <w:vAlign w:val="center"/>
            <w:hideMark/>
          </w:tcPr>
          <w:p w14:paraId="05FB6809" w14:textId="77777777" w:rsidR="00AD463B" w:rsidRPr="001B7B76" w:rsidRDefault="00AD463B" w:rsidP="00AD463B">
            <w:pPr>
              <w:jc w:val="both"/>
              <w:rPr>
                <w:rFonts w:eastAsia="Times New Roman"/>
                <w:color w:val="931638"/>
                <w:szCs w:val="20"/>
                <w:lang w:eastAsia="fr-FR"/>
              </w:rPr>
            </w:pPr>
            <w:r w:rsidRPr="001B7B76">
              <w:rPr>
                <w:rFonts w:eastAsia="Times New Roman"/>
                <w:color w:val="931638"/>
                <w:szCs w:val="20"/>
                <w:lang w:eastAsia="fr-FR"/>
              </w:rPr>
              <w:t>VAN / euro dépensé</w:t>
            </w:r>
          </w:p>
        </w:tc>
        <w:tc>
          <w:tcPr>
            <w:tcW w:w="1399" w:type="dxa"/>
            <w:tcBorders>
              <w:top w:val="nil"/>
              <w:left w:val="nil"/>
              <w:bottom w:val="single" w:sz="8" w:space="0" w:color="auto"/>
              <w:right w:val="single" w:sz="8" w:space="0" w:color="auto"/>
            </w:tcBorders>
            <w:shd w:val="clear" w:color="auto" w:fill="auto"/>
            <w:hideMark/>
          </w:tcPr>
          <w:p w14:paraId="18D2CD68" w14:textId="3C8E31F3" w:rsidR="00AD463B" w:rsidRPr="00AD463B" w:rsidRDefault="00AD463B" w:rsidP="00AD463B">
            <w:pPr>
              <w:jc w:val="center"/>
              <w:rPr>
                <w:rFonts w:eastAsia="Times New Roman"/>
                <w:color w:val="00B050"/>
                <w:szCs w:val="20"/>
                <w:lang w:eastAsia="fr-FR"/>
              </w:rPr>
            </w:pPr>
            <w:r w:rsidRPr="00AD463B">
              <w:rPr>
                <w:color w:val="00B050"/>
              </w:rPr>
              <w:t>0,59</w:t>
            </w:r>
          </w:p>
        </w:tc>
        <w:tc>
          <w:tcPr>
            <w:tcW w:w="1417" w:type="dxa"/>
            <w:tcBorders>
              <w:top w:val="nil"/>
              <w:left w:val="nil"/>
              <w:bottom w:val="single" w:sz="8" w:space="0" w:color="auto"/>
              <w:right w:val="single" w:sz="8" w:space="0" w:color="auto"/>
            </w:tcBorders>
            <w:shd w:val="clear" w:color="auto" w:fill="auto"/>
            <w:hideMark/>
          </w:tcPr>
          <w:p w14:paraId="6A1EC1BB" w14:textId="5D992355" w:rsidR="00AD463B" w:rsidRPr="00AD463B" w:rsidRDefault="00AD463B" w:rsidP="00AD463B">
            <w:pPr>
              <w:jc w:val="center"/>
              <w:rPr>
                <w:rFonts w:eastAsia="Times New Roman"/>
                <w:color w:val="00B050"/>
                <w:szCs w:val="20"/>
                <w:lang w:eastAsia="fr-FR"/>
              </w:rPr>
            </w:pPr>
            <w:r w:rsidRPr="00AD463B">
              <w:rPr>
                <w:color w:val="00B050"/>
              </w:rPr>
              <w:t>0,25</w:t>
            </w:r>
          </w:p>
        </w:tc>
      </w:tr>
    </w:tbl>
    <w:p w14:paraId="36524136" w14:textId="6A71BA32" w:rsidR="00225D2D" w:rsidRDefault="00225D2D" w:rsidP="00225D2D">
      <w:pPr>
        <w:keepNext/>
        <w:keepLines/>
        <w:jc w:val="both"/>
        <w:rPr>
          <w:rFonts w:eastAsia="Times New Roman"/>
          <w:bCs/>
          <w:i/>
          <w:iCs/>
          <w:color w:val="931638"/>
          <w:szCs w:val="20"/>
        </w:rPr>
      </w:pPr>
    </w:p>
    <w:p w14:paraId="2801013C" w14:textId="77777777" w:rsidR="00225D2D" w:rsidRDefault="00225D2D" w:rsidP="00225D2D">
      <w:pPr>
        <w:keepNext/>
        <w:keepLines/>
        <w:jc w:val="both"/>
        <w:rPr>
          <w:rFonts w:eastAsia="Times New Roman"/>
          <w:bCs/>
          <w:i/>
          <w:iCs/>
          <w:color w:val="931638"/>
          <w:szCs w:val="20"/>
        </w:rPr>
      </w:pPr>
    </w:p>
    <w:p w14:paraId="62940417" w14:textId="2EA66396" w:rsidR="00150A72" w:rsidRPr="00150A72" w:rsidRDefault="001D2D1C" w:rsidP="00150A72">
      <w:pPr>
        <w:keepNext/>
        <w:keepLines/>
        <w:jc w:val="both"/>
        <w:outlineLvl w:val="3"/>
        <w:rPr>
          <w:rFonts w:eastAsia="Times New Roman"/>
          <w:bCs/>
          <w:i/>
          <w:iCs/>
          <w:color w:val="931638"/>
          <w:szCs w:val="20"/>
        </w:rPr>
      </w:pPr>
      <w:r w:rsidRPr="00150A72">
        <w:rPr>
          <w:rFonts w:eastAsia="Times New Roman"/>
          <w:bCs/>
          <w:i/>
          <w:iCs/>
          <w:color w:val="931638"/>
          <w:szCs w:val="20"/>
        </w:rPr>
        <w:t>L’option «</w:t>
      </w:r>
      <w:r w:rsidR="00150A72" w:rsidRPr="00150A72">
        <w:rPr>
          <w:rFonts w:eastAsia="Times New Roman"/>
          <w:bCs/>
          <w:i/>
          <w:iCs/>
          <w:color w:val="931638"/>
          <w:szCs w:val="20"/>
        </w:rPr>
        <w:t> haute »</w:t>
      </w:r>
    </w:p>
    <w:p w14:paraId="636DE223" w14:textId="77777777" w:rsidR="00150A72" w:rsidRPr="00150A72" w:rsidRDefault="00150A72" w:rsidP="00225D2D">
      <w:pPr>
        <w:keepNext/>
        <w:keepLines/>
        <w:jc w:val="both"/>
        <w:rPr>
          <w:rFonts w:eastAsia="Times New Roman"/>
          <w:bCs/>
          <w:i/>
          <w:iCs/>
          <w:color w:val="931638"/>
          <w:szCs w:val="20"/>
        </w:rPr>
      </w:pPr>
    </w:p>
    <w:p w14:paraId="09893541" w14:textId="2BFA5D76" w:rsidR="00150A72" w:rsidRPr="00150A72" w:rsidRDefault="00150A72" w:rsidP="00150A72">
      <w:pPr>
        <w:jc w:val="both"/>
        <w:rPr>
          <w:szCs w:val="20"/>
        </w:rPr>
      </w:pPr>
      <w:r w:rsidRPr="00150A72">
        <w:rPr>
          <w:szCs w:val="20"/>
        </w:rPr>
        <w:t>L’option « haute » (S2) correspond à la perspective où la croissance des emplois induits par le projet correspondrait à l’hypothèse de 31</w:t>
      </w:r>
      <w:r w:rsidR="005B5F9E">
        <w:rPr>
          <w:szCs w:val="20"/>
        </w:rPr>
        <w:t>5</w:t>
      </w:r>
      <w:r w:rsidR="00481342">
        <w:rPr>
          <w:szCs w:val="20"/>
        </w:rPr>
        <w:t> </w:t>
      </w:r>
      <w:r w:rsidR="005B5F9E">
        <w:rPr>
          <w:szCs w:val="20"/>
        </w:rPr>
        <w:t>000 créations supplémentaires</w:t>
      </w:r>
      <w:r w:rsidR="00C36348">
        <w:rPr>
          <w:szCs w:val="20"/>
        </w:rPr>
        <w:t xml:space="preserve"> par rapport à la tendance de la croissance de la région sans la réalisation du Grand Paris Express</w:t>
      </w:r>
      <w:r w:rsidRPr="00150A72">
        <w:rPr>
          <w:szCs w:val="20"/>
        </w:rPr>
        <w:t xml:space="preserve">. Cette option correspond bien à une nouvelle dynamique économique pour la région d’Île-de-France, associant l’ensemble des instruments de l’Etat, du Conseil régional et des collectivités territoriales. Les simulations effectuées illustrent l’impact élevé du projet dans la mesure où l’ensemble des conditions nécessaires seront réunies pour atteindre cette ambition, notamment en termes de capacité de créations de logements dans la région, compte tenu de leur rôle majeur sur la croissance d’une agglomération comme la métropole parisienne. </w:t>
      </w:r>
    </w:p>
    <w:p w14:paraId="6FCCBE99" w14:textId="77777777" w:rsidR="00150A72" w:rsidRPr="00150A72" w:rsidRDefault="00150A72" w:rsidP="00150A72">
      <w:pPr>
        <w:jc w:val="both"/>
        <w:rPr>
          <w:szCs w:val="20"/>
        </w:rPr>
      </w:pPr>
    </w:p>
    <w:p w14:paraId="1CB8F86F" w14:textId="4DB91C2B" w:rsidR="00150A72" w:rsidRPr="00150A72" w:rsidRDefault="00150A72" w:rsidP="00150A72">
      <w:pPr>
        <w:jc w:val="both"/>
        <w:rPr>
          <w:b/>
          <w:szCs w:val="20"/>
        </w:rPr>
      </w:pPr>
      <w:r w:rsidRPr="00150A72">
        <w:rPr>
          <w:b/>
          <w:szCs w:val="20"/>
        </w:rPr>
        <w:lastRenderedPageBreak/>
        <w:t xml:space="preserve">Il convient de souligner que </w:t>
      </w:r>
      <w:r w:rsidR="00DA1554">
        <w:rPr>
          <w:b/>
          <w:szCs w:val="20"/>
        </w:rPr>
        <w:t>les</w:t>
      </w:r>
      <w:r w:rsidRPr="00854115">
        <w:rPr>
          <w:b/>
          <w:szCs w:val="20"/>
        </w:rPr>
        <w:t xml:space="preserve"> recherches effectué</w:t>
      </w:r>
      <w:r w:rsidR="001D2D1C" w:rsidRPr="00854115">
        <w:rPr>
          <w:b/>
          <w:szCs w:val="20"/>
        </w:rPr>
        <w:t>e</w:t>
      </w:r>
      <w:r w:rsidRPr="00854115">
        <w:rPr>
          <w:b/>
          <w:szCs w:val="20"/>
        </w:rPr>
        <w:t xml:space="preserve">s ont montré la pertinence de cette partie haute de la fourchette des créations d’emplois. Dans son avis de 2017, </w:t>
      </w:r>
      <w:r w:rsidR="00DA1554">
        <w:rPr>
          <w:b/>
          <w:szCs w:val="20"/>
        </w:rPr>
        <w:t xml:space="preserve">le Conseil </w:t>
      </w:r>
      <w:r w:rsidR="00E57DCD">
        <w:rPr>
          <w:b/>
          <w:szCs w:val="20"/>
        </w:rPr>
        <w:t>scientifique</w:t>
      </w:r>
      <w:r w:rsidRPr="00854115">
        <w:rPr>
          <w:b/>
          <w:szCs w:val="20"/>
        </w:rPr>
        <w:t xml:space="preserve"> a considéré</w:t>
      </w:r>
      <w:r w:rsidRPr="00DA1554">
        <w:rPr>
          <w:b/>
          <w:szCs w:val="20"/>
        </w:rPr>
        <w:t xml:space="preserve"> </w:t>
      </w:r>
      <w:r w:rsidR="00650B25" w:rsidRPr="00DA1554">
        <w:rPr>
          <w:b/>
          <w:szCs w:val="20"/>
        </w:rPr>
        <w:t xml:space="preserve">que </w:t>
      </w:r>
      <w:r w:rsidRPr="00854115">
        <w:rPr>
          <w:b/>
          <w:szCs w:val="20"/>
        </w:rPr>
        <w:t xml:space="preserve">la création d’emplois était fortement conditionnée par la pleine réussite des mesures annoncées sur le logement et la gouvernance de l’urbanisme opérationnel et la dynamisation du système d’innovation de la région Île-de-France. </w:t>
      </w:r>
      <w:r w:rsidR="00E6513A">
        <w:rPr>
          <w:b/>
          <w:szCs w:val="20"/>
        </w:rPr>
        <w:t>Des recherches sont en cours pour vérifier le degré de plausibilité de cette hypothèse haute.</w:t>
      </w:r>
    </w:p>
    <w:p w14:paraId="7F1F6FBF" w14:textId="77777777" w:rsidR="00150A72" w:rsidRPr="00150A72" w:rsidRDefault="00150A72" w:rsidP="00225D2D">
      <w:pPr>
        <w:keepNext/>
        <w:jc w:val="both"/>
        <w:rPr>
          <w:rFonts w:eastAsia="Times New Roman"/>
          <w:b/>
          <w:bCs/>
          <w:color w:val="414B46"/>
          <w:sz w:val="24"/>
        </w:rPr>
      </w:pPr>
    </w:p>
    <w:p w14:paraId="76441198" w14:textId="0414033C" w:rsidR="00150A72" w:rsidRDefault="00150A72" w:rsidP="00150A72">
      <w:pPr>
        <w:widowControl w:val="0"/>
        <w:suppressAutoHyphens/>
        <w:jc w:val="both"/>
        <w:rPr>
          <w:rFonts w:cs="Cambria"/>
          <w:lang w:eastAsia="he-IL" w:bidi="he-IL"/>
        </w:rPr>
      </w:pPr>
      <w:r w:rsidRPr="00150A72">
        <w:rPr>
          <w:rFonts w:cs="Cambria"/>
          <w:lang w:eastAsia="he-IL" w:bidi="he-IL"/>
        </w:rPr>
        <w:t xml:space="preserve">Dans ces conditions, les résultats de rentabilité globale du projet </w:t>
      </w:r>
      <w:r w:rsidR="00E6513A">
        <w:rPr>
          <w:rFonts w:cs="Cambria"/>
          <w:lang w:eastAsia="he-IL" w:bidi="he-IL"/>
        </w:rPr>
        <w:t>sont</w:t>
      </w:r>
      <w:r w:rsidR="001D2D1C" w:rsidRPr="00150A72">
        <w:rPr>
          <w:rFonts w:cs="Cambria"/>
          <w:lang w:eastAsia="he-IL" w:bidi="he-IL"/>
        </w:rPr>
        <w:t xml:space="preserve"> les</w:t>
      </w:r>
      <w:r w:rsidRPr="00150A72">
        <w:rPr>
          <w:rFonts w:cs="Cambria"/>
          <w:lang w:eastAsia="he-IL" w:bidi="he-IL"/>
        </w:rPr>
        <w:t xml:space="preserve"> suivants :</w:t>
      </w:r>
    </w:p>
    <w:p w14:paraId="2C63E1FD" w14:textId="77777777" w:rsidR="00150A72" w:rsidRPr="00150A72" w:rsidRDefault="00150A72" w:rsidP="00150A72">
      <w:pPr>
        <w:widowControl w:val="0"/>
        <w:suppressAutoHyphens/>
        <w:jc w:val="both"/>
        <w:rPr>
          <w:rFonts w:cs="Cambria"/>
          <w:lang w:eastAsia="he-IL" w:bidi="he-IL"/>
        </w:rPr>
      </w:pPr>
    </w:p>
    <w:tbl>
      <w:tblPr>
        <w:tblW w:w="7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5"/>
        <w:gridCol w:w="1339"/>
        <w:gridCol w:w="1471"/>
      </w:tblGrid>
      <w:tr w:rsidR="00150A72" w:rsidRPr="00150A72" w14:paraId="5F2BF93E" w14:textId="77777777" w:rsidTr="00320D6E">
        <w:trPr>
          <w:trHeight w:val="20"/>
          <w:jc w:val="center"/>
        </w:trPr>
        <w:tc>
          <w:tcPr>
            <w:tcW w:w="4425" w:type="dxa"/>
          </w:tcPr>
          <w:p w14:paraId="7CB0506F" w14:textId="126CC1EF" w:rsidR="00150A72" w:rsidRPr="00150A72" w:rsidRDefault="00150A72" w:rsidP="00150A72">
            <w:pPr>
              <w:widowControl w:val="0"/>
              <w:suppressAutoHyphens/>
              <w:snapToGrid w:val="0"/>
              <w:jc w:val="both"/>
              <w:rPr>
                <w:rFonts w:eastAsia="Calibri" w:cs="Cambria"/>
                <w:b/>
                <w:szCs w:val="20"/>
                <w:lang w:eastAsia="ar-SA"/>
              </w:rPr>
            </w:pPr>
            <w:r w:rsidRPr="00150A72">
              <w:rPr>
                <w:rFonts w:cs="Calibri"/>
                <w:b/>
                <w:color w:val="943634"/>
                <w:szCs w:val="20"/>
                <w:lang w:eastAsia="fr-FR"/>
              </w:rPr>
              <w:t>Option haute de proj</w:t>
            </w:r>
            <w:r w:rsidR="00E6513A">
              <w:rPr>
                <w:rFonts w:cs="Calibri"/>
                <w:b/>
                <w:color w:val="943634"/>
                <w:szCs w:val="20"/>
                <w:lang w:eastAsia="fr-FR"/>
              </w:rPr>
              <w:t>et</w:t>
            </w:r>
            <w:r w:rsidR="001618FE">
              <w:rPr>
                <w:rFonts w:cs="Calibri"/>
                <w:b/>
                <w:color w:val="943634"/>
                <w:szCs w:val="20"/>
                <w:lang w:eastAsia="fr-FR"/>
              </w:rPr>
              <w:t xml:space="preserve"> </w:t>
            </w:r>
            <w:r w:rsidR="001618FE" w:rsidRPr="001618FE">
              <w:rPr>
                <w:rFonts w:cs="Calibri"/>
                <w:b/>
                <w:color w:val="943634"/>
                <w:szCs w:val="20"/>
                <w:lang w:eastAsia="fr-FR"/>
              </w:rPr>
              <w:t>Md€ 2015</w:t>
            </w:r>
          </w:p>
        </w:tc>
        <w:tc>
          <w:tcPr>
            <w:tcW w:w="2810" w:type="dxa"/>
            <w:gridSpan w:val="2"/>
            <w:vAlign w:val="bottom"/>
          </w:tcPr>
          <w:p w14:paraId="1D83AA60" w14:textId="2597478A" w:rsidR="00150A72" w:rsidRPr="00150A72" w:rsidRDefault="00150A72" w:rsidP="001618FE">
            <w:pPr>
              <w:jc w:val="center"/>
              <w:rPr>
                <w:rFonts w:cs="Calibri"/>
                <w:szCs w:val="20"/>
                <w:lang w:eastAsia="fr-FR"/>
              </w:rPr>
            </w:pPr>
            <w:r w:rsidRPr="00150A72">
              <w:rPr>
                <w:rFonts w:cs="Calibri"/>
                <w:szCs w:val="20"/>
                <w:lang w:eastAsia="fr-FR"/>
              </w:rPr>
              <w:t>Référence</w:t>
            </w:r>
          </w:p>
        </w:tc>
      </w:tr>
      <w:tr w:rsidR="00150A72" w:rsidRPr="00150A72" w14:paraId="7D3D7929" w14:textId="77777777" w:rsidTr="00320D6E">
        <w:trPr>
          <w:trHeight w:val="20"/>
          <w:jc w:val="center"/>
        </w:trPr>
        <w:tc>
          <w:tcPr>
            <w:tcW w:w="4425" w:type="dxa"/>
          </w:tcPr>
          <w:p w14:paraId="3505AD98" w14:textId="141169EF" w:rsidR="00150A72" w:rsidRPr="00150A72" w:rsidRDefault="00150A72" w:rsidP="00150A72">
            <w:pPr>
              <w:widowControl w:val="0"/>
              <w:suppressAutoHyphens/>
              <w:snapToGrid w:val="0"/>
              <w:jc w:val="both"/>
              <w:rPr>
                <w:rFonts w:eastAsia="Calibri" w:cs="Cambria"/>
                <w:i/>
                <w:szCs w:val="20"/>
                <w:lang w:eastAsia="ar-SA"/>
              </w:rPr>
            </w:pPr>
          </w:p>
        </w:tc>
        <w:tc>
          <w:tcPr>
            <w:tcW w:w="1339" w:type="dxa"/>
          </w:tcPr>
          <w:p w14:paraId="35E1738A" w14:textId="77777777" w:rsidR="00150A72" w:rsidRPr="00150A72" w:rsidRDefault="00150A72" w:rsidP="00150A72">
            <w:pPr>
              <w:widowControl w:val="0"/>
              <w:suppressAutoHyphens/>
              <w:snapToGrid w:val="0"/>
              <w:jc w:val="center"/>
              <w:rPr>
                <w:rFonts w:eastAsia="Calibri" w:cs="Cambria"/>
                <w:i/>
                <w:szCs w:val="20"/>
                <w:lang w:eastAsia="ar-SA"/>
              </w:rPr>
            </w:pPr>
            <w:r w:rsidRPr="00150A72">
              <w:rPr>
                <w:rFonts w:eastAsia="Calibri" w:cs="Cambria"/>
                <w:i/>
                <w:szCs w:val="20"/>
                <w:lang w:eastAsia="ar-SA"/>
              </w:rPr>
              <w:t>sans COFP</w:t>
            </w:r>
          </w:p>
        </w:tc>
        <w:tc>
          <w:tcPr>
            <w:tcW w:w="1471" w:type="dxa"/>
          </w:tcPr>
          <w:p w14:paraId="251A4E60" w14:textId="77777777" w:rsidR="00150A72" w:rsidRPr="00150A72" w:rsidRDefault="00150A72" w:rsidP="00150A72">
            <w:pPr>
              <w:widowControl w:val="0"/>
              <w:suppressAutoHyphens/>
              <w:snapToGrid w:val="0"/>
              <w:jc w:val="center"/>
              <w:rPr>
                <w:rFonts w:eastAsia="Calibri" w:cs="Cambria"/>
                <w:i/>
                <w:szCs w:val="20"/>
                <w:lang w:eastAsia="ar-SA"/>
              </w:rPr>
            </w:pPr>
            <w:r w:rsidRPr="00150A72">
              <w:rPr>
                <w:rFonts w:eastAsia="Calibri" w:cs="Cambria"/>
                <w:i/>
                <w:szCs w:val="20"/>
                <w:lang w:eastAsia="ar-SA"/>
              </w:rPr>
              <w:t>avec COFP</w:t>
            </w:r>
          </w:p>
        </w:tc>
      </w:tr>
      <w:tr w:rsidR="00AD463B" w:rsidRPr="00150A72" w14:paraId="058F0571" w14:textId="77777777" w:rsidTr="00430BE7">
        <w:trPr>
          <w:trHeight w:val="20"/>
          <w:jc w:val="center"/>
        </w:trPr>
        <w:tc>
          <w:tcPr>
            <w:tcW w:w="4425" w:type="dxa"/>
          </w:tcPr>
          <w:p w14:paraId="1A08402A" w14:textId="7B19AE18" w:rsidR="00AD463B" w:rsidRPr="00150A72" w:rsidRDefault="00AD463B" w:rsidP="00AD463B">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Avantages</w:t>
            </w:r>
          </w:p>
        </w:tc>
        <w:tc>
          <w:tcPr>
            <w:tcW w:w="2810" w:type="dxa"/>
            <w:gridSpan w:val="2"/>
          </w:tcPr>
          <w:p w14:paraId="0F1DCEB1" w14:textId="3DCE8795" w:rsidR="00AD463B" w:rsidRPr="00195CD9" w:rsidRDefault="00AD463B" w:rsidP="00AD463B">
            <w:pPr>
              <w:jc w:val="center"/>
              <w:rPr>
                <w:color w:val="00B050"/>
              </w:rPr>
            </w:pPr>
            <w:r w:rsidRPr="00195CD9">
              <w:rPr>
                <w:color w:val="00B050"/>
              </w:rPr>
              <w:t>120,18</w:t>
            </w:r>
          </w:p>
        </w:tc>
      </w:tr>
      <w:tr w:rsidR="00AD463B" w:rsidRPr="00150A72" w14:paraId="27318A14" w14:textId="77777777" w:rsidTr="00430BE7">
        <w:trPr>
          <w:trHeight w:val="20"/>
          <w:jc w:val="center"/>
        </w:trPr>
        <w:tc>
          <w:tcPr>
            <w:tcW w:w="4425" w:type="dxa"/>
          </w:tcPr>
          <w:p w14:paraId="11DE771B" w14:textId="2707611A" w:rsidR="00AD463B" w:rsidRPr="00150A72" w:rsidRDefault="00AD463B" w:rsidP="00AD463B">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Divers (voirie et taxes sur essence)</w:t>
            </w:r>
          </w:p>
        </w:tc>
        <w:tc>
          <w:tcPr>
            <w:tcW w:w="1339" w:type="dxa"/>
          </w:tcPr>
          <w:p w14:paraId="1E8C0CDE" w14:textId="6B321FFA" w:rsidR="00AD463B" w:rsidRPr="00195CD9" w:rsidRDefault="00AD463B" w:rsidP="00AD463B">
            <w:pPr>
              <w:jc w:val="center"/>
              <w:rPr>
                <w:color w:val="00B050"/>
              </w:rPr>
            </w:pPr>
            <w:r w:rsidRPr="00195CD9">
              <w:rPr>
                <w:color w:val="00B050"/>
              </w:rPr>
              <w:t>-0,10</w:t>
            </w:r>
          </w:p>
        </w:tc>
        <w:tc>
          <w:tcPr>
            <w:tcW w:w="1471" w:type="dxa"/>
          </w:tcPr>
          <w:p w14:paraId="7DD6741D" w14:textId="43B8079E" w:rsidR="00AD463B" w:rsidRPr="00195CD9" w:rsidRDefault="00AD463B" w:rsidP="00AD463B">
            <w:pPr>
              <w:jc w:val="center"/>
              <w:rPr>
                <w:color w:val="00B050"/>
              </w:rPr>
            </w:pPr>
            <w:r w:rsidRPr="00195CD9">
              <w:rPr>
                <w:color w:val="00B050"/>
              </w:rPr>
              <w:t>-0,13</w:t>
            </w:r>
          </w:p>
        </w:tc>
      </w:tr>
      <w:tr w:rsidR="00AD463B" w:rsidRPr="00150A72" w14:paraId="2B25283E" w14:textId="77777777" w:rsidTr="00430BE7">
        <w:trPr>
          <w:trHeight w:val="20"/>
          <w:jc w:val="center"/>
        </w:trPr>
        <w:tc>
          <w:tcPr>
            <w:tcW w:w="4425" w:type="dxa"/>
          </w:tcPr>
          <w:p w14:paraId="5AD068CF" w14:textId="77777777" w:rsidR="00AD463B" w:rsidRPr="00150A72" w:rsidRDefault="00AD463B" w:rsidP="00AD463B">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 xml:space="preserve">Coûts d’exploitation et d’investissement </w:t>
            </w:r>
          </w:p>
        </w:tc>
        <w:tc>
          <w:tcPr>
            <w:tcW w:w="1339" w:type="dxa"/>
          </w:tcPr>
          <w:p w14:paraId="0851C636" w14:textId="24C882F0" w:rsidR="00AD463B" w:rsidRPr="00195CD9" w:rsidRDefault="00AD463B" w:rsidP="00AD463B">
            <w:pPr>
              <w:jc w:val="center"/>
              <w:rPr>
                <w:color w:val="00B050"/>
              </w:rPr>
            </w:pPr>
            <w:r w:rsidRPr="00195CD9">
              <w:rPr>
                <w:color w:val="00B050"/>
              </w:rPr>
              <w:t>-34,61</w:t>
            </w:r>
          </w:p>
        </w:tc>
        <w:tc>
          <w:tcPr>
            <w:tcW w:w="1471" w:type="dxa"/>
          </w:tcPr>
          <w:p w14:paraId="442DC681" w14:textId="1FB9B9ED" w:rsidR="00AD463B" w:rsidRPr="00195CD9" w:rsidRDefault="00AD463B" w:rsidP="00AD463B">
            <w:pPr>
              <w:jc w:val="center"/>
              <w:rPr>
                <w:color w:val="00B050"/>
              </w:rPr>
            </w:pPr>
            <w:r w:rsidRPr="00195CD9">
              <w:rPr>
                <w:color w:val="00B050"/>
              </w:rPr>
              <w:t>-43,89</w:t>
            </w:r>
          </w:p>
        </w:tc>
      </w:tr>
      <w:tr w:rsidR="00AD463B" w:rsidRPr="00150A72" w14:paraId="156EB87B" w14:textId="77777777" w:rsidTr="00430BE7">
        <w:trPr>
          <w:trHeight w:val="20"/>
          <w:jc w:val="center"/>
        </w:trPr>
        <w:tc>
          <w:tcPr>
            <w:tcW w:w="4425" w:type="dxa"/>
          </w:tcPr>
          <w:p w14:paraId="4B85A325" w14:textId="77777777" w:rsidR="00AD463B" w:rsidRPr="00150A72" w:rsidRDefault="00AD463B" w:rsidP="00AD463B">
            <w:pPr>
              <w:widowControl w:val="0"/>
              <w:suppressAutoHyphens/>
              <w:snapToGrid w:val="0"/>
              <w:jc w:val="both"/>
              <w:rPr>
                <w:rFonts w:eastAsia="Calibri" w:cs="Cambria"/>
                <w:b/>
                <w:color w:val="931638"/>
                <w:szCs w:val="20"/>
                <w:lang w:eastAsia="ar-SA"/>
              </w:rPr>
            </w:pPr>
            <w:r w:rsidRPr="00150A72">
              <w:rPr>
                <w:rFonts w:eastAsia="Calibri" w:cs="Cambria"/>
                <w:b/>
                <w:color w:val="931638"/>
                <w:szCs w:val="20"/>
                <w:lang w:eastAsia="ar-SA"/>
              </w:rPr>
              <w:t>VAN</w:t>
            </w:r>
          </w:p>
        </w:tc>
        <w:tc>
          <w:tcPr>
            <w:tcW w:w="1339" w:type="dxa"/>
          </w:tcPr>
          <w:p w14:paraId="60D0AD5D" w14:textId="36065DB9" w:rsidR="00AD463B" w:rsidRPr="00195CD9" w:rsidRDefault="00AD463B" w:rsidP="00AD463B">
            <w:pPr>
              <w:jc w:val="center"/>
              <w:rPr>
                <w:b/>
                <w:color w:val="00B050"/>
              </w:rPr>
            </w:pPr>
            <w:r w:rsidRPr="00195CD9">
              <w:rPr>
                <w:color w:val="00B050"/>
              </w:rPr>
              <w:t>85,47</w:t>
            </w:r>
          </w:p>
        </w:tc>
        <w:tc>
          <w:tcPr>
            <w:tcW w:w="1471" w:type="dxa"/>
          </w:tcPr>
          <w:p w14:paraId="4097AA58" w14:textId="7F574940" w:rsidR="00AD463B" w:rsidRPr="00195CD9" w:rsidRDefault="00AD463B" w:rsidP="00AD463B">
            <w:pPr>
              <w:jc w:val="center"/>
              <w:rPr>
                <w:b/>
                <w:color w:val="00B050"/>
              </w:rPr>
            </w:pPr>
            <w:r w:rsidRPr="00195CD9">
              <w:rPr>
                <w:color w:val="00B050"/>
              </w:rPr>
              <w:t>76,16</w:t>
            </w:r>
          </w:p>
        </w:tc>
      </w:tr>
      <w:tr w:rsidR="00AD463B" w:rsidRPr="00150A72" w14:paraId="4F0FEEA4" w14:textId="77777777" w:rsidTr="00430BE7">
        <w:trPr>
          <w:trHeight w:val="20"/>
          <w:jc w:val="center"/>
        </w:trPr>
        <w:tc>
          <w:tcPr>
            <w:tcW w:w="4425" w:type="dxa"/>
          </w:tcPr>
          <w:p w14:paraId="53A7F73C" w14:textId="77777777" w:rsidR="00AD463B" w:rsidRPr="00150A72" w:rsidRDefault="00AD463B" w:rsidP="00AD463B">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VAN / euro investi</w:t>
            </w:r>
          </w:p>
        </w:tc>
        <w:tc>
          <w:tcPr>
            <w:tcW w:w="1339" w:type="dxa"/>
          </w:tcPr>
          <w:p w14:paraId="6DC4AD9C" w14:textId="32244921" w:rsidR="00AD463B" w:rsidRPr="00195CD9" w:rsidRDefault="00AD463B" w:rsidP="00AD463B">
            <w:pPr>
              <w:jc w:val="center"/>
              <w:rPr>
                <w:color w:val="00B050"/>
              </w:rPr>
            </w:pPr>
            <w:r w:rsidRPr="00195CD9">
              <w:rPr>
                <w:color w:val="00B050"/>
              </w:rPr>
              <w:t>3,35</w:t>
            </w:r>
          </w:p>
        </w:tc>
        <w:tc>
          <w:tcPr>
            <w:tcW w:w="1471" w:type="dxa"/>
          </w:tcPr>
          <w:p w14:paraId="2D451A55" w14:textId="2FEBF772" w:rsidR="00AD463B" w:rsidRPr="00195CD9" w:rsidRDefault="00AD463B" w:rsidP="00AD463B">
            <w:pPr>
              <w:jc w:val="center"/>
              <w:rPr>
                <w:color w:val="00B050"/>
              </w:rPr>
            </w:pPr>
            <w:r w:rsidRPr="00195CD9">
              <w:rPr>
                <w:color w:val="00B050"/>
              </w:rPr>
              <w:t>2,36</w:t>
            </w:r>
          </w:p>
        </w:tc>
      </w:tr>
      <w:tr w:rsidR="00AD463B" w:rsidRPr="00150A72" w14:paraId="5048B081" w14:textId="77777777" w:rsidTr="00430BE7">
        <w:trPr>
          <w:trHeight w:val="20"/>
          <w:jc w:val="center"/>
        </w:trPr>
        <w:tc>
          <w:tcPr>
            <w:tcW w:w="4425" w:type="dxa"/>
          </w:tcPr>
          <w:p w14:paraId="3142F986" w14:textId="77777777" w:rsidR="00AD463B" w:rsidRPr="00150A72" w:rsidRDefault="00AD463B" w:rsidP="00AD463B">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VAN/ euro dépensé</w:t>
            </w:r>
          </w:p>
        </w:tc>
        <w:tc>
          <w:tcPr>
            <w:tcW w:w="1339" w:type="dxa"/>
          </w:tcPr>
          <w:p w14:paraId="716B4B64" w14:textId="021C534D" w:rsidR="00AD463B" w:rsidRPr="00195CD9" w:rsidRDefault="00AD463B" w:rsidP="00AD463B">
            <w:pPr>
              <w:jc w:val="center"/>
              <w:rPr>
                <w:color w:val="00B050"/>
              </w:rPr>
            </w:pPr>
            <w:r w:rsidRPr="00195CD9">
              <w:rPr>
                <w:color w:val="00B050"/>
              </w:rPr>
              <w:t>2,37</w:t>
            </w:r>
          </w:p>
        </w:tc>
        <w:tc>
          <w:tcPr>
            <w:tcW w:w="1471" w:type="dxa"/>
          </w:tcPr>
          <w:p w14:paraId="3C3820A2" w14:textId="0BDFF18C" w:rsidR="00AD463B" w:rsidRPr="00195CD9" w:rsidRDefault="00AD463B" w:rsidP="00AD463B">
            <w:pPr>
              <w:jc w:val="center"/>
              <w:rPr>
                <w:color w:val="00B050"/>
              </w:rPr>
            </w:pPr>
            <w:r w:rsidRPr="00195CD9">
              <w:rPr>
                <w:color w:val="00B050"/>
              </w:rPr>
              <w:t>1,66</w:t>
            </w:r>
          </w:p>
        </w:tc>
      </w:tr>
    </w:tbl>
    <w:p w14:paraId="0FA833E9" w14:textId="77777777" w:rsidR="00150A72" w:rsidRPr="00150A72" w:rsidRDefault="00150A72" w:rsidP="00150A72">
      <w:pPr>
        <w:widowControl w:val="0"/>
        <w:suppressAutoHyphens/>
        <w:jc w:val="both"/>
        <w:rPr>
          <w:rFonts w:eastAsia="Calibri" w:cs="Cambria"/>
          <w:lang w:eastAsia="ar-SA"/>
        </w:rPr>
      </w:pPr>
    </w:p>
    <w:p w14:paraId="447223B7" w14:textId="091DF945" w:rsidR="00150A72" w:rsidRPr="00150A72" w:rsidRDefault="00150A72" w:rsidP="00150A72">
      <w:pPr>
        <w:keepNext/>
        <w:keepLines/>
        <w:spacing w:before="200"/>
        <w:jc w:val="both"/>
        <w:outlineLvl w:val="3"/>
        <w:rPr>
          <w:rFonts w:eastAsia="Times New Roman"/>
          <w:bCs/>
          <w:i/>
          <w:iCs/>
          <w:color w:val="931638"/>
          <w:szCs w:val="20"/>
        </w:rPr>
      </w:pPr>
      <w:r w:rsidRPr="00150A72">
        <w:rPr>
          <w:rFonts w:eastAsia="Times New Roman"/>
          <w:bCs/>
          <w:i/>
          <w:iCs/>
          <w:color w:val="931638"/>
          <w:szCs w:val="20"/>
        </w:rPr>
        <w:t xml:space="preserve">L’option </w:t>
      </w:r>
      <w:r w:rsidR="00E6513A">
        <w:rPr>
          <w:rFonts w:eastAsia="Times New Roman"/>
          <w:bCs/>
          <w:i/>
          <w:iCs/>
          <w:color w:val="931638"/>
          <w:szCs w:val="20"/>
        </w:rPr>
        <w:t>0</w:t>
      </w:r>
    </w:p>
    <w:p w14:paraId="69D0FA05" w14:textId="77777777" w:rsidR="00150A72" w:rsidRPr="00150A72" w:rsidRDefault="00150A72" w:rsidP="00150A72">
      <w:pPr>
        <w:jc w:val="both"/>
        <w:rPr>
          <w:szCs w:val="20"/>
        </w:rPr>
      </w:pPr>
    </w:p>
    <w:p w14:paraId="11148A28" w14:textId="75A4D40B" w:rsidR="00150A72" w:rsidRPr="00150A72" w:rsidRDefault="00150A72" w:rsidP="00150A72">
      <w:pPr>
        <w:jc w:val="both"/>
        <w:rPr>
          <w:szCs w:val="20"/>
        </w:rPr>
      </w:pPr>
      <w:r w:rsidRPr="00150A72">
        <w:rPr>
          <w:szCs w:val="20"/>
        </w:rPr>
        <w:t xml:space="preserve">L’option </w:t>
      </w:r>
      <w:r w:rsidR="00E6513A">
        <w:rPr>
          <w:szCs w:val="20"/>
        </w:rPr>
        <w:t>0</w:t>
      </w:r>
      <w:r w:rsidR="00D57D88" w:rsidRPr="00225D2D">
        <w:rPr>
          <w:szCs w:val="20"/>
        </w:rPr>
        <w:t>,</w:t>
      </w:r>
      <w:r w:rsidR="00D57D88" w:rsidRPr="00D57D88">
        <w:rPr>
          <w:color w:val="FF0000"/>
          <w:szCs w:val="20"/>
        </w:rPr>
        <w:t xml:space="preserve"> </w:t>
      </w:r>
      <w:r w:rsidR="00D57D88" w:rsidRPr="00DA1554">
        <w:rPr>
          <w:szCs w:val="20"/>
        </w:rPr>
        <w:t>qui</w:t>
      </w:r>
      <w:r w:rsidRPr="00DA1554">
        <w:rPr>
          <w:szCs w:val="20"/>
        </w:rPr>
        <w:t xml:space="preserve"> correspond </w:t>
      </w:r>
      <w:r w:rsidRPr="00150A72">
        <w:rPr>
          <w:szCs w:val="20"/>
        </w:rPr>
        <w:t xml:space="preserve">à la situation prévisible en termes de trafic et de répartition de l’emploi et de la population, dans l’hypothèse où la croissance de l’emploi correspondrait à la tendance observée dans le passé, a été examinée en variante de sensibilité. Il s’agit d’une </w:t>
      </w:r>
      <w:r w:rsidR="000E53E5" w:rsidRPr="00150A72">
        <w:rPr>
          <w:szCs w:val="20"/>
        </w:rPr>
        <w:t>option où</w:t>
      </w:r>
      <w:r w:rsidRPr="00150A72">
        <w:rPr>
          <w:szCs w:val="20"/>
        </w:rPr>
        <w:t xml:space="preserve"> la réalisation de l’infrastructure n’aurait pas d’effet sur la dynamique de l’emploi de la région d’Île-de-France. </w:t>
      </w:r>
      <w:r w:rsidR="00680E13">
        <w:rPr>
          <w:szCs w:val="20"/>
        </w:rPr>
        <w:t>On sait aujourd’hui que c</w:t>
      </w:r>
      <w:r w:rsidRPr="00150A72">
        <w:rPr>
          <w:szCs w:val="20"/>
        </w:rPr>
        <w:t xml:space="preserve">ette hypothèse </w:t>
      </w:r>
      <w:r w:rsidR="00680E13">
        <w:rPr>
          <w:szCs w:val="20"/>
        </w:rPr>
        <w:t>conservatoire</w:t>
      </w:r>
      <w:r w:rsidRPr="00150A72">
        <w:rPr>
          <w:szCs w:val="20"/>
        </w:rPr>
        <w:t xml:space="preserve"> méconnaît la réalité de l’impact de la réalisation du réseau de transport public du Grand Paris sur la dynamique des créations d’emplois de la région. Elle avait été retenue néanmoins car elle permet de décomposer, dans les bénéfices attendus, la part qui revient à la croissance additionnelle escomptée de l’emploi, part considérée dans cette option « basse » comme nulle, et celle qui vient de l’infrastructure de transport. </w:t>
      </w:r>
    </w:p>
    <w:p w14:paraId="5C04C911" w14:textId="77777777" w:rsidR="00150A72" w:rsidRPr="00150A72" w:rsidRDefault="00150A72" w:rsidP="00150A72">
      <w:pPr>
        <w:jc w:val="both"/>
        <w:rPr>
          <w:szCs w:val="20"/>
        </w:rPr>
      </w:pPr>
    </w:p>
    <w:p w14:paraId="3EA27548" w14:textId="0E614C56" w:rsidR="00150A72" w:rsidRPr="00150A72" w:rsidRDefault="00150A72" w:rsidP="00150A72">
      <w:pPr>
        <w:jc w:val="both"/>
        <w:rPr>
          <w:szCs w:val="20"/>
        </w:rPr>
      </w:pPr>
      <w:r w:rsidRPr="00150A72">
        <w:rPr>
          <w:b/>
          <w:szCs w:val="20"/>
        </w:rPr>
        <w:t>Il convient de rappeler que cette option avait été considérée déjà en 2012 comme pessimiste par le Conseil scientifique de la Société du Grand Paris, et qu’elle doit désormais être écartée dans les scénarios d’appréciation des bénéfices du projet</w:t>
      </w:r>
      <w:r w:rsidR="00680E13">
        <w:rPr>
          <w:b/>
          <w:szCs w:val="20"/>
        </w:rPr>
        <w:t>.</w:t>
      </w:r>
    </w:p>
    <w:p w14:paraId="797A1867" w14:textId="77777777" w:rsidR="00150A72" w:rsidRPr="00150A72" w:rsidRDefault="00150A72" w:rsidP="00150A72">
      <w:pPr>
        <w:jc w:val="both"/>
        <w:rPr>
          <w:szCs w:val="20"/>
        </w:rPr>
      </w:pPr>
    </w:p>
    <w:p w14:paraId="345B4ACD" w14:textId="03E5CB1E" w:rsidR="00150A72" w:rsidRPr="00150A72" w:rsidRDefault="00150A72" w:rsidP="00DA1554">
      <w:pPr>
        <w:jc w:val="both"/>
        <w:rPr>
          <w:rFonts w:cs="Cambria"/>
          <w:lang w:eastAsia="he-IL" w:bidi="he-IL"/>
        </w:rPr>
      </w:pPr>
      <w:r w:rsidRPr="00150A72">
        <w:rPr>
          <w:szCs w:val="20"/>
        </w:rPr>
        <w:t xml:space="preserve">Sous ces hypothèses, </w:t>
      </w:r>
      <w:r w:rsidRPr="00150A72">
        <w:rPr>
          <w:rFonts w:cs="Cambria"/>
          <w:lang w:eastAsia="he-IL" w:bidi="he-IL"/>
        </w:rPr>
        <w:t xml:space="preserve">les résultats de l’analyse de la rentabilité globale du projet </w:t>
      </w:r>
      <w:r w:rsidR="00DA1554">
        <w:rPr>
          <w:rFonts w:cs="Cambria"/>
          <w:lang w:eastAsia="he-IL" w:bidi="he-IL"/>
        </w:rPr>
        <w:t>sont</w:t>
      </w:r>
      <w:r w:rsidRPr="00150A72">
        <w:rPr>
          <w:rFonts w:cs="Cambria"/>
          <w:lang w:eastAsia="he-IL" w:bidi="he-IL"/>
        </w:rPr>
        <w:t xml:space="preserve"> les </w:t>
      </w:r>
      <w:r w:rsidR="00830DC0" w:rsidRPr="00150A72">
        <w:rPr>
          <w:rFonts w:cs="Cambria"/>
          <w:lang w:eastAsia="he-IL" w:bidi="he-IL"/>
        </w:rPr>
        <w:t>suivants :</w:t>
      </w:r>
    </w:p>
    <w:p w14:paraId="2D517C8E" w14:textId="77777777" w:rsidR="00150A72" w:rsidRPr="00150A72" w:rsidRDefault="00150A72" w:rsidP="00150A72">
      <w:pPr>
        <w:widowControl w:val="0"/>
        <w:suppressAutoHyphens/>
        <w:ind w:left="2836" w:firstLine="709"/>
        <w:jc w:val="both"/>
        <w:rPr>
          <w:rFonts w:eastAsia="Calibri" w:cs="Cambria"/>
          <w:color w:val="FF0000"/>
          <w:szCs w:val="20"/>
          <w:lang w:eastAsia="ar-SA"/>
        </w:rPr>
      </w:pPr>
    </w:p>
    <w:tbl>
      <w:tblPr>
        <w:tblW w:w="7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1"/>
        <w:gridCol w:w="1388"/>
        <w:gridCol w:w="1447"/>
      </w:tblGrid>
      <w:tr w:rsidR="001618FE" w:rsidRPr="00150A72" w14:paraId="70BCFE99" w14:textId="77777777" w:rsidTr="001618FE">
        <w:trPr>
          <w:trHeight w:val="170"/>
          <w:jc w:val="center"/>
        </w:trPr>
        <w:tc>
          <w:tcPr>
            <w:tcW w:w="4561" w:type="dxa"/>
          </w:tcPr>
          <w:p w14:paraId="2A242483" w14:textId="54309101" w:rsidR="001618FE" w:rsidRPr="00150A72" w:rsidRDefault="001618FE" w:rsidP="00150A72">
            <w:pPr>
              <w:widowControl w:val="0"/>
              <w:suppressAutoHyphens/>
              <w:snapToGrid w:val="0"/>
              <w:jc w:val="both"/>
              <w:rPr>
                <w:rFonts w:eastAsia="Calibri" w:cs="Cambria"/>
                <w:b/>
                <w:szCs w:val="20"/>
                <w:lang w:eastAsia="ar-SA"/>
              </w:rPr>
            </w:pPr>
            <w:r w:rsidRPr="00150A72">
              <w:rPr>
                <w:rFonts w:cs="Calibri"/>
                <w:b/>
                <w:color w:val="931638"/>
                <w:szCs w:val="20"/>
                <w:lang w:eastAsia="fr-FR"/>
              </w:rPr>
              <w:t xml:space="preserve">Option </w:t>
            </w:r>
            <w:r>
              <w:rPr>
                <w:rFonts w:cs="Calibri"/>
                <w:b/>
                <w:color w:val="931638"/>
                <w:szCs w:val="20"/>
                <w:lang w:eastAsia="fr-FR"/>
              </w:rPr>
              <w:t>0</w:t>
            </w:r>
            <w:r w:rsidRPr="00150A72">
              <w:rPr>
                <w:rFonts w:cs="Calibri"/>
                <w:b/>
                <w:color w:val="931638"/>
                <w:szCs w:val="20"/>
                <w:lang w:eastAsia="fr-FR"/>
              </w:rPr>
              <w:t xml:space="preserve"> de projet</w:t>
            </w:r>
            <w:r>
              <w:rPr>
                <w:rFonts w:cs="Calibri"/>
                <w:b/>
                <w:color w:val="931638"/>
                <w:szCs w:val="20"/>
                <w:lang w:eastAsia="fr-FR"/>
              </w:rPr>
              <w:t xml:space="preserve"> </w:t>
            </w:r>
            <w:r w:rsidRPr="001618FE">
              <w:rPr>
                <w:rFonts w:cs="Calibri"/>
                <w:b/>
                <w:color w:val="931638"/>
                <w:szCs w:val="20"/>
                <w:lang w:eastAsia="fr-FR"/>
              </w:rPr>
              <w:t>Md€ 2015</w:t>
            </w:r>
          </w:p>
        </w:tc>
        <w:tc>
          <w:tcPr>
            <w:tcW w:w="1388" w:type="dxa"/>
            <w:vAlign w:val="bottom"/>
          </w:tcPr>
          <w:p w14:paraId="649782A9" w14:textId="01570D19" w:rsidR="001618FE" w:rsidRPr="00150A72" w:rsidRDefault="001618FE" w:rsidP="00150A72">
            <w:pPr>
              <w:jc w:val="center"/>
              <w:rPr>
                <w:rFonts w:cs="Calibri"/>
                <w:szCs w:val="20"/>
                <w:lang w:eastAsia="fr-FR"/>
              </w:rPr>
            </w:pPr>
            <w:r w:rsidRPr="00150A72">
              <w:rPr>
                <w:rFonts w:eastAsia="Calibri" w:cs="Cambria"/>
                <w:i/>
                <w:szCs w:val="20"/>
                <w:lang w:eastAsia="ar-SA"/>
              </w:rPr>
              <w:t>sans COFP</w:t>
            </w:r>
          </w:p>
        </w:tc>
        <w:tc>
          <w:tcPr>
            <w:tcW w:w="1447" w:type="dxa"/>
            <w:vAlign w:val="bottom"/>
          </w:tcPr>
          <w:p w14:paraId="645D7777" w14:textId="233D30EB" w:rsidR="001618FE" w:rsidRPr="00150A72" w:rsidRDefault="001618FE" w:rsidP="00150A72">
            <w:pPr>
              <w:jc w:val="center"/>
              <w:rPr>
                <w:rFonts w:cs="Calibri"/>
                <w:szCs w:val="20"/>
                <w:lang w:eastAsia="fr-FR"/>
              </w:rPr>
            </w:pPr>
            <w:r w:rsidRPr="00150A72">
              <w:rPr>
                <w:rFonts w:eastAsia="Calibri" w:cs="Cambria"/>
                <w:i/>
                <w:szCs w:val="20"/>
                <w:lang w:eastAsia="ar-SA"/>
              </w:rPr>
              <w:t>avec COFP</w:t>
            </w:r>
          </w:p>
        </w:tc>
      </w:tr>
      <w:tr w:rsidR="00195CD9" w:rsidRPr="00150A72" w14:paraId="15B86DB5" w14:textId="77777777" w:rsidTr="00430BE7">
        <w:trPr>
          <w:trHeight w:val="170"/>
          <w:jc w:val="center"/>
        </w:trPr>
        <w:tc>
          <w:tcPr>
            <w:tcW w:w="4561" w:type="dxa"/>
          </w:tcPr>
          <w:p w14:paraId="1FD57C1C" w14:textId="77777777" w:rsidR="00195CD9" w:rsidRPr="00150A72" w:rsidRDefault="00195CD9" w:rsidP="00195CD9">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 xml:space="preserve">Avantages </w:t>
            </w:r>
          </w:p>
        </w:tc>
        <w:tc>
          <w:tcPr>
            <w:tcW w:w="2835" w:type="dxa"/>
            <w:gridSpan w:val="2"/>
          </w:tcPr>
          <w:p w14:paraId="5C070E32" w14:textId="5204FF93" w:rsidR="00195CD9" w:rsidRPr="00195CD9" w:rsidRDefault="00195CD9" w:rsidP="00195CD9">
            <w:pPr>
              <w:jc w:val="center"/>
              <w:rPr>
                <w:color w:val="00B050"/>
              </w:rPr>
            </w:pPr>
            <w:r w:rsidRPr="00195CD9">
              <w:rPr>
                <w:color w:val="00B050"/>
              </w:rPr>
              <w:t>39,07</w:t>
            </w:r>
          </w:p>
        </w:tc>
      </w:tr>
      <w:tr w:rsidR="00195CD9" w:rsidRPr="00150A72" w14:paraId="4E45270A" w14:textId="77777777" w:rsidTr="00430BE7">
        <w:trPr>
          <w:trHeight w:val="170"/>
          <w:jc w:val="center"/>
        </w:trPr>
        <w:tc>
          <w:tcPr>
            <w:tcW w:w="4561" w:type="dxa"/>
          </w:tcPr>
          <w:p w14:paraId="5F556E8D" w14:textId="77777777" w:rsidR="00195CD9" w:rsidRPr="00150A72" w:rsidRDefault="00195CD9" w:rsidP="00195CD9">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Divers (voirie et taxes sur essence)</w:t>
            </w:r>
          </w:p>
        </w:tc>
        <w:tc>
          <w:tcPr>
            <w:tcW w:w="1388" w:type="dxa"/>
          </w:tcPr>
          <w:p w14:paraId="6B7F0118" w14:textId="7E1190C4" w:rsidR="00195CD9" w:rsidRPr="00195CD9" w:rsidRDefault="00195CD9" w:rsidP="00195CD9">
            <w:pPr>
              <w:jc w:val="center"/>
              <w:rPr>
                <w:color w:val="00B050"/>
              </w:rPr>
            </w:pPr>
            <w:r w:rsidRPr="00195CD9">
              <w:rPr>
                <w:color w:val="00B050"/>
              </w:rPr>
              <w:t>-0,02</w:t>
            </w:r>
          </w:p>
        </w:tc>
        <w:tc>
          <w:tcPr>
            <w:tcW w:w="1447" w:type="dxa"/>
          </w:tcPr>
          <w:p w14:paraId="0259E8D0" w14:textId="260B6216" w:rsidR="00195CD9" w:rsidRPr="00195CD9" w:rsidRDefault="00195CD9" w:rsidP="00195CD9">
            <w:pPr>
              <w:jc w:val="center"/>
              <w:rPr>
                <w:color w:val="00B050"/>
              </w:rPr>
            </w:pPr>
            <w:r w:rsidRPr="00195CD9">
              <w:rPr>
                <w:color w:val="00B050"/>
              </w:rPr>
              <w:t>-0,03</w:t>
            </w:r>
          </w:p>
        </w:tc>
      </w:tr>
      <w:tr w:rsidR="00195CD9" w:rsidRPr="00150A72" w14:paraId="6E2F304B" w14:textId="77777777" w:rsidTr="00430BE7">
        <w:trPr>
          <w:trHeight w:val="170"/>
          <w:jc w:val="center"/>
        </w:trPr>
        <w:tc>
          <w:tcPr>
            <w:tcW w:w="4561" w:type="dxa"/>
          </w:tcPr>
          <w:p w14:paraId="4DF77C4E" w14:textId="77777777" w:rsidR="00195CD9" w:rsidRPr="00150A72" w:rsidRDefault="00195CD9" w:rsidP="00195CD9">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 xml:space="preserve">Coûts d’exploitation et d’investissement </w:t>
            </w:r>
          </w:p>
        </w:tc>
        <w:tc>
          <w:tcPr>
            <w:tcW w:w="1388" w:type="dxa"/>
          </w:tcPr>
          <w:p w14:paraId="2A68ACBB" w14:textId="35F283AC" w:rsidR="00195CD9" w:rsidRPr="00195CD9" w:rsidRDefault="00195CD9" w:rsidP="00195CD9">
            <w:pPr>
              <w:jc w:val="center"/>
              <w:rPr>
                <w:color w:val="00B050"/>
              </w:rPr>
            </w:pPr>
            <w:r w:rsidRPr="00195CD9">
              <w:rPr>
                <w:color w:val="00B050"/>
              </w:rPr>
              <w:t>-34,49</w:t>
            </w:r>
          </w:p>
        </w:tc>
        <w:tc>
          <w:tcPr>
            <w:tcW w:w="1447" w:type="dxa"/>
          </w:tcPr>
          <w:p w14:paraId="0CB74719" w14:textId="55ED493D" w:rsidR="00195CD9" w:rsidRPr="00195CD9" w:rsidRDefault="00195CD9" w:rsidP="00195CD9">
            <w:pPr>
              <w:jc w:val="center"/>
              <w:rPr>
                <w:color w:val="00B050"/>
              </w:rPr>
            </w:pPr>
            <w:r w:rsidRPr="00195CD9">
              <w:rPr>
                <w:color w:val="00B050"/>
              </w:rPr>
              <w:t>-43,77</w:t>
            </w:r>
          </w:p>
        </w:tc>
      </w:tr>
      <w:tr w:rsidR="00195CD9" w:rsidRPr="00150A72" w14:paraId="511B9B06" w14:textId="77777777" w:rsidTr="00430BE7">
        <w:trPr>
          <w:trHeight w:val="170"/>
          <w:jc w:val="center"/>
        </w:trPr>
        <w:tc>
          <w:tcPr>
            <w:tcW w:w="4561" w:type="dxa"/>
          </w:tcPr>
          <w:p w14:paraId="235C9F84" w14:textId="77777777" w:rsidR="00195CD9" w:rsidRPr="00150A72" w:rsidRDefault="00195CD9" w:rsidP="00195CD9">
            <w:pPr>
              <w:widowControl w:val="0"/>
              <w:suppressAutoHyphens/>
              <w:snapToGrid w:val="0"/>
              <w:jc w:val="both"/>
              <w:rPr>
                <w:rFonts w:eastAsia="Calibri" w:cs="Cambria"/>
                <w:b/>
                <w:color w:val="931638"/>
                <w:szCs w:val="20"/>
                <w:lang w:eastAsia="ar-SA"/>
              </w:rPr>
            </w:pPr>
            <w:r w:rsidRPr="00150A72">
              <w:rPr>
                <w:rFonts w:eastAsia="Calibri" w:cs="Cambria"/>
                <w:b/>
                <w:color w:val="931638"/>
                <w:szCs w:val="20"/>
                <w:lang w:eastAsia="ar-SA"/>
              </w:rPr>
              <w:t>VAN</w:t>
            </w:r>
          </w:p>
        </w:tc>
        <w:tc>
          <w:tcPr>
            <w:tcW w:w="1388" w:type="dxa"/>
          </w:tcPr>
          <w:p w14:paraId="33603E94" w14:textId="54AC14C1" w:rsidR="00195CD9" w:rsidRPr="00195CD9" w:rsidRDefault="00195CD9" w:rsidP="00195CD9">
            <w:pPr>
              <w:jc w:val="center"/>
              <w:rPr>
                <w:b/>
                <w:color w:val="00B050"/>
              </w:rPr>
            </w:pPr>
            <w:r w:rsidRPr="00195CD9">
              <w:rPr>
                <w:color w:val="00B050"/>
              </w:rPr>
              <w:t>4,56</w:t>
            </w:r>
          </w:p>
        </w:tc>
        <w:tc>
          <w:tcPr>
            <w:tcW w:w="1447" w:type="dxa"/>
          </w:tcPr>
          <w:p w14:paraId="0E4D9361" w14:textId="210B09D4" w:rsidR="00195CD9" w:rsidRPr="00195CD9" w:rsidRDefault="00195CD9" w:rsidP="00195CD9">
            <w:pPr>
              <w:jc w:val="center"/>
              <w:rPr>
                <w:b/>
                <w:color w:val="00B050"/>
              </w:rPr>
            </w:pPr>
            <w:r w:rsidRPr="00195CD9">
              <w:rPr>
                <w:color w:val="00B050"/>
              </w:rPr>
              <w:t>-4,73</w:t>
            </w:r>
          </w:p>
        </w:tc>
      </w:tr>
      <w:tr w:rsidR="00195CD9" w:rsidRPr="00150A72" w14:paraId="7042014B" w14:textId="77777777" w:rsidTr="00430BE7">
        <w:trPr>
          <w:trHeight w:val="170"/>
          <w:jc w:val="center"/>
        </w:trPr>
        <w:tc>
          <w:tcPr>
            <w:tcW w:w="4561" w:type="dxa"/>
          </w:tcPr>
          <w:p w14:paraId="2B170428" w14:textId="77777777" w:rsidR="00195CD9" w:rsidRPr="00150A72" w:rsidRDefault="00195CD9" w:rsidP="00195CD9">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VAN / euro investi</w:t>
            </w:r>
          </w:p>
        </w:tc>
        <w:tc>
          <w:tcPr>
            <w:tcW w:w="1388" w:type="dxa"/>
          </w:tcPr>
          <w:p w14:paraId="2D07373E" w14:textId="65407B98" w:rsidR="00195CD9" w:rsidRPr="00195CD9" w:rsidRDefault="00195CD9" w:rsidP="00195CD9">
            <w:pPr>
              <w:jc w:val="center"/>
              <w:rPr>
                <w:color w:val="00B050"/>
              </w:rPr>
            </w:pPr>
            <w:r w:rsidRPr="00195CD9">
              <w:rPr>
                <w:color w:val="00B050"/>
              </w:rPr>
              <w:t>0,18</w:t>
            </w:r>
          </w:p>
        </w:tc>
        <w:tc>
          <w:tcPr>
            <w:tcW w:w="1447" w:type="dxa"/>
          </w:tcPr>
          <w:p w14:paraId="08DF0EA8" w14:textId="2460F291" w:rsidR="00195CD9" w:rsidRPr="00195CD9" w:rsidRDefault="00195CD9" w:rsidP="00195CD9">
            <w:pPr>
              <w:jc w:val="center"/>
              <w:rPr>
                <w:color w:val="00B050"/>
              </w:rPr>
            </w:pPr>
            <w:r w:rsidRPr="00195CD9">
              <w:rPr>
                <w:color w:val="00B050"/>
              </w:rPr>
              <w:t>-0,14</w:t>
            </w:r>
          </w:p>
        </w:tc>
      </w:tr>
      <w:tr w:rsidR="00195CD9" w:rsidRPr="00150A72" w14:paraId="28A2D5C0" w14:textId="77777777" w:rsidTr="00430BE7">
        <w:trPr>
          <w:trHeight w:val="170"/>
          <w:jc w:val="center"/>
        </w:trPr>
        <w:tc>
          <w:tcPr>
            <w:tcW w:w="4561" w:type="dxa"/>
          </w:tcPr>
          <w:p w14:paraId="2F389847" w14:textId="77777777" w:rsidR="00195CD9" w:rsidRPr="00150A72" w:rsidRDefault="00195CD9" w:rsidP="00195CD9">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VAN / euro dépensé</w:t>
            </w:r>
          </w:p>
        </w:tc>
        <w:tc>
          <w:tcPr>
            <w:tcW w:w="1388" w:type="dxa"/>
          </w:tcPr>
          <w:p w14:paraId="2936A35A" w14:textId="45880CA1" w:rsidR="00195CD9" w:rsidRPr="00195CD9" w:rsidRDefault="00195CD9" w:rsidP="00195CD9">
            <w:pPr>
              <w:jc w:val="center"/>
              <w:rPr>
                <w:color w:val="00B050"/>
              </w:rPr>
            </w:pPr>
            <w:r w:rsidRPr="00195CD9">
              <w:rPr>
                <w:color w:val="00B050"/>
              </w:rPr>
              <w:t>0,13</w:t>
            </w:r>
          </w:p>
        </w:tc>
        <w:tc>
          <w:tcPr>
            <w:tcW w:w="1447" w:type="dxa"/>
          </w:tcPr>
          <w:p w14:paraId="30257915" w14:textId="7373CD9D" w:rsidR="00195CD9" w:rsidRPr="00195CD9" w:rsidRDefault="00195CD9" w:rsidP="00195CD9">
            <w:pPr>
              <w:jc w:val="center"/>
              <w:rPr>
                <w:color w:val="00B050"/>
              </w:rPr>
            </w:pPr>
            <w:r w:rsidRPr="00195CD9">
              <w:rPr>
                <w:color w:val="00B050"/>
              </w:rPr>
              <w:t>-0,11</w:t>
            </w:r>
          </w:p>
        </w:tc>
      </w:tr>
    </w:tbl>
    <w:p w14:paraId="09EEE64B" w14:textId="3CA3F00E" w:rsidR="00150A72" w:rsidRDefault="00150A72" w:rsidP="00150A72">
      <w:pPr>
        <w:jc w:val="both"/>
        <w:rPr>
          <w:szCs w:val="20"/>
        </w:rPr>
      </w:pPr>
    </w:p>
    <w:p w14:paraId="729ECF5C" w14:textId="4DF100B0" w:rsidR="00150A72" w:rsidRPr="00150A72" w:rsidRDefault="004366F5" w:rsidP="00150A72">
      <w:pPr>
        <w:jc w:val="both"/>
        <w:rPr>
          <w:b/>
          <w:szCs w:val="20"/>
        </w:rPr>
      </w:pPr>
      <w:r>
        <w:rPr>
          <w:b/>
          <w:szCs w:val="20"/>
        </w:rPr>
        <w:t>L</w:t>
      </w:r>
      <w:r w:rsidR="00150A72" w:rsidRPr="00150A72">
        <w:rPr>
          <w:b/>
          <w:szCs w:val="20"/>
        </w:rPr>
        <w:t>a VAN reste assez nettement positive </w:t>
      </w:r>
      <w:r w:rsidR="00C36348">
        <w:rPr>
          <w:b/>
          <w:szCs w:val="20"/>
        </w:rPr>
        <w:t xml:space="preserve">même </w:t>
      </w:r>
      <w:r w:rsidRPr="00150A72">
        <w:rPr>
          <w:b/>
          <w:szCs w:val="20"/>
        </w:rPr>
        <w:t>sous des hypothèses très restrictives</w:t>
      </w:r>
      <w:r>
        <w:rPr>
          <w:b/>
          <w:szCs w:val="20"/>
        </w:rPr>
        <w:t>.</w:t>
      </w:r>
    </w:p>
    <w:p w14:paraId="5185F7C1" w14:textId="77777777" w:rsidR="00150A72" w:rsidRPr="00150A72" w:rsidRDefault="00150A72" w:rsidP="00150A72">
      <w:pPr>
        <w:keepNext/>
        <w:keepLines/>
        <w:spacing w:before="200"/>
        <w:jc w:val="both"/>
        <w:outlineLvl w:val="3"/>
        <w:rPr>
          <w:rFonts w:eastAsia="Times New Roman"/>
          <w:bCs/>
          <w:i/>
          <w:iCs/>
          <w:color w:val="931638"/>
          <w:szCs w:val="20"/>
        </w:rPr>
      </w:pPr>
      <w:r w:rsidRPr="00150A72">
        <w:rPr>
          <w:rFonts w:eastAsia="Times New Roman"/>
          <w:bCs/>
          <w:i/>
          <w:iCs/>
          <w:color w:val="931638"/>
          <w:szCs w:val="20"/>
        </w:rPr>
        <w:t>Le coût des transports en voiture individuelle</w:t>
      </w:r>
    </w:p>
    <w:p w14:paraId="1B7E805B" w14:textId="77777777" w:rsidR="00150A72" w:rsidRPr="00150A72" w:rsidRDefault="00150A72" w:rsidP="00150A72">
      <w:pPr>
        <w:jc w:val="both"/>
        <w:rPr>
          <w:lang w:eastAsia="he-IL" w:bidi="he-IL"/>
        </w:rPr>
      </w:pPr>
    </w:p>
    <w:p w14:paraId="77BC219F" w14:textId="364E7573" w:rsidR="004366F5" w:rsidRDefault="00150A72" w:rsidP="00150A72">
      <w:pPr>
        <w:jc w:val="both"/>
        <w:rPr>
          <w:lang w:eastAsia="he-IL" w:bidi="he-IL"/>
        </w:rPr>
      </w:pPr>
      <w:r w:rsidRPr="00150A72">
        <w:rPr>
          <w:lang w:eastAsia="he-IL" w:bidi="he-IL"/>
        </w:rPr>
        <w:t xml:space="preserve">Cette variante est celle d’un doublement du coût des transports en voiture individuelle, qui peut provenir de multiples sources, en particulier d’une augmentation forte et durable du prix des carburants, mais également de mesures de caractère réglementaire. Dans cette hypothèse, les coûts d’exploitation augmentent pour faire face à un surcroît de passagers. La rentabilité de l’ouvrage augmente légèrement. </w:t>
      </w:r>
    </w:p>
    <w:p w14:paraId="7AFC7EB6" w14:textId="77777777" w:rsidR="004E6F4A" w:rsidRPr="00150A72" w:rsidRDefault="004E6F4A" w:rsidP="00150A72">
      <w:pPr>
        <w:jc w:val="both"/>
        <w:rPr>
          <w:lang w:eastAsia="he-IL" w:bidi="he-IL"/>
        </w:rPr>
      </w:pPr>
    </w:p>
    <w:p w14:paraId="5934A153" w14:textId="77777777" w:rsidR="00150A72" w:rsidRPr="00150A72" w:rsidRDefault="00150A72" w:rsidP="00A40082">
      <w:pPr>
        <w:keepNext/>
        <w:tabs>
          <w:tab w:val="left" w:pos="720"/>
        </w:tabs>
        <w:ind w:left="720" w:hanging="720"/>
        <w:jc w:val="both"/>
        <w:rPr>
          <w:rFonts w:eastAsia="Times New Roman"/>
          <w:b/>
          <w:bCs/>
          <w:szCs w:val="20"/>
        </w:rPr>
      </w:pPr>
    </w:p>
    <w:tbl>
      <w:tblPr>
        <w:tblW w:w="735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4235"/>
        <w:gridCol w:w="1559"/>
        <w:gridCol w:w="1559"/>
      </w:tblGrid>
      <w:tr w:rsidR="00150A72" w:rsidRPr="00150A72" w14:paraId="3A11DED7" w14:textId="77777777" w:rsidTr="00F56780">
        <w:trPr>
          <w:trHeight w:val="20"/>
          <w:jc w:val="center"/>
        </w:trPr>
        <w:tc>
          <w:tcPr>
            <w:tcW w:w="4235" w:type="dxa"/>
            <w:tcMar>
              <w:top w:w="15" w:type="dxa"/>
              <w:left w:w="15" w:type="dxa"/>
              <w:bottom w:w="0" w:type="dxa"/>
              <w:right w:w="15" w:type="dxa"/>
            </w:tcMar>
            <w:vAlign w:val="center"/>
          </w:tcPr>
          <w:p w14:paraId="531DDEBE" w14:textId="6A6AA551" w:rsidR="00150A72" w:rsidRPr="00150A72" w:rsidRDefault="00150A72" w:rsidP="00150A72">
            <w:pPr>
              <w:widowControl w:val="0"/>
              <w:suppressAutoHyphens/>
              <w:snapToGrid w:val="0"/>
              <w:jc w:val="both"/>
              <w:rPr>
                <w:rFonts w:cs="Arial"/>
                <w:b/>
                <w:szCs w:val="20"/>
                <w:lang w:eastAsia="fr-FR"/>
              </w:rPr>
            </w:pPr>
            <w:r w:rsidRPr="00150A72">
              <w:rPr>
                <w:rFonts w:cs="Calibri"/>
                <w:b/>
                <w:color w:val="931638"/>
                <w:szCs w:val="20"/>
                <w:lang w:eastAsia="fr-FR"/>
              </w:rPr>
              <w:t xml:space="preserve">Option </w:t>
            </w:r>
            <w:r w:rsidR="00E6513A">
              <w:rPr>
                <w:rFonts w:cs="Calibri"/>
                <w:b/>
                <w:color w:val="931638"/>
                <w:szCs w:val="20"/>
                <w:lang w:eastAsia="fr-FR"/>
              </w:rPr>
              <w:t>basse</w:t>
            </w:r>
            <w:r w:rsidRPr="00150A72">
              <w:rPr>
                <w:rFonts w:cs="Calibri"/>
                <w:b/>
                <w:color w:val="931638"/>
                <w:szCs w:val="20"/>
                <w:lang w:eastAsia="fr-FR"/>
              </w:rPr>
              <w:t xml:space="preserve"> de projet</w:t>
            </w:r>
            <w:r w:rsidR="001618FE">
              <w:rPr>
                <w:rFonts w:cs="Calibri"/>
                <w:b/>
                <w:color w:val="931638"/>
                <w:szCs w:val="20"/>
                <w:lang w:eastAsia="fr-FR"/>
              </w:rPr>
              <w:t xml:space="preserve"> </w:t>
            </w:r>
            <w:r w:rsidR="001618FE" w:rsidRPr="001618FE">
              <w:rPr>
                <w:rFonts w:cs="Calibri"/>
                <w:b/>
                <w:color w:val="931638"/>
                <w:szCs w:val="20"/>
                <w:lang w:eastAsia="fr-FR"/>
              </w:rPr>
              <w:t>Md€ 2015</w:t>
            </w:r>
          </w:p>
        </w:tc>
        <w:tc>
          <w:tcPr>
            <w:tcW w:w="1559" w:type="dxa"/>
            <w:tcMar>
              <w:top w:w="15" w:type="dxa"/>
              <w:left w:w="15" w:type="dxa"/>
              <w:bottom w:w="0" w:type="dxa"/>
              <w:right w:w="15" w:type="dxa"/>
            </w:tcMar>
            <w:vAlign w:val="center"/>
          </w:tcPr>
          <w:p w14:paraId="3BF706F3" w14:textId="77777777" w:rsidR="00150A72" w:rsidRPr="00150A72" w:rsidRDefault="00150A72" w:rsidP="00150A72">
            <w:pPr>
              <w:jc w:val="center"/>
              <w:textAlignment w:val="bottom"/>
              <w:rPr>
                <w:rFonts w:cs="Arial"/>
                <w:i/>
                <w:szCs w:val="20"/>
                <w:lang w:eastAsia="fr-FR"/>
              </w:rPr>
            </w:pPr>
            <w:r w:rsidRPr="00150A72">
              <w:rPr>
                <w:rFonts w:cs="Arial"/>
                <w:i/>
                <w:color w:val="000000"/>
                <w:kern w:val="24"/>
                <w:szCs w:val="20"/>
                <w:lang w:eastAsia="fr-FR"/>
              </w:rPr>
              <w:t>Sans COFP</w:t>
            </w:r>
          </w:p>
        </w:tc>
        <w:tc>
          <w:tcPr>
            <w:tcW w:w="1559" w:type="dxa"/>
            <w:tcMar>
              <w:top w:w="15" w:type="dxa"/>
              <w:left w:w="15" w:type="dxa"/>
              <w:bottom w:w="0" w:type="dxa"/>
              <w:right w:w="15" w:type="dxa"/>
            </w:tcMar>
            <w:vAlign w:val="center"/>
          </w:tcPr>
          <w:p w14:paraId="0ED26FA6" w14:textId="77777777" w:rsidR="00150A72" w:rsidRPr="00150A72" w:rsidRDefault="00150A72" w:rsidP="00150A72">
            <w:pPr>
              <w:jc w:val="center"/>
              <w:textAlignment w:val="bottom"/>
              <w:rPr>
                <w:rFonts w:cs="Arial"/>
                <w:i/>
                <w:szCs w:val="20"/>
                <w:lang w:eastAsia="fr-FR"/>
              </w:rPr>
            </w:pPr>
            <w:r w:rsidRPr="00150A72">
              <w:rPr>
                <w:rFonts w:cs="Calibri"/>
                <w:i/>
                <w:color w:val="000000"/>
                <w:kern w:val="24"/>
                <w:szCs w:val="20"/>
                <w:lang w:eastAsia="fr-FR"/>
              </w:rPr>
              <w:t>Avec COFP</w:t>
            </w:r>
          </w:p>
        </w:tc>
      </w:tr>
      <w:tr w:rsidR="00195CD9" w:rsidRPr="00150A72" w14:paraId="2E11C804" w14:textId="77777777" w:rsidTr="00F56780">
        <w:trPr>
          <w:trHeight w:val="20"/>
          <w:jc w:val="center"/>
        </w:trPr>
        <w:tc>
          <w:tcPr>
            <w:tcW w:w="4235" w:type="dxa"/>
            <w:tcMar>
              <w:top w:w="15" w:type="dxa"/>
              <w:left w:w="15" w:type="dxa"/>
              <w:bottom w:w="0" w:type="dxa"/>
              <w:right w:w="15" w:type="dxa"/>
            </w:tcMar>
            <w:vAlign w:val="center"/>
          </w:tcPr>
          <w:p w14:paraId="5A9EA609" w14:textId="77777777" w:rsidR="00195CD9" w:rsidRPr="00150A72" w:rsidRDefault="00195CD9" w:rsidP="00195CD9">
            <w:pPr>
              <w:jc w:val="both"/>
              <w:textAlignment w:val="bottom"/>
              <w:rPr>
                <w:rFonts w:cs="Arial"/>
                <w:color w:val="931638"/>
                <w:szCs w:val="20"/>
                <w:lang w:eastAsia="fr-FR"/>
              </w:rPr>
            </w:pPr>
            <w:r w:rsidRPr="00150A72">
              <w:rPr>
                <w:color w:val="931638"/>
                <w:kern w:val="24"/>
                <w:szCs w:val="20"/>
                <w:lang w:eastAsia="fr-FR"/>
              </w:rPr>
              <w:t>Avantages actualisés</w:t>
            </w:r>
          </w:p>
        </w:tc>
        <w:tc>
          <w:tcPr>
            <w:tcW w:w="3118" w:type="dxa"/>
            <w:gridSpan w:val="2"/>
            <w:tcMar>
              <w:top w:w="15" w:type="dxa"/>
              <w:left w:w="15" w:type="dxa"/>
              <w:bottom w:w="0" w:type="dxa"/>
              <w:right w:w="15" w:type="dxa"/>
            </w:tcMar>
          </w:tcPr>
          <w:p w14:paraId="13548F7F" w14:textId="1F2125F9" w:rsidR="00195CD9" w:rsidRPr="00195CD9" w:rsidRDefault="00195CD9" w:rsidP="00195CD9">
            <w:pPr>
              <w:jc w:val="center"/>
              <w:rPr>
                <w:color w:val="00B050"/>
              </w:rPr>
            </w:pPr>
            <w:r w:rsidRPr="00195CD9">
              <w:rPr>
                <w:color w:val="00B050"/>
              </w:rPr>
              <w:t>72,38</w:t>
            </w:r>
          </w:p>
        </w:tc>
      </w:tr>
      <w:tr w:rsidR="00195CD9" w:rsidRPr="00150A72" w14:paraId="7B223A09" w14:textId="77777777" w:rsidTr="00F56780">
        <w:trPr>
          <w:trHeight w:val="20"/>
          <w:jc w:val="center"/>
        </w:trPr>
        <w:tc>
          <w:tcPr>
            <w:tcW w:w="4235" w:type="dxa"/>
            <w:tcMar>
              <w:top w:w="15" w:type="dxa"/>
              <w:left w:w="15" w:type="dxa"/>
              <w:bottom w:w="0" w:type="dxa"/>
              <w:right w:w="15" w:type="dxa"/>
            </w:tcMar>
            <w:vAlign w:val="center"/>
          </w:tcPr>
          <w:p w14:paraId="7B3302DD" w14:textId="77777777" w:rsidR="00195CD9" w:rsidRPr="00150A72" w:rsidRDefault="00195CD9" w:rsidP="00195CD9">
            <w:pPr>
              <w:jc w:val="both"/>
              <w:textAlignment w:val="bottom"/>
              <w:rPr>
                <w:color w:val="931638"/>
                <w:kern w:val="24"/>
                <w:szCs w:val="20"/>
                <w:lang w:eastAsia="fr-FR"/>
              </w:rPr>
            </w:pPr>
            <w:r w:rsidRPr="00150A72">
              <w:rPr>
                <w:color w:val="931638"/>
                <w:kern w:val="24"/>
                <w:szCs w:val="20"/>
                <w:lang w:eastAsia="fr-FR"/>
              </w:rPr>
              <w:t>Divers (voirie et taxes sur essence)</w:t>
            </w:r>
          </w:p>
        </w:tc>
        <w:tc>
          <w:tcPr>
            <w:tcW w:w="1559" w:type="dxa"/>
            <w:tcMar>
              <w:top w:w="15" w:type="dxa"/>
              <w:left w:w="15" w:type="dxa"/>
              <w:bottom w:w="0" w:type="dxa"/>
              <w:right w:w="15" w:type="dxa"/>
            </w:tcMar>
          </w:tcPr>
          <w:p w14:paraId="6F01C813" w14:textId="6EBA1442" w:rsidR="00195CD9" w:rsidRPr="00195CD9" w:rsidRDefault="00195CD9" w:rsidP="00195CD9">
            <w:pPr>
              <w:jc w:val="center"/>
              <w:rPr>
                <w:color w:val="00B050"/>
              </w:rPr>
            </w:pPr>
            <w:r w:rsidRPr="00195CD9">
              <w:rPr>
                <w:color w:val="00B050"/>
              </w:rPr>
              <w:t>-0,13</w:t>
            </w:r>
          </w:p>
        </w:tc>
        <w:tc>
          <w:tcPr>
            <w:tcW w:w="1559" w:type="dxa"/>
          </w:tcPr>
          <w:p w14:paraId="32658168" w14:textId="14316903" w:rsidR="00195CD9" w:rsidRPr="00195CD9" w:rsidRDefault="00195CD9" w:rsidP="00195CD9">
            <w:pPr>
              <w:jc w:val="center"/>
              <w:rPr>
                <w:color w:val="00B050"/>
              </w:rPr>
            </w:pPr>
            <w:r w:rsidRPr="00195CD9">
              <w:rPr>
                <w:color w:val="00B050"/>
              </w:rPr>
              <w:t>-0,19</w:t>
            </w:r>
          </w:p>
        </w:tc>
      </w:tr>
      <w:tr w:rsidR="00195CD9" w:rsidRPr="00150A72" w14:paraId="3047E5A6" w14:textId="77777777" w:rsidTr="00F56780">
        <w:trPr>
          <w:trHeight w:val="20"/>
          <w:jc w:val="center"/>
        </w:trPr>
        <w:tc>
          <w:tcPr>
            <w:tcW w:w="4235" w:type="dxa"/>
            <w:tcMar>
              <w:top w:w="15" w:type="dxa"/>
              <w:left w:w="15" w:type="dxa"/>
              <w:bottom w:w="0" w:type="dxa"/>
              <w:right w:w="15" w:type="dxa"/>
            </w:tcMar>
            <w:vAlign w:val="center"/>
          </w:tcPr>
          <w:p w14:paraId="6B196181" w14:textId="77777777" w:rsidR="00195CD9" w:rsidRPr="00150A72" w:rsidRDefault="00195CD9" w:rsidP="00195CD9">
            <w:pPr>
              <w:jc w:val="both"/>
              <w:textAlignment w:val="bottom"/>
              <w:rPr>
                <w:rFonts w:cs="Arial"/>
                <w:color w:val="931638"/>
                <w:szCs w:val="20"/>
                <w:lang w:eastAsia="fr-FR"/>
              </w:rPr>
            </w:pPr>
            <w:r w:rsidRPr="00150A72">
              <w:rPr>
                <w:color w:val="931638"/>
                <w:kern w:val="24"/>
                <w:szCs w:val="20"/>
                <w:lang w:eastAsia="fr-FR"/>
              </w:rPr>
              <w:t>Coûts (investissement et exploitation)</w:t>
            </w:r>
          </w:p>
        </w:tc>
        <w:tc>
          <w:tcPr>
            <w:tcW w:w="1559" w:type="dxa"/>
            <w:tcMar>
              <w:top w:w="15" w:type="dxa"/>
              <w:left w:w="15" w:type="dxa"/>
              <w:bottom w:w="0" w:type="dxa"/>
              <w:right w:w="15" w:type="dxa"/>
            </w:tcMar>
          </w:tcPr>
          <w:p w14:paraId="47BE83FB" w14:textId="0F2E47BB" w:rsidR="00195CD9" w:rsidRPr="00195CD9" w:rsidRDefault="00195CD9" w:rsidP="00195CD9">
            <w:pPr>
              <w:jc w:val="center"/>
              <w:rPr>
                <w:color w:val="00B050"/>
              </w:rPr>
            </w:pPr>
            <w:r w:rsidRPr="00195CD9">
              <w:rPr>
                <w:color w:val="00B050"/>
              </w:rPr>
              <w:t>-34,37</w:t>
            </w:r>
          </w:p>
        </w:tc>
        <w:tc>
          <w:tcPr>
            <w:tcW w:w="1559" w:type="dxa"/>
            <w:tcMar>
              <w:top w:w="15" w:type="dxa"/>
              <w:left w:w="15" w:type="dxa"/>
              <w:bottom w:w="0" w:type="dxa"/>
              <w:right w:w="15" w:type="dxa"/>
            </w:tcMar>
          </w:tcPr>
          <w:p w14:paraId="72DA003C" w14:textId="1301C31D" w:rsidR="00195CD9" w:rsidRPr="00195CD9" w:rsidRDefault="00195CD9" w:rsidP="00195CD9">
            <w:pPr>
              <w:jc w:val="center"/>
              <w:rPr>
                <w:color w:val="00B050"/>
              </w:rPr>
            </w:pPr>
            <w:r w:rsidRPr="00195CD9">
              <w:rPr>
                <w:color w:val="00B050"/>
              </w:rPr>
              <w:t>-43,65</w:t>
            </w:r>
          </w:p>
        </w:tc>
      </w:tr>
      <w:tr w:rsidR="00195CD9" w:rsidRPr="00150A72" w14:paraId="5EB3E22E" w14:textId="77777777" w:rsidTr="00F56780">
        <w:trPr>
          <w:trHeight w:val="20"/>
          <w:jc w:val="center"/>
        </w:trPr>
        <w:tc>
          <w:tcPr>
            <w:tcW w:w="4235" w:type="dxa"/>
            <w:tcMar>
              <w:top w:w="15" w:type="dxa"/>
              <w:left w:w="15" w:type="dxa"/>
              <w:bottom w:w="0" w:type="dxa"/>
              <w:right w:w="15" w:type="dxa"/>
            </w:tcMar>
            <w:vAlign w:val="center"/>
          </w:tcPr>
          <w:p w14:paraId="5141E1DA" w14:textId="77777777" w:rsidR="00195CD9" w:rsidRPr="00150A72" w:rsidRDefault="00195CD9" w:rsidP="00195CD9">
            <w:pPr>
              <w:jc w:val="both"/>
              <w:textAlignment w:val="bottom"/>
              <w:rPr>
                <w:rFonts w:cs="Arial"/>
                <w:b/>
                <w:color w:val="931638"/>
                <w:szCs w:val="20"/>
                <w:lang w:eastAsia="fr-FR"/>
              </w:rPr>
            </w:pPr>
            <w:r w:rsidRPr="00150A72">
              <w:rPr>
                <w:b/>
                <w:color w:val="931638"/>
                <w:kern w:val="24"/>
                <w:szCs w:val="20"/>
                <w:lang w:eastAsia="fr-FR"/>
              </w:rPr>
              <w:t>VAN</w:t>
            </w:r>
          </w:p>
        </w:tc>
        <w:tc>
          <w:tcPr>
            <w:tcW w:w="1559" w:type="dxa"/>
            <w:tcMar>
              <w:top w:w="15" w:type="dxa"/>
              <w:left w:w="15" w:type="dxa"/>
              <w:bottom w:w="0" w:type="dxa"/>
              <w:right w:w="15" w:type="dxa"/>
            </w:tcMar>
          </w:tcPr>
          <w:p w14:paraId="67824C26" w14:textId="2EBBB7A0" w:rsidR="00195CD9" w:rsidRPr="00195CD9" w:rsidRDefault="00195CD9" w:rsidP="00195CD9">
            <w:pPr>
              <w:jc w:val="center"/>
              <w:rPr>
                <w:b/>
                <w:color w:val="00B050"/>
              </w:rPr>
            </w:pPr>
            <w:r w:rsidRPr="00195CD9">
              <w:rPr>
                <w:color w:val="00B050"/>
              </w:rPr>
              <w:t>37,89</w:t>
            </w:r>
          </w:p>
        </w:tc>
        <w:tc>
          <w:tcPr>
            <w:tcW w:w="1559" w:type="dxa"/>
            <w:tcMar>
              <w:top w:w="15" w:type="dxa"/>
              <w:left w:w="15" w:type="dxa"/>
              <w:bottom w:w="0" w:type="dxa"/>
              <w:right w:w="15" w:type="dxa"/>
            </w:tcMar>
          </w:tcPr>
          <w:p w14:paraId="0CB0337C" w14:textId="3CCD0926" w:rsidR="00195CD9" w:rsidRPr="00195CD9" w:rsidRDefault="00195CD9" w:rsidP="00195CD9">
            <w:pPr>
              <w:jc w:val="center"/>
              <w:rPr>
                <w:b/>
                <w:color w:val="00B050"/>
              </w:rPr>
            </w:pPr>
            <w:r w:rsidRPr="00195CD9">
              <w:rPr>
                <w:color w:val="00B050"/>
              </w:rPr>
              <w:t>28,55</w:t>
            </w:r>
          </w:p>
        </w:tc>
      </w:tr>
      <w:tr w:rsidR="00195CD9" w:rsidRPr="00150A72" w14:paraId="7FD11FF9" w14:textId="77777777" w:rsidTr="00F56780">
        <w:trPr>
          <w:trHeight w:val="20"/>
          <w:jc w:val="center"/>
        </w:trPr>
        <w:tc>
          <w:tcPr>
            <w:tcW w:w="4235" w:type="dxa"/>
            <w:tcMar>
              <w:top w:w="15" w:type="dxa"/>
              <w:left w:w="15" w:type="dxa"/>
              <w:bottom w:w="0" w:type="dxa"/>
              <w:right w:w="15" w:type="dxa"/>
            </w:tcMar>
            <w:vAlign w:val="center"/>
          </w:tcPr>
          <w:p w14:paraId="35F8D926" w14:textId="77777777" w:rsidR="00195CD9" w:rsidRPr="00150A72" w:rsidRDefault="00195CD9" w:rsidP="00195CD9">
            <w:pPr>
              <w:jc w:val="both"/>
              <w:textAlignment w:val="bottom"/>
              <w:rPr>
                <w:rFonts w:cs="Arial"/>
                <w:color w:val="931638"/>
                <w:szCs w:val="20"/>
                <w:lang w:eastAsia="fr-FR"/>
              </w:rPr>
            </w:pPr>
            <w:r w:rsidRPr="00150A72">
              <w:rPr>
                <w:color w:val="931638"/>
                <w:kern w:val="24"/>
                <w:szCs w:val="20"/>
                <w:lang w:eastAsia="fr-FR"/>
              </w:rPr>
              <w:t>VAN /</w:t>
            </w:r>
            <w:r w:rsidRPr="00150A72">
              <w:rPr>
                <w:rFonts w:cs="Arial"/>
                <w:color w:val="931638"/>
                <w:szCs w:val="20"/>
                <w:lang w:eastAsia="fr-FR"/>
              </w:rPr>
              <w:t xml:space="preserve"> euro investi</w:t>
            </w:r>
          </w:p>
        </w:tc>
        <w:tc>
          <w:tcPr>
            <w:tcW w:w="1559" w:type="dxa"/>
            <w:tcMar>
              <w:top w:w="15" w:type="dxa"/>
              <w:left w:w="15" w:type="dxa"/>
              <w:bottom w:w="0" w:type="dxa"/>
              <w:right w:w="15" w:type="dxa"/>
            </w:tcMar>
          </w:tcPr>
          <w:p w14:paraId="26AF69DD" w14:textId="0364AFCB" w:rsidR="00195CD9" w:rsidRPr="00195CD9" w:rsidRDefault="00195CD9" w:rsidP="00195CD9">
            <w:pPr>
              <w:jc w:val="center"/>
              <w:rPr>
                <w:color w:val="00B050"/>
              </w:rPr>
            </w:pPr>
            <w:r w:rsidRPr="00195CD9">
              <w:rPr>
                <w:color w:val="00B050"/>
              </w:rPr>
              <w:t>1,48</w:t>
            </w:r>
          </w:p>
        </w:tc>
        <w:tc>
          <w:tcPr>
            <w:tcW w:w="1559" w:type="dxa"/>
            <w:tcMar>
              <w:top w:w="15" w:type="dxa"/>
              <w:left w:w="15" w:type="dxa"/>
              <w:bottom w:w="0" w:type="dxa"/>
              <w:right w:w="15" w:type="dxa"/>
            </w:tcMar>
          </w:tcPr>
          <w:p w14:paraId="327CFBB5" w14:textId="6F245730" w:rsidR="00195CD9" w:rsidRPr="00195CD9" w:rsidRDefault="00195CD9" w:rsidP="00195CD9">
            <w:pPr>
              <w:jc w:val="center"/>
              <w:rPr>
                <w:color w:val="00B050"/>
              </w:rPr>
            </w:pPr>
            <w:r w:rsidRPr="00195CD9">
              <w:rPr>
                <w:color w:val="00B050"/>
              </w:rPr>
              <w:t>0,89</w:t>
            </w:r>
          </w:p>
        </w:tc>
      </w:tr>
      <w:tr w:rsidR="00195CD9" w:rsidRPr="00150A72" w14:paraId="34714540" w14:textId="77777777" w:rsidTr="00F56780">
        <w:trPr>
          <w:trHeight w:val="20"/>
          <w:jc w:val="center"/>
        </w:trPr>
        <w:tc>
          <w:tcPr>
            <w:tcW w:w="4235" w:type="dxa"/>
            <w:tcMar>
              <w:top w:w="15" w:type="dxa"/>
              <w:left w:w="15" w:type="dxa"/>
              <w:bottom w:w="0" w:type="dxa"/>
              <w:right w:w="15" w:type="dxa"/>
            </w:tcMar>
            <w:vAlign w:val="center"/>
          </w:tcPr>
          <w:p w14:paraId="14C48FC4" w14:textId="77777777" w:rsidR="00195CD9" w:rsidRPr="00150A72" w:rsidRDefault="00195CD9" w:rsidP="00195CD9">
            <w:pPr>
              <w:jc w:val="both"/>
              <w:textAlignment w:val="bottom"/>
              <w:rPr>
                <w:color w:val="931638"/>
                <w:kern w:val="24"/>
                <w:szCs w:val="20"/>
                <w:lang w:eastAsia="fr-FR"/>
              </w:rPr>
            </w:pPr>
            <w:r w:rsidRPr="00150A72">
              <w:rPr>
                <w:color w:val="931638"/>
                <w:kern w:val="24"/>
                <w:szCs w:val="20"/>
                <w:lang w:eastAsia="fr-FR"/>
              </w:rPr>
              <w:t>VAN / euro dépensé</w:t>
            </w:r>
          </w:p>
        </w:tc>
        <w:tc>
          <w:tcPr>
            <w:tcW w:w="1559" w:type="dxa"/>
            <w:tcMar>
              <w:top w:w="15" w:type="dxa"/>
              <w:left w:w="15" w:type="dxa"/>
              <w:bottom w:w="0" w:type="dxa"/>
              <w:right w:w="15" w:type="dxa"/>
            </w:tcMar>
          </w:tcPr>
          <w:p w14:paraId="53CC12DE" w14:textId="713F846D" w:rsidR="00195CD9" w:rsidRPr="00195CD9" w:rsidRDefault="00195CD9" w:rsidP="00195CD9">
            <w:pPr>
              <w:jc w:val="center"/>
              <w:rPr>
                <w:color w:val="00B050"/>
              </w:rPr>
            </w:pPr>
            <w:r w:rsidRPr="00195CD9">
              <w:rPr>
                <w:color w:val="00B050"/>
              </w:rPr>
              <w:t>1,04</w:t>
            </w:r>
          </w:p>
        </w:tc>
        <w:tc>
          <w:tcPr>
            <w:tcW w:w="1559" w:type="dxa"/>
            <w:tcMar>
              <w:top w:w="15" w:type="dxa"/>
              <w:left w:w="15" w:type="dxa"/>
              <w:bottom w:w="0" w:type="dxa"/>
              <w:right w:w="15" w:type="dxa"/>
            </w:tcMar>
          </w:tcPr>
          <w:p w14:paraId="56FC9F1F" w14:textId="19513FFB" w:rsidR="00195CD9" w:rsidRPr="00195CD9" w:rsidRDefault="00195CD9" w:rsidP="00195CD9">
            <w:pPr>
              <w:jc w:val="center"/>
              <w:rPr>
                <w:color w:val="00B050"/>
              </w:rPr>
            </w:pPr>
            <w:r w:rsidRPr="00195CD9">
              <w:rPr>
                <w:color w:val="00B050"/>
              </w:rPr>
              <w:t>0,61</w:t>
            </w:r>
          </w:p>
        </w:tc>
      </w:tr>
    </w:tbl>
    <w:p w14:paraId="1787A57F" w14:textId="77777777" w:rsidR="00DA1554" w:rsidRDefault="00DA1554" w:rsidP="00150A72">
      <w:pPr>
        <w:jc w:val="both"/>
        <w:rPr>
          <w:lang w:bidi="he-IL"/>
        </w:rPr>
      </w:pPr>
    </w:p>
    <w:p w14:paraId="516930D1" w14:textId="3DB9D0E3" w:rsidR="00150A72" w:rsidRDefault="00E6513A" w:rsidP="00150A72">
      <w:pPr>
        <w:jc w:val="both"/>
        <w:rPr>
          <w:lang w:bidi="he-IL"/>
        </w:rPr>
      </w:pPr>
      <w:r>
        <w:rPr>
          <w:lang w:bidi="he-IL"/>
        </w:rPr>
        <w:t>Il</w:t>
      </w:r>
      <w:r w:rsidR="00150A72" w:rsidRPr="00150A72">
        <w:rPr>
          <w:lang w:bidi="he-IL"/>
        </w:rPr>
        <w:t xml:space="preserve"> faut souligner que les études réalisées sur cette question montrent que les impacts de l'augmentation du coût de la VP sont très différents selon les modalités de cette augmentation. Une mesure </w:t>
      </w:r>
      <w:r w:rsidR="00105E02">
        <w:rPr>
          <w:lang w:bidi="he-IL"/>
        </w:rPr>
        <w:t xml:space="preserve">de prix </w:t>
      </w:r>
      <w:r w:rsidR="00150A72" w:rsidRPr="00150A72">
        <w:rPr>
          <w:lang w:bidi="he-IL"/>
        </w:rPr>
        <w:t>très générale comme l'augmentation du prix de l'essence a un impact plus faible que les mesures visant à réduire l'usage de l'automobile dans les zones accessibles en TC (comme les restrictions tarifaires ou autres du stationnement, ou le péage urbain). Et, en ce qui concerne le coût de l'essence, le bilan économique qui s'en dégage est également très différent selon que cette augmentation provient du prix à la pompe du fait des cours internationaux (les importations de pétrole sont un appauvrissement de la communauté nationale) ou d’une augmentation des taxes (qui réalisent alors un transfert des usagers vers la collectivité publique). Les données globales ci-dessus sont donc schématiques et purement indicatives.</w:t>
      </w:r>
      <w:r w:rsidR="00105E02">
        <w:rPr>
          <w:lang w:bidi="he-IL"/>
        </w:rPr>
        <w:t xml:space="preserve"> On n’a pas quantifié les incidences des mesures réglementaires ni l’implication d</w:t>
      </w:r>
      <w:r w:rsidR="008F1819">
        <w:rPr>
          <w:lang w:bidi="he-IL"/>
        </w:rPr>
        <w:t>e l’augmentation des prix ou contraintes réglementaires sur le transfert modal dans le long terme.</w:t>
      </w:r>
      <w:r w:rsidR="00105E02">
        <w:rPr>
          <w:lang w:bidi="he-IL"/>
        </w:rPr>
        <w:t xml:space="preserve"> </w:t>
      </w:r>
    </w:p>
    <w:p w14:paraId="485A752F" w14:textId="514E73ED" w:rsidR="00195CD9" w:rsidRDefault="00195CD9" w:rsidP="00150A72">
      <w:pPr>
        <w:jc w:val="both"/>
        <w:rPr>
          <w:lang w:bidi="he-IL"/>
        </w:rPr>
      </w:pPr>
    </w:p>
    <w:p w14:paraId="49C21B7F" w14:textId="5C1EB55E" w:rsidR="00195CD9" w:rsidRPr="00195CD9" w:rsidRDefault="00195CD9" w:rsidP="00150A72">
      <w:pPr>
        <w:jc w:val="both"/>
        <w:rPr>
          <w:i/>
          <w:iCs/>
          <w:color w:val="00B050"/>
          <w:lang w:bidi="he-IL"/>
        </w:rPr>
      </w:pPr>
      <w:r w:rsidRPr="00195CD9">
        <w:rPr>
          <w:i/>
          <w:iCs/>
          <w:color w:val="00B050"/>
          <w:lang w:bidi="he-IL"/>
        </w:rPr>
        <w:t>La variante PAI à 20% pour les lignes 15 E et 15 O</w:t>
      </w:r>
    </w:p>
    <w:p w14:paraId="2120BFFA" w14:textId="007191B9" w:rsidR="00195CD9" w:rsidRDefault="00195CD9" w:rsidP="00150A72">
      <w:pPr>
        <w:jc w:val="both"/>
        <w:rPr>
          <w:lang w:bidi="he-IL"/>
        </w:rPr>
      </w:pPr>
    </w:p>
    <w:p w14:paraId="18F51533" w14:textId="1649FD5D" w:rsidR="00195CD9" w:rsidRDefault="00195CD9" w:rsidP="00195CD9">
      <w:pPr>
        <w:jc w:val="both"/>
        <w:rPr>
          <w:color w:val="00B050"/>
        </w:rPr>
      </w:pPr>
      <w:r w:rsidRPr="00062701">
        <w:rPr>
          <w:color w:val="00B050"/>
        </w:rPr>
        <w:t xml:space="preserve">Le SGPI a recommandé de porter le niveau des provisions PAI à 20% </w:t>
      </w:r>
      <w:r>
        <w:rPr>
          <w:color w:val="00B050"/>
        </w:rPr>
        <w:t>d</w:t>
      </w:r>
      <w:r w:rsidR="00720184">
        <w:rPr>
          <w:color w:val="00B050"/>
        </w:rPr>
        <w:t>u</w:t>
      </w:r>
      <w:r>
        <w:rPr>
          <w:color w:val="00B050"/>
        </w:rPr>
        <w:t xml:space="preserve"> coût des infrastructures et des systèmes des lignes 15 Ouest et 15 Est</w:t>
      </w:r>
      <w:r w:rsidR="00720184">
        <w:rPr>
          <w:color w:val="00B050"/>
        </w:rPr>
        <w:t>,</w:t>
      </w:r>
      <w:r>
        <w:rPr>
          <w:color w:val="00B050"/>
        </w:rPr>
        <w:t xml:space="preserve"> </w:t>
      </w:r>
      <w:r w:rsidRPr="00062701">
        <w:rPr>
          <w:color w:val="00B050"/>
        </w:rPr>
        <w:t xml:space="preserve">ce qui représenterait une augmentation de </w:t>
      </w:r>
      <w:r>
        <w:rPr>
          <w:color w:val="00B050"/>
        </w:rPr>
        <w:t xml:space="preserve">830 millions </w:t>
      </w:r>
      <w:r w:rsidRPr="00062701">
        <w:rPr>
          <w:color w:val="00B050"/>
        </w:rPr>
        <w:t xml:space="preserve">des coûts </w:t>
      </w:r>
      <w:r>
        <w:rPr>
          <w:color w:val="00B050"/>
        </w:rPr>
        <w:t>du Grand Paris Express</w:t>
      </w:r>
      <w:r w:rsidRPr="00062701">
        <w:rPr>
          <w:color w:val="00B050"/>
        </w:rPr>
        <w:t xml:space="preserve"> Les provisions figurant dans le présent dossier ont été établies d'une manière rigoureuse, avec des provisions déjà de l’ordre de 20% si on fait le cumul des provisions pour risques identifiés (PRI) et provisions pour aléas et imprévus ; cependant la SGP a repris cette augmentation de 20% des seul</w:t>
      </w:r>
      <w:r>
        <w:rPr>
          <w:color w:val="00B050"/>
        </w:rPr>
        <w:t>e</w:t>
      </w:r>
      <w:r w:rsidRPr="00062701">
        <w:rPr>
          <w:color w:val="00B050"/>
        </w:rPr>
        <w:t xml:space="preserve">s PAI </w:t>
      </w:r>
      <w:r>
        <w:rPr>
          <w:color w:val="00B050"/>
        </w:rPr>
        <w:t xml:space="preserve">des lignes 15 Ouest et 15 Est </w:t>
      </w:r>
      <w:r w:rsidRPr="00062701">
        <w:rPr>
          <w:color w:val="00B050"/>
        </w:rPr>
        <w:t xml:space="preserve">pour les porter à 20% </w:t>
      </w:r>
      <w:r>
        <w:rPr>
          <w:color w:val="00B050"/>
        </w:rPr>
        <w:t>dans une</w:t>
      </w:r>
      <w:r w:rsidRPr="00062701">
        <w:rPr>
          <w:color w:val="00B050"/>
        </w:rPr>
        <w:t xml:space="preserve"> variante </w:t>
      </w:r>
      <w:r>
        <w:rPr>
          <w:color w:val="00B050"/>
        </w:rPr>
        <w:t>présentés ci-dessous.</w:t>
      </w:r>
    </w:p>
    <w:p w14:paraId="29641910" w14:textId="49A21100" w:rsidR="00195CD9" w:rsidRDefault="00195CD9" w:rsidP="00195CD9">
      <w:pPr>
        <w:jc w:val="both"/>
        <w:rPr>
          <w:color w:val="00B050"/>
        </w:rPr>
      </w:pPr>
    </w:p>
    <w:tbl>
      <w:tblPr>
        <w:tblW w:w="7229" w:type="dxa"/>
        <w:tblInd w:w="1413" w:type="dxa"/>
        <w:tblCellMar>
          <w:left w:w="70" w:type="dxa"/>
          <w:right w:w="70" w:type="dxa"/>
        </w:tblCellMar>
        <w:tblLook w:val="04A0" w:firstRow="1" w:lastRow="0" w:firstColumn="1" w:lastColumn="0" w:noHBand="0" w:noVBand="1"/>
      </w:tblPr>
      <w:tblGrid>
        <w:gridCol w:w="4252"/>
        <w:gridCol w:w="1560"/>
        <w:gridCol w:w="1417"/>
      </w:tblGrid>
      <w:tr w:rsidR="00460CC8" w:rsidRPr="00195CD9" w14:paraId="05F5B18B" w14:textId="77777777" w:rsidTr="00460CC8">
        <w:trPr>
          <w:trHeight w:val="20"/>
        </w:trPr>
        <w:tc>
          <w:tcPr>
            <w:tcW w:w="425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1F0CD4" w14:textId="52A7AB69" w:rsidR="00460CC8" w:rsidRPr="00195CD9" w:rsidRDefault="00460CC8" w:rsidP="00195CD9">
            <w:pPr>
              <w:jc w:val="both"/>
              <w:rPr>
                <w:rFonts w:eastAsia="Times New Roman" w:cs="Calibri"/>
                <w:color w:val="931638"/>
                <w:szCs w:val="20"/>
                <w:lang w:eastAsia="fr-FR"/>
              </w:rPr>
            </w:pPr>
            <w:r>
              <w:rPr>
                <w:rFonts w:eastAsia="Times New Roman" w:cs="Calibri"/>
                <w:color w:val="931638"/>
                <w:szCs w:val="20"/>
                <w:lang w:eastAsia="fr-FR"/>
              </w:rPr>
              <w:t>Milliards d’euros 2015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0BBEC15" w14:textId="6C512D3A" w:rsidR="00460CC8" w:rsidRPr="00195CD9" w:rsidRDefault="00460CC8" w:rsidP="00460CC8">
            <w:pPr>
              <w:jc w:val="center"/>
              <w:rPr>
                <w:rFonts w:eastAsia="Times New Roman" w:cs="Calibri"/>
                <w:color w:val="000000"/>
                <w:szCs w:val="20"/>
                <w:lang w:eastAsia="fr-FR"/>
              </w:rPr>
            </w:pPr>
            <w:r w:rsidRPr="00195CD9">
              <w:rPr>
                <w:rFonts w:eastAsia="Times New Roman" w:cs="Calibri"/>
                <w:i/>
                <w:iCs/>
                <w:color w:val="000000"/>
                <w:szCs w:val="20"/>
                <w:lang w:eastAsia="fr-FR"/>
              </w:rPr>
              <w:t>sans COFP</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83C221F" w14:textId="70B76B88" w:rsidR="00460CC8" w:rsidRPr="00195CD9" w:rsidRDefault="00460CC8" w:rsidP="00460CC8">
            <w:pPr>
              <w:jc w:val="center"/>
              <w:rPr>
                <w:rFonts w:eastAsia="Times New Roman" w:cs="Calibri"/>
                <w:color w:val="000000"/>
                <w:szCs w:val="20"/>
                <w:lang w:eastAsia="fr-FR"/>
              </w:rPr>
            </w:pPr>
            <w:r w:rsidRPr="00195CD9">
              <w:rPr>
                <w:rFonts w:eastAsia="Times New Roman" w:cs="Calibri"/>
                <w:i/>
                <w:iCs/>
                <w:color w:val="000000"/>
                <w:szCs w:val="20"/>
                <w:lang w:eastAsia="fr-FR"/>
              </w:rPr>
              <w:t>avec COFP</w:t>
            </w:r>
          </w:p>
        </w:tc>
      </w:tr>
      <w:tr w:rsidR="00460CC8" w:rsidRPr="00195CD9" w14:paraId="123EAB03" w14:textId="77777777" w:rsidTr="00460CC8">
        <w:trPr>
          <w:trHeight w:val="20"/>
        </w:trPr>
        <w:tc>
          <w:tcPr>
            <w:tcW w:w="42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14DD3" w14:textId="77777777" w:rsidR="00460CC8" w:rsidRPr="00195CD9" w:rsidRDefault="00460CC8" w:rsidP="00195CD9">
            <w:pPr>
              <w:jc w:val="both"/>
              <w:rPr>
                <w:rFonts w:eastAsia="Times New Roman" w:cs="Calibri"/>
                <w:color w:val="931638"/>
                <w:szCs w:val="20"/>
                <w:lang w:eastAsia="fr-FR"/>
              </w:rPr>
            </w:pPr>
            <w:r w:rsidRPr="00195CD9">
              <w:rPr>
                <w:rFonts w:eastAsia="Times New Roman" w:cs="Calibri"/>
                <w:color w:val="931638"/>
                <w:szCs w:val="20"/>
                <w:lang w:eastAsia="fr-FR"/>
              </w:rPr>
              <w:t xml:space="preserve">Avantages </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384973" w14:textId="4E88CA66" w:rsidR="00460CC8" w:rsidRPr="00195CD9" w:rsidRDefault="00460CC8" w:rsidP="00460CC8">
            <w:pPr>
              <w:jc w:val="center"/>
              <w:rPr>
                <w:rFonts w:eastAsia="Times New Roman" w:cs="Calibri"/>
                <w:color w:val="00B050"/>
                <w:szCs w:val="20"/>
                <w:lang w:eastAsia="fr-FR"/>
              </w:rPr>
            </w:pPr>
            <w:r w:rsidRPr="00195CD9">
              <w:rPr>
                <w:rFonts w:eastAsia="Times New Roman" w:cs="Calibri"/>
                <w:color w:val="00B050"/>
                <w:szCs w:val="20"/>
                <w:lang w:eastAsia="fr-FR"/>
              </w:rPr>
              <w:t>69,</w:t>
            </w:r>
            <w:r w:rsidR="006859A0">
              <w:rPr>
                <w:rFonts w:eastAsia="Times New Roman" w:cs="Calibri"/>
                <w:color w:val="00B050"/>
                <w:szCs w:val="20"/>
                <w:lang w:eastAsia="fr-FR"/>
              </w:rPr>
              <w:t>37</w:t>
            </w:r>
          </w:p>
        </w:tc>
      </w:tr>
      <w:tr w:rsidR="00195CD9" w:rsidRPr="00195CD9" w14:paraId="573E3C7A" w14:textId="77777777" w:rsidTr="00460CC8">
        <w:trPr>
          <w:trHeight w:val="20"/>
        </w:trPr>
        <w:tc>
          <w:tcPr>
            <w:tcW w:w="42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349EA" w14:textId="77777777" w:rsidR="00195CD9" w:rsidRPr="00195CD9" w:rsidRDefault="00195CD9" w:rsidP="00195CD9">
            <w:pPr>
              <w:jc w:val="both"/>
              <w:rPr>
                <w:rFonts w:eastAsia="Times New Roman" w:cs="Calibri"/>
                <w:color w:val="931638"/>
                <w:szCs w:val="20"/>
                <w:lang w:eastAsia="fr-FR"/>
              </w:rPr>
            </w:pPr>
            <w:r w:rsidRPr="00195CD9">
              <w:rPr>
                <w:rFonts w:eastAsia="Times New Roman" w:cs="Calibri"/>
                <w:color w:val="931638"/>
                <w:szCs w:val="20"/>
                <w:lang w:eastAsia="fr-FR"/>
              </w:rPr>
              <w:t>Divers (voirie et taxes sur essence)</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755DA" w14:textId="77777777" w:rsidR="00195CD9" w:rsidRPr="00195CD9" w:rsidRDefault="00195CD9" w:rsidP="00195CD9">
            <w:pPr>
              <w:jc w:val="center"/>
              <w:rPr>
                <w:rFonts w:eastAsia="Times New Roman" w:cs="Calibri"/>
                <w:color w:val="00B050"/>
                <w:szCs w:val="20"/>
                <w:lang w:eastAsia="fr-FR"/>
              </w:rPr>
            </w:pPr>
            <w:r w:rsidRPr="00195CD9">
              <w:rPr>
                <w:rFonts w:eastAsia="Times New Roman" w:cs="Calibri"/>
                <w:color w:val="00B050"/>
                <w:szCs w:val="20"/>
                <w:lang w:eastAsia="fr-FR"/>
              </w:rPr>
              <w:t>-0,06</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53662" w14:textId="77777777" w:rsidR="00195CD9" w:rsidRPr="00195CD9" w:rsidRDefault="00195CD9" w:rsidP="00195CD9">
            <w:pPr>
              <w:jc w:val="center"/>
              <w:rPr>
                <w:rFonts w:eastAsia="Times New Roman" w:cs="Calibri"/>
                <w:color w:val="00B050"/>
                <w:szCs w:val="20"/>
                <w:lang w:eastAsia="fr-FR"/>
              </w:rPr>
            </w:pPr>
            <w:r w:rsidRPr="00195CD9">
              <w:rPr>
                <w:rFonts w:eastAsia="Times New Roman" w:cs="Calibri"/>
                <w:color w:val="00B050"/>
                <w:szCs w:val="20"/>
                <w:lang w:eastAsia="fr-FR"/>
              </w:rPr>
              <w:t>-0,08</w:t>
            </w:r>
          </w:p>
        </w:tc>
      </w:tr>
      <w:tr w:rsidR="00195CD9" w:rsidRPr="00195CD9" w14:paraId="36DD8F6C" w14:textId="77777777" w:rsidTr="00460CC8">
        <w:trPr>
          <w:trHeight w:val="20"/>
        </w:trPr>
        <w:tc>
          <w:tcPr>
            <w:tcW w:w="42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300E5" w14:textId="77777777" w:rsidR="00195CD9" w:rsidRPr="00195CD9" w:rsidRDefault="00195CD9" w:rsidP="00195CD9">
            <w:pPr>
              <w:jc w:val="both"/>
              <w:rPr>
                <w:rFonts w:eastAsia="Times New Roman" w:cs="Calibri"/>
                <w:color w:val="931638"/>
                <w:szCs w:val="20"/>
                <w:lang w:eastAsia="fr-FR"/>
              </w:rPr>
            </w:pPr>
            <w:r w:rsidRPr="00195CD9">
              <w:rPr>
                <w:rFonts w:eastAsia="Times New Roman" w:cs="Calibri"/>
                <w:color w:val="931638"/>
                <w:szCs w:val="20"/>
                <w:lang w:eastAsia="fr-FR"/>
              </w:rPr>
              <w:t xml:space="preserve">Coûts d’exploitation et d’investissement </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60C3C" w14:textId="77777777" w:rsidR="00195CD9" w:rsidRPr="00195CD9" w:rsidRDefault="00195CD9" w:rsidP="00195CD9">
            <w:pPr>
              <w:jc w:val="center"/>
              <w:rPr>
                <w:rFonts w:eastAsia="Times New Roman" w:cs="Calibri"/>
                <w:color w:val="00B050"/>
                <w:szCs w:val="20"/>
                <w:lang w:eastAsia="fr-FR"/>
              </w:rPr>
            </w:pPr>
            <w:r w:rsidRPr="00195CD9">
              <w:rPr>
                <w:rFonts w:eastAsia="Times New Roman" w:cs="Calibri"/>
                <w:color w:val="00B050"/>
                <w:szCs w:val="20"/>
                <w:lang w:eastAsia="fr-FR"/>
              </w:rPr>
              <w:t>-34,83</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038BB" w14:textId="77777777" w:rsidR="00195CD9" w:rsidRPr="00195CD9" w:rsidRDefault="00195CD9" w:rsidP="00195CD9">
            <w:pPr>
              <w:jc w:val="center"/>
              <w:rPr>
                <w:rFonts w:eastAsia="Times New Roman" w:cs="Calibri"/>
                <w:color w:val="00B050"/>
                <w:szCs w:val="20"/>
                <w:lang w:eastAsia="fr-FR"/>
              </w:rPr>
            </w:pPr>
            <w:r w:rsidRPr="00195CD9">
              <w:rPr>
                <w:rFonts w:eastAsia="Times New Roman" w:cs="Calibri"/>
                <w:color w:val="00B050"/>
                <w:szCs w:val="20"/>
                <w:lang w:eastAsia="fr-FR"/>
              </w:rPr>
              <w:t>-44,23</w:t>
            </w:r>
          </w:p>
        </w:tc>
      </w:tr>
      <w:tr w:rsidR="00195CD9" w:rsidRPr="00195CD9" w14:paraId="0E840F71" w14:textId="77777777" w:rsidTr="00460CC8">
        <w:trPr>
          <w:trHeight w:val="20"/>
        </w:trPr>
        <w:tc>
          <w:tcPr>
            <w:tcW w:w="42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3E392" w14:textId="77777777" w:rsidR="00195CD9" w:rsidRPr="00195CD9" w:rsidRDefault="00195CD9" w:rsidP="00195CD9">
            <w:pPr>
              <w:jc w:val="both"/>
              <w:rPr>
                <w:rFonts w:eastAsia="Times New Roman" w:cs="Calibri"/>
                <w:b/>
                <w:bCs/>
                <w:i/>
                <w:iCs/>
                <w:color w:val="931638"/>
                <w:szCs w:val="20"/>
                <w:lang w:eastAsia="fr-FR"/>
              </w:rPr>
            </w:pPr>
            <w:r w:rsidRPr="00195CD9">
              <w:rPr>
                <w:rFonts w:eastAsia="Times New Roman" w:cs="Calibri"/>
                <w:b/>
                <w:bCs/>
                <w:i/>
                <w:iCs/>
                <w:color w:val="931638"/>
                <w:szCs w:val="20"/>
                <w:lang w:eastAsia="fr-FR"/>
              </w:rPr>
              <w:t>VAN</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CE40DE" w14:textId="145B116D" w:rsidR="00195CD9" w:rsidRPr="00195CD9" w:rsidRDefault="00195CD9" w:rsidP="00195CD9">
            <w:pPr>
              <w:jc w:val="center"/>
              <w:rPr>
                <w:rFonts w:eastAsia="Times New Roman" w:cs="Calibri"/>
                <w:b/>
                <w:bCs/>
                <w:color w:val="00B050"/>
                <w:szCs w:val="20"/>
                <w:lang w:eastAsia="fr-FR"/>
              </w:rPr>
            </w:pPr>
            <w:r w:rsidRPr="00195CD9">
              <w:rPr>
                <w:rFonts w:eastAsia="Times New Roman" w:cs="Calibri"/>
                <w:b/>
                <w:bCs/>
                <w:color w:val="00B050"/>
                <w:szCs w:val="20"/>
                <w:lang w:eastAsia="fr-FR"/>
              </w:rPr>
              <w:t>34,</w:t>
            </w:r>
            <w:r w:rsidR="006B3C49">
              <w:rPr>
                <w:rFonts w:eastAsia="Times New Roman" w:cs="Calibri"/>
                <w:b/>
                <w:bCs/>
                <w:color w:val="00B050"/>
                <w:szCs w:val="20"/>
                <w:lang w:eastAsia="fr-FR"/>
              </w:rPr>
              <w:t>48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9B3C9E" w14:textId="0CA5C04E" w:rsidR="00195CD9" w:rsidRPr="00195CD9" w:rsidRDefault="00195CD9" w:rsidP="00195CD9">
            <w:pPr>
              <w:jc w:val="center"/>
              <w:rPr>
                <w:rFonts w:eastAsia="Times New Roman" w:cs="Calibri"/>
                <w:b/>
                <w:bCs/>
                <w:color w:val="00B050"/>
                <w:szCs w:val="20"/>
                <w:lang w:eastAsia="fr-FR"/>
              </w:rPr>
            </w:pPr>
            <w:r w:rsidRPr="00195CD9">
              <w:rPr>
                <w:rFonts w:eastAsia="Times New Roman" w:cs="Calibri"/>
                <w:b/>
                <w:bCs/>
                <w:color w:val="00B050"/>
                <w:szCs w:val="20"/>
                <w:lang w:eastAsia="fr-FR"/>
              </w:rPr>
              <w:t>25,</w:t>
            </w:r>
            <w:r w:rsidR="006B3C49">
              <w:rPr>
                <w:rFonts w:eastAsia="Times New Roman" w:cs="Calibri"/>
                <w:b/>
                <w:bCs/>
                <w:color w:val="00B050"/>
                <w:szCs w:val="20"/>
                <w:lang w:eastAsia="fr-FR"/>
              </w:rPr>
              <w:t>06</w:t>
            </w:r>
          </w:p>
        </w:tc>
      </w:tr>
      <w:tr w:rsidR="00195CD9" w:rsidRPr="00195CD9" w14:paraId="38F3792E" w14:textId="77777777" w:rsidTr="00460CC8">
        <w:trPr>
          <w:trHeight w:val="20"/>
        </w:trPr>
        <w:tc>
          <w:tcPr>
            <w:tcW w:w="42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12063" w14:textId="77777777" w:rsidR="00195CD9" w:rsidRPr="00195CD9" w:rsidRDefault="00195CD9" w:rsidP="00195CD9">
            <w:pPr>
              <w:jc w:val="both"/>
              <w:rPr>
                <w:rFonts w:eastAsia="Times New Roman" w:cs="Calibri"/>
                <w:color w:val="931638"/>
                <w:szCs w:val="20"/>
                <w:lang w:eastAsia="fr-FR"/>
              </w:rPr>
            </w:pPr>
            <w:r w:rsidRPr="00195CD9">
              <w:rPr>
                <w:rFonts w:eastAsia="Times New Roman" w:cs="Calibri"/>
                <w:color w:val="931638"/>
                <w:szCs w:val="20"/>
                <w:lang w:eastAsia="fr-FR"/>
              </w:rPr>
              <w:t>VAN / euro investi</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547AF6" w14:textId="77777777" w:rsidR="00195CD9" w:rsidRPr="00195CD9" w:rsidRDefault="00195CD9" w:rsidP="00195CD9">
            <w:pPr>
              <w:jc w:val="center"/>
              <w:rPr>
                <w:rFonts w:eastAsia="Times New Roman" w:cs="Calibri"/>
                <w:color w:val="00B050"/>
                <w:szCs w:val="20"/>
                <w:lang w:eastAsia="fr-FR"/>
              </w:rPr>
            </w:pPr>
            <w:r w:rsidRPr="00195CD9">
              <w:rPr>
                <w:rFonts w:eastAsia="Times New Roman" w:cs="Calibri"/>
                <w:color w:val="00B050"/>
                <w:szCs w:val="20"/>
                <w:lang w:eastAsia="fr-FR"/>
              </w:rPr>
              <w:t>1,21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E1918" w14:textId="77777777" w:rsidR="00195CD9" w:rsidRPr="00195CD9" w:rsidRDefault="00195CD9" w:rsidP="00195CD9">
            <w:pPr>
              <w:jc w:val="center"/>
              <w:rPr>
                <w:rFonts w:eastAsia="Times New Roman" w:cs="Calibri"/>
                <w:color w:val="00B050"/>
                <w:szCs w:val="20"/>
                <w:lang w:eastAsia="fr-FR"/>
              </w:rPr>
            </w:pPr>
            <w:r w:rsidRPr="00195CD9">
              <w:rPr>
                <w:rFonts w:eastAsia="Times New Roman" w:cs="Calibri"/>
                <w:color w:val="00B050"/>
                <w:szCs w:val="20"/>
                <w:lang w:eastAsia="fr-FR"/>
              </w:rPr>
              <w:t>0,69</w:t>
            </w:r>
          </w:p>
        </w:tc>
      </w:tr>
      <w:tr w:rsidR="00195CD9" w:rsidRPr="00195CD9" w14:paraId="402E3D9B" w14:textId="77777777" w:rsidTr="00460CC8">
        <w:trPr>
          <w:trHeight w:val="20"/>
        </w:trPr>
        <w:tc>
          <w:tcPr>
            <w:tcW w:w="42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683" w14:textId="77777777" w:rsidR="00195CD9" w:rsidRPr="00195CD9" w:rsidRDefault="00195CD9" w:rsidP="00195CD9">
            <w:pPr>
              <w:jc w:val="both"/>
              <w:rPr>
                <w:rFonts w:eastAsia="Times New Roman" w:cs="Calibri"/>
                <w:color w:val="931638"/>
                <w:szCs w:val="20"/>
                <w:lang w:eastAsia="fr-FR"/>
              </w:rPr>
            </w:pPr>
            <w:r w:rsidRPr="00195CD9">
              <w:rPr>
                <w:rFonts w:eastAsia="Times New Roman" w:cs="Calibri"/>
                <w:color w:val="931638"/>
                <w:szCs w:val="20"/>
                <w:lang w:eastAsia="fr-FR"/>
              </w:rPr>
              <w:t>VAN / euro dépensé</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CD066" w14:textId="77777777" w:rsidR="00195CD9" w:rsidRPr="00195CD9" w:rsidRDefault="00195CD9" w:rsidP="00195CD9">
            <w:pPr>
              <w:jc w:val="center"/>
              <w:rPr>
                <w:rFonts w:eastAsia="Times New Roman" w:cs="Calibri"/>
                <w:color w:val="00B050"/>
                <w:szCs w:val="20"/>
                <w:lang w:eastAsia="fr-FR"/>
              </w:rPr>
            </w:pPr>
            <w:r w:rsidRPr="00195CD9">
              <w:rPr>
                <w:rFonts w:eastAsia="Times New Roman" w:cs="Calibri"/>
                <w:color w:val="00B050"/>
                <w:szCs w:val="20"/>
                <w:lang w:eastAsia="fr-FR"/>
              </w:rPr>
              <w:t>0,99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A3A69B" w14:textId="77777777" w:rsidR="00195CD9" w:rsidRPr="00195CD9" w:rsidRDefault="00195CD9" w:rsidP="00195CD9">
            <w:pPr>
              <w:jc w:val="center"/>
              <w:rPr>
                <w:rFonts w:eastAsia="Times New Roman" w:cs="Calibri"/>
                <w:color w:val="00B050"/>
                <w:szCs w:val="20"/>
                <w:lang w:eastAsia="fr-FR"/>
              </w:rPr>
            </w:pPr>
            <w:r w:rsidRPr="00195CD9">
              <w:rPr>
                <w:rFonts w:eastAsia="Times New Roman" w:cs="Calibri"/>
                <w:color w:val="00B050"/>
                <w:szCs w:val="20"/>
                <w:lang w:eastAsia="fr-FR"/>
              </w:rPr>
              <w:t>0,57</w:t>
            </w:r>
          </w:p>
        </w:tc>
      </w:tr>
    </w:tbl>
    <w:p w14:paraId="69730F14" w14:textId="77777777" w:rsidR="00195CD9" w:rsidRDefault="00195CD9" w:rsidP="00195CD9">
      <w:pPr>
        <w:jc w:val="both"/>
        <w:rPr>
          <w:color w:val="00B050"/>
        </w:rPr>
      </w:pPr>
    </w:p>
    <w:p w14:paraId="3FF6BDC3" w14:textId="77777777" w:rsidR="00195CD9" w:rsidRDefault="00195CD9" w:rsidP="00195CD9">
      <w:pPr>
        <w:jc w:val="both"/>
        <w:rPr>
          <w:color w:val="00B050"/>
        </w:rPr>
      </w:pPr>
    </w:p>
    <w:p w14:paraId="4586EF75" w14:textId="38D3F443" w:rsidR="008F1819" w:rsidRPr="004E6F4A" w:rsidRDefault="00195CD9" w:rsidP="00150A72">
      <w:pPr>
        <w:jc w:val="both"/>
        <w:rPr>
          <w:b/>
          <w:bCs/>
          <w:color w:val="00B050"/>
        </w:rPr>
      </w:pPr>
      <w:r w:rsidRPr="00460CC8">
        <w:rPr>
          <w:b/>
          <w:bCs/>
          <w:color w:val="00B050"/>
        </w:rPr>
        <w:t>On peut constater que la rentabilité du projet ne serait pas significativement altérée par cette augmentation des provisions.</w:t>
      </w:r>
    </w:p>
    <w:p w14:paraId="04641C0C" w14:textId="3C76AF24" w:rsidR="00CB0FCE" w:rsidRDefault="00064701" w:rsidP="00CB0FCE">
      <w:pPr>
        <w:pStyle w:val="Titre3"/>
        <w:numPr>
          <w:ilvl w:val="3"/>
          <w:numId w:val="33"/>
        </w:numPr>
        <w:rPr>
          <w:color w:val="00B050"/>
        </w:rPr>
      </w:pPr>
      <w:bookmarkStart w:id="149" w:name="_Toc63352152"/>
      <w:bookmarkStart w:id="150" w:name="_Toc46917081"/>
      <w:r w:rsidRPr="00304C03">
        <w:rPr>
          <w:color w:val="00B050"/>
        </w:rPr>
        <w:t>Les perspectives « post COVID »</w:t>
      </w:r>
      <w:bookmarkEnd w:id="149"/>
    </w:p>
    <w:p w14:paraId="3029D5F7" w14:textId="50022F0F" w:rsidR="000B0C44" w:rsidRDefault="000B0C44" w:rsidP="000B0C44"/>
    <w:p w14:paraId="68F1E4AA" w14:textId="73BF81D8" w:rsidR="009A6E9B" w:rsidRPr="009A6E9B" w:rsidRDefault="009A6E9B" w:rsidP="009A6E9B">
      <w:pPr>
        <w:jc w:val="both"/>
        <w:rPr>
          <w:color w:val="00B050"/>
        </w:rPr>
      </w:pPr>
      <w:r w:rsidRPr="009A6E9B">
        <w:rPr>
          <w:color w:val="00B050"/>
        </w:rPr>
        <w:t xml:space="preserve">La crise sanitaire </w:t>
      </w:r>
      <w:r>
        <w:rPr>
          <w:color w:val="00B050"/>
        </w:rPr>
        <w:t xml:space="preserve">a été accompagnée </w:t>
      </w:r>
      <w:r w:rsidR="008F1819">
        <w:rPr>
          <w:color w:val="00B050"/>
        </w:rPr>
        <w:t xml:space="preserve">jusqu’à présent </w:t>
      </w:r>
      <w:r>
        <w:rPr>
          <w:color w:val="00B050"/>
        </w:rPr>
        <w:t xml:space="preserve">de fortes modifications de comportement, dans tous les domaines, pratiques commerciales, mobilités (niveaux des déplacements, choix de modes, étalement des heures de pointe, travail, localisation résidentielle). Toutes ces modifications sont susceptibles d’avoir une incidence sur les éléments qui fondent l’analyse de l’impact économique, social et urbain du Grand Paris Express. </w:t>
      </w:r>
      <w:r w:rsidR="00720184" w:rsidRPr="009A6E9B">
        <w:rPr>
          <w:color w:val="00B050"/>
        </w:rPr>
        <w:t>La</w:t>
      </w:r>
      <w:r w:rsidRPr="009A6E9B">
        <w:rPr>
          <w:color w:val="00B050"/>
        </w:rPr>
        <w:t xml:space="preserve"> SGP a </w:t>
      </w:r>
      <w:r>
        <w:rPr>
          <w:color w:val="00B050"/>
        </w:rPr>
        <w:t xml:space="preserve">donc </w:t>
      </w:r>
      <w:r w:rsidRPr="009A6E9B">
        <w:rPr>
          <w:color w:val="00B050"/>
        </w:rPr>
        <w:t xml:space="preserve">inscrit dès septembre 2020 à son programme de travail la question de l’impact du COVID sur les comportements des agents économiques et sur l’appréciation de l’utilité du Grand Paris Express. </w:t>
      </w:r>
      <w:r w:rsidR="008F1819">
        <w:rPr>
          <w:color w:val="00B050"/>
        </w:rPr>
        <w:t>Ont donc été lancées</w:t>
      </w:r>
      <w:r>
        <w:rPr>
          <w:color w:val="00B050"/>
        </w:rPr>
        <w:t xml:space="preserve"> de la manière la plus </w:t>
      </w:r>
      <w:r w:rsidRPr="009A6E9B">
        <w:rPr>
          <w:color w:val="00B050"/>
        </w:rPr>
        <w:t xml:space="preserve">approfondie des études prospectives sur les choix de localisation résidentielle des ménages, leurs préférences en </w:t>
      </w:r>
      <w:r w:rsidRPr="009A6E9B">
        <w:rPr>
          <w:color w:val="00B050"/>
        </w:rPr>
        <w:lastRenderedPageBreak/>
        <w:t xml:space="preserve">matière de mobilité, les nouveaux modes de travail et notamment le développement du télétravail, et également son incidence sur la localisation des activités. </w:t>
      </w:r>
    </w:p>
    <w:p w14:paraId="22DE486B" w14:textId="77777777" w:rsidR="009A6E9B" w:rsidRPr="009A6E9B" w:rsidRDefault="009A6E9B" w:rsidP="009A6E9B">
      <w:pPr>
        <w:jc w:val="both"/>
        <w:rPr>
          <w:color w:val="00B050"/>
        </w:rPr>
      </w:pPr>
    </w:p>
    <w:p w14:paraId="448CF19C" w14:textId="5E5E2F12" w:rsidR="009A6E9B" w:rsidRPr="009A6E9B" w:rsidRDefault="009A6E9B" w:rsidP="009A6E9B">
      <w:pPr>
        <w:jc w:val="both"/>
        <w:rPr>
          <w:color w:val="00B050"/>
        </w:rPr>
      </w:pPr>
      <w:r w:rsidRPr="009A6E9B">
        <w:rPr>
          <w:color w:val="00B050"/>
        </w:rPr>
        <w:t xml:space="preserve">Dans un premier temps, </w:t>
      </w:r>
      <w:r w:rsidR="008F1819">
        <w:rPr>
          <w:color w:val="00B050"/>
        </w:rPr>
        <w:t>a été</w:t>
      </w:r>
      <w:r w:rsidRPr="009A6E9B">
        <w:rPr>
          <w:color w:val="00B050"/>
        </w:rPr>
        <w:t xml:space="preserve"> effectuée une double revue de littérature aussi bien scientifique qu’émanant des grands opérateurs de transport dans le monde</w:t>
      </w:r>
      <w:r>
        <w:rPr>
          <w:color w:val="00B050"/>
        </w:rPr>
        <w:t>, dont on trouvera un résumé en encadré</w:t>
      </w:r>
      <w:r w:rsidR="00742651">
        <w:rPr>
          <w:color w:val="00B050"/>
        </w:rPr>
        <w:t xml:space="preserve"> plus bas sous la signature de leurs auteurs, le professeur André de Palma et </w:t>
      </w:r>
      <w:r w:rsidR="00742651" w:rsidRPr="00742651">
        <w:rPr>
          <w:color w:val="00B050"/>
        </w:rPr>
        <w:t>Shaghayegh Vosough</w:t>
      </w:r>
      <w:r>
        <w:rPr>
          <w:color w:val="00B050"/>
        </w:rPr>
        <w:t xml:space="preserve">. </w:t>
      </w:r>
    </w:p>
    <w:p w14:paraId="6E1DC51C" w14:textId="77777777" w:rsidR="009A6E9B" w:rsidRPr="009A6E9B" w:rsidRDefault="009A6E9B" w:rsidP="009A6E9B">
      <w:pPr>
        <w:jc w:val="both"/>
        <w:rPr>
          <w:color w:val="00B050"/>
        </w:rPr>
      </w:pPr>
    </w:p>
    <w:p w14:paraId="7949BD1D" w14:textId="07269DCE" w:rsidR="00742651" w:rsidRDefault="00B71BAF" w:rsidP="00B71BAF">
      <w:pPr>
        <w:jc w:val="both"/>
        <w:rPr>
          <w:color w:val="00B050"/>
        </w:rPr>
      </w:pPr>
      <w:r w:rsidRPr="00B71BAF">
        <w:rPr>
          <w:color w:val="00B050"/>
        </w:rPr>
        <w:t>Des premières simulations de trafic</w:t>
      </w:r>
      <w:r w:rsidR="00BD292F">
        <w:rPr>
          <w:color w:val="00B050"/>
        </w:rPr>
        <w:t>, donc évolutives,</w:t>
      </w:r>
      <w:r w:rsidRPr="00B71BAF">
        <w:rPr>
          <w:color w:val="00B050"/>
        </w:rPr>
        <w:t xml:space="preserve"> </w:t>
      </w:r>
      <w:r w:rsidR="00314959" w:rsidRPr="00B71BAF">
        <w:rPr>
          <w:color w:val="00B050"/>
        </w:rPr>
        <w:t>ont été réalisés par la DRIEA en avril 2021</w:t>
      </w:r>
      <w:r w:rsidR="00742651">
        <w:rPr>
          <w:color w:val="00B050"/>
        </w:rPr>
        <w:t xml:space="preserve"> </w:t>
      </w:r>
      <w:r w:rsidRPr="00B71BAF">
        <w:rPr>
          <w:color w:val="00B050"/>
        </w:rPr>
        <w:t xml:space="preserve">sur </w:t>
      </w:r>
      <w:r w:rsidR="00314959">
        <w:rPr>
          <w:color w:val="00B050"/>
        </w:rPr>
        <w:t xml:space="preserve">la base des hypothèses de comportement </w:t>
      </w:r>
      <w:r w:rsidR="00742651">
        <w:rPr>
          <w:color w:val="00B050"/>
        </w:rPr>
        <w:t>figurant dans le tableau suivant</w:t>
      </w:r>
      <w:r w:rsidR="00314959">
        <w:rPr>
          <w:color w:val="00B050"/>
        </w:rPr>
        <w:t xml:space="preserve"> : </w:t>
      </w:r>
    </w:p>
    <w:p w14:paraId="32DA7710" w14:textId="77777777" w:rsidR="00742651" w:rsidRDefault="00742651" w:rsidP="00B71BAF">
      <w:pPr>
        <w:jc w:val="both"/>
        <w:rPr>
          <w:color w:val="00B050"/>
        </w:rPr>
      </w:pPr>
    </w:p>
    <w:tbl>
      <w:tblPr>
        <w:tblStyle w:val="Grilledutableau"/>
        <w:tblW w:w="0" w:type="auto"/>
        <w:tblLook w:val="04A0" w:firstRow="1" w:lastRow="0" w:firstColumn="1" w:lastColumn="0" w:noHBand="0" w:noVBand="1"/>
      </w:tblPr>
      <w:tblGrid>
        <w:gridCol w:w="10127"/>
      </w:tblGrid>
      <w:tr w:rsidR="00742651" w14:paraId="1542A5FD" w14:textId="77777777" w:rsidTr="00742651">
        <w:trPr>
          <w:trHeight w:val="9581"/>
        </w:trPr>
        <w:tc>
          <w:tcPr>
            <w:tcW w:w="10127" w:type="dxa"/>
          </w:tcPr>
          <w:p w14:paraId="686C6AE3" w14:textId="77777777" w:rsidR="00742651" w:rsidRPr="00947F81" w:rsidRDefault="00742651" w:rsidP="00742651">
            <w:pPr>
              <w:pStyle w:val="Standard"/>
              <w:jc w:val="both"/>
              <w:rPr>
                <w:rFonts w:ascii="Verdana" w:hAnsi="Verdana"/>
                <w:b/>
                <w:bCs/>
                <w:color w:val="00B050"/>
                <w:sz w:val="20"/>
                <w:szCs w:val="20"/>
              </w:rPr>
            </w:pPr>
            <w:r w:rsidRPr="00947F81">
              <w:rPr>
                <w:rFonts w:ascii="Verdana" w:hAnsi="Verdana"/>
                <w:b/>
                <w:bCs/>
                <w:color w:val="00B050"/>
                <w:sz w:val="20"/>
                <w:szCs w:val="20"/>
              </w:rPr>
              <w:t>Scénarisation post-COVID à l’horizon 2030 dans MODUS-3</w:t>
            </w:r>
          </w:p>
          <w:p w14:paraId="224D68B3" w14:textId="310C7218" w:rsidR="00742651" w:rsidRPr="00947F81" w:rsidRDefault="00742651" w:rsidP="00742651">
            <w:pPr>
              <w:jc w:val="both"/>
              <w:rPr>
                <w:color w:val="00B050"/>
                <w:szCs w:val="20"/>
              </w:rPr>
            </w:pPr>
            <w:r w:rsidRPr="00947F81">
              <w:rPr>
                <w:color w:val="00B050"/>
                <w:szCs w:val="20"/>
              </w:rPr>
              <w:t>Le modèle de déplacement MODUS</w:t>
            </w:r>
            <w:r>
              <w:rPr>
                <w:color w:val="00B050"/>
                <w:szCs w:val="20"/>
              </w:rPr>
              <w:t>-</w:t>
            </w:r>
            <w:r w:rsidRPr="00947F81">
              <w:rPr>
                <w:color w:val="00B050"/>
                <w:szCs w:val="20"/>
              </w:rPr>
              <w:t>3 est calé sur l’EGT2010. Sous l’effet de la crise sanitaire, les comportements à l’égard du télétravail et de l’usage du vélo ont fortement évolué par rapport à cet EGT. Des ajustements sur la demande sont été réalisés pour intégrer la pérennisation de ces changements de comportements dans le scénario 2030.</w:t>
            </w:r>
          </w:p>
          <w:p w14:paraId="0EB65387" w14:textId="77777777" w:rsidR="00742651" w:rsidRPr="00947F81" w:rsidRDefault="00742651" w:rsidP="00742651">
            <w:pPr>
              <w:pStyle w:val="Default"/>
              <w:jc w:val="both"/>
              <w:rPr>
                <w:rFonts w:ascii="Verdana" w:hAnsi="Verdana"/>
                <w:color w:val="00B050"/>
                <w:sz w:val="20"/>
                <w:szCs w:val="20"/>
              </w:rPr>
            </w:pPr>
            <w:r w:rsidRPr="00947F81">
              <w:rPr>
                <w:rFonts w:ascii="Verdana" w:hAnsi="Verdana"/>
                <w:b/>
                <w:bCs/>
                <w:color w:val="00B050"/>
                <w:sz w:val="20"/>
                <w:szCs w:val="20"/>
              </w:rPr>
              <w:t xml:space="preserve">Pour le télétravail </w:t>
            </w:r>
          </w:p>
          <w:p w14:paraId="6E9A23D5" w14:textId="09EA9D6A" w:rsidR="00742651" w:rsidRPr="00947F81" w:rsidRDefault="00742651" w:rsidP="00742651">
            <w:pPr>
              <w:jc w:val="both"/>
              <w:rPr>
                <w:color w:val="00B050"/>
                <w:szCs w:val="20"/>
                <w:highlight w:val="yellow"/>
              </w:rPr>
            </w:pPr>
            <w:r w:rsidRPr="00947F81">
              <w:rPr>
                <w:color w:val="00B050"/>
                <w:szCs w:val="20"/>
              </w:rPr>
              <w:t xml:space="preserve">Le modèle de génération de MODUS 3 est ajusté pour tenir compte forfaitairement d’un recours accru au télétravail. Les emplois </w:t>
            </w:r>
            <w:r>
              <w:rPr>
                <w:color w:val="00B050"/>
                <w:szCs w:val="20"/>
              </w:rPr>
              <w:t>« </w:t>
            </w:r>
            <w:r w:rsidRPr="00947F81">
              <w:rPr>
                <w:color w:val="00B050"/>
                <w:szCs w:val="20"/>
              </w:rPr>
              <w:t>télétravaillables</w:t>
            </w:r>
            <w:r>
              <w:rPr>
                <w:color w:val="00B050"/>
                <w:szCs w:val="20"/>
              </w:rPr>
              <w:t> »</w:t>
            </w:r>
            <w:r w:rsidRPr="00947F81">
              <w:rPr>
                <w:color w:val="00B050"/>
                <w:szCs w:val="20"/>
              </w:rPr>
              <w:t xml:space="preserve"> sont géographiquement identifiés à travers les catégories socioprofessionnelles. Pour ces emplois, 75% sont effectivement télétravaillés à hauteur de 1,5 jours par semaine. Les répartitions par départements sont restituées dans l’Illustration 4 ci-dessous. A l’échelle de l’Ile-De-France ils représentent 42% des emplois. La demande de déplacement pour les motifs liés au travail est ajustée en conséquence. Le reste de la structure des déplacements n’est pas modifiée.</w:t>
            </w:r>
            <w:r w:rsidRPr="00947F81">
              <w:rPr>
                <w:color w:val="00B050"/>
                <w:szCs w:val="20"/>
                <w:highlight w:val="yellow"/>
              </w:rPr>
              <w:t xml:space="preserve"> </w:t>
            </w:r>
          </w:p>
          <w:p w14:paraId="2A5D89B5" w14:textId="77777777" w:rsidR="00742651" w:rsidRPr="00947F81" w:rsidRDefault="00742651" w:rsidP="00742651">
            <w:pPr>
              <w:jc w:val="both"/>
              <w:rPr>
                <w:color w:val="00B050"/>
                <w:szCs w:val="20"/>
                <w:highlight w:val="yellow"/>
              </w:rPr>
            </w:pPr>
            <w:r w:rsidRPr="00947F81">
              <w:rPr>
                <w:noProof/>
                <w:color w:val="00B050"/>
                <w:szCs w:val="20"/>
                <w:highlight w:val="yellow"/>
              </w:rPr>
              <w:drawing>
                <wp:inline distT="0" distB="0" distL="0" distR="0" wp14:anchorId="6304FF1D" wp14:editId="51BBD752">
                  <wp:extent cx="5291718" cy="3267075"/>
                  <wp:effectExtent l="0" t="0" r="444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305290" cy="3275454"/>
                          </a:xfrm>
                          <a:prstGeom prst="rect">
                            <a:avLst/>
                          </a:prstGeom>
                        </pic:spPr>
                      </pic:pic>
                    </a:graphicData>
                  </a:graphic>
                </wp:inline>
              </w:drawing>
            </w:r>
          </w:p>
          <w:p w14:paraId="6178AACF" w14:textId="77777777" w:rsidR="00742651" w:rsidRPr="00947F81" w:rsidRDefault="00742651" w:rsidP="00742651">
            <w:pPr>
              <w:jc w:val="both"/>
              <w:rPr>
                <w:color w:val="00B050"/>
                <w:szCs w:val="20"/>
                <w:highlight w:val="yellow"/>
              </w:rPr>
            </w:pPr>
          </w:p>
          <w:p w14:paraId="6D3DC108" w14:textId="77777777" w:rsidR="00742651" w:rsidRPr="00947F81" w:rsidRDefault="00742651" w:rsidP="00742651">
            <w:pPr>
              <w:pStyle w:val="Default"/>
              <w:jc w:val="both"/>
              <w:rPr>
                <w:rFonts w:ascii="Verdana" w:hAnsi="Verdana"/>
                <w:b/>
                <w:bCs/>
                <w:color w:val="00B050"/>
                <w:sz w:val="20"/>
                <w:szCs w:val="20"/>
              </w:rPr>
            </w:pPr>
            <w:r w:rsidRPr="00947F81">
              <w:rPr>
                <w:rFonts w:ascii="Verdana" w:hAnsi="Verdana"/>
                <w:b/>
                <w:bCs/>
                <w:color w:val="00B050"/>
                <w:sz w:val="20"/>
                <w:szCs w:val="20"/>
              </w:rPr>
              <w:t>Pour le vélo</w:t>
            </w:r>
          </w:p>
          <w:p w14:paraId="6028B8B3" w14:textId="08A5B1B8" w:rsidR="00742651" w:rsidRDefault="00742651" w:rsidP="00742651">
            <w:pPr>
              <w:jc w:val="both"/>
              <w:rPr>
                <w:b/>
                <w:bCs/>
                <w:color w:val="00B050"/>
                <w:szCs w:val="20"/>
              </w:rPr>
            </w:pPr>
            <w:r w:rsidRPr="00947F81">
              <w:rPr>
                <w:color w:val="00B050"/>
                <w:szCs w:val="20"/>
              </w:rPr>
              <w:t>La part modale du vélo est manuellement multipliée par 3 à l’horizon 2030 à travers un ajustement des constantes de choix modal. Les « coronapistes » ayant une emprise sur le réseau routier sont considérées comme pérennes ; ce qui impacte le niveau de service des véhicules particuliers. Le temps de parcours à vélo n’est en revanche pas impacté.</w:t>
            </w:r>
          </w:p>
        </w:tc>
      </w:tr>
    </w:tbl>
    <w:p w14:paraId="106533DE" w14:textId="11C3162C" w:rsidR="00742651" w:rsidRPr="00742651" w:rsidRDefault="00742651" w:rsidP="00B71BAF">
      <w:pPr>
        <w:jc w:val="both"/>
        <w:rPr>
          <w:i/>
          <w:iCs/>
          <w:color w:val="00B050"/>
        </w:rPr>
      </w:pPr>
      <w:r w:rsidRPr="00742651">
        <w:rPr>
          <w:i/>
          <w:iCs/>
          <w:color w:val="00B050"/>
        </w:rPr>
        <w:t>Source DRIEA</w:t>
      </w:r>
    </w:p>
    <w:p w14:paraId="0D37967E" w14:textId="5DF162B9" w:rsidR="00B71BAF" w:rsidRDefault="00742651" w:rsidP="00B71BAF">
      <w:pPr>
        <w:jc w:val="both"/>
        <w:rPr>
          <w:color w:val="00B050"/>
        </w:rPr>
      </w:pPr>
      <w:r>
        <w:rPr>
          <w:color w:val="00B050"/>
        </w:rPr>
        <w:t xml:space="preserve">Les </w:t>
      </w:r>
      <w:r w:rsidR="00B71BAF" w:rsidRPr="00B71BAF">
        <w:rPr>
          <w:color w:val="00B050"/>
        </w:rPr>
        <w:t xml:space="preserve">prévisions de population et d’emploi </w:t>
      </w:r>
      <w:r>
        <w:rPr>
          <w:color w:val="00B050"/>
        </w:rPr>
        <w:t xml:space="preserve">ont été </w:t>
      </w:r>
      <w:r w:rsidR="00B71BAF" w:rsidRPr="00B71BAF">
        <w:rPr>
          <w:color w:val="00B050"/>
        </w:rPr>
        <w:t xml:space="preserve">dégradées par rapport aux données utilisées dans la base de cette évaluation Elles supposent une croissance globale de la population de la région Île de France à l’horizon 2030 à peu près identique à celle des données prises comme hypothèses dans les prévisions de base du dossier ; mais la croissance globale de l’emploi de la région Île de France à l’horizon 2030 serait inférieure de plus de 150000 emplois aux 800000 emplois supplémentaires du scénario bas retenu dans ce dossier. Il s’agit donc d’un scénario assez pessimiste sur l’impact à long terme de la crise sanitaire. </w:t>
      </w:r>
    </w:p>
    <w:p w14:paraId="456125FC" w14:textId="3AFB1DE6" w:rsidR="00B71BAF" w:rsidRDefault="00B71BAF" w:rsidP="00B71BAF">
      <w:pPr>
        <w:jc w:val="both"/>
        <w:rPr>
          <w:color w:val="00B050"/>
        </w:rPr>
      </w:pPr>
    </w:p>
    <w:p w14:paraId="4EB6C2DE" w14:textId="6F80A13B" w:rsidR="00B71BAF" w:rsidRDefault="00B71BAF" w:rsidP="00B71BAF">
      <w:pPr>
        <w:jc w:val="both"/>
        <w:rPr>
          <w:color w:val="00B050"/>
        </w:rPr>
      </w:pPr>
      <w:r>
        <w:rPr>
          <w:color w:val="00B050"/>
        </w:rPr>
        <w:t xml:space="preserve">Les </w:t>
      </w:r>
      <w:r w:rsidR="00314959">
        <w:rPr>
          <w:color w:val="00B050"/>
        </w:rPr>
        <w:t>résultats de ces prévisions de trafic qui ne peuvent être que provisoires sont les suivants :</w:t>
      </w:r>
    </w:p>
    <w:p w14:paraId="23776839" w14:textId="36E6073C" w:rsidR="00314959" w:rsidRDefault="00314959" w:rsidP="00B71BAF">
      <w:pPr>
        <w:jc w:val="both"/>
        <w:rPr>
          <w:color w:val="00B050"/>
        </w:rPr>
      </w:pPr>
    </w:p>
    <w:tbl>
      <w:tblPr>
        <w:tblW w:w="7513" w:type="dxa"/>
        <w:tblInd w:w="1691" w:type="dxa"/>
        <w:tblLayout w:type="fixed"/>
        <w:tblCellMar>
          <w:left w:w="70" w:type="dxa"/>
          <w:right w:w="70" w:type="dxa"/>
        </w:tblCellMar>
        <w:tblLook w:val="04A0" w:firstRow="1" w:lastRow="0" w:firstColumn="1" w:lastColumn="0" w:noHBand="0" w:noVBand="1"/>
      </w:tblPr>
      <w:tblGrid>
        <w:gridCol w:w="2127"/>
        <w:gridCol w:w="1346"/>
        <w:gridCol w:w="1347"/>
        <w:gridCol w:w="1346"/>
        <w:gridCol w:w="1347"/>
      </w:tblGrid>
      <w:tr w:rsidR="00314959" w:rsidRPr="00314959" w14:paraId="2E1FE6D5" w14:textId="77777777" w:rsidTr="00314959">
        <w:trPr>
          <w:trHeight w:val="20"/>
        </w:trPr>
        <w:tc>
          <w:tcPr>
            <w:tcW w:w="2127" w:type="dxa"/>
            <w:vMerge w:val="restart"/>
            <w:tcBorders>
              <w:top w:val="single" w:sz="8" w:space="0" w:color="auto"/>
              <w:left w:val="single" w:sz="8" w:space="0" w:color="auto"/>
              <w:bottom w:val="single" w:sz="4" w:space="0" w:color="000000"/>
              <w:right w:val="single" w:sz="4" w:space="0" w:color="auto"/>
            </w:tcBorders>
            <w:shd w:val="clear" w:color="auto" w:fill="auto"/>
            <w:vAlign w:val="center"/>
            <w:hideMark/>
          </w:tcPr>
          <w:p w14:paraId="75FA27A9" w14:textId="2D4B9840" w:rsidR="00314959" w:rsidRPr="00314959" w:rsidRDefault="00314959" w:rsidP="00314959">
            <w:pPr>
              <w:rPr>
                <w:rFonts w:eastAsia="Times New Roman"/>
                <w:color w:val="00B050"/>
                <w:sz w:val="18"/>
                <w:szCs w:val="18"/>
                <w:lang w:eastAsia="fr-FR"/>
              </w:rPr>
            </w:pPr>
            <w:r w:rsidRPr="00314959">
              <w:rPr>
                <w:rFonts w:eastAsia="Times New Roman"/>
                <w:color w:val="00B050"/>
                <w:sz w:val="18"/>
                <w:szCs w:val="18"/>
                <w:lang w:eastAsia="fr-FR"/>
              </w:rPr>
              <w:t>Simulations de trafic sur les lignes du GPE</w:t>
            </w:r>
          </w:p>
        </w:tc>
        <w:tc>
          <w:tcPr>
            <w:tcW w:w="2693" w:type="dxa"/>
            <w:gridSpan w:val="2"/>
            <w:tcBorders>
              <w:top w:val="single" w:sz="8" w:space="0" w:color="auto"/>
              <w:left w:val="nil"/>
              <w:bottom w:val="single" w:sz="4" w:space="0" w:color="auto"/>
              <w:right w:val="single" w:sz="4" w:space="0" w:color="000000"/>
            </w:tcBorders>
            <w:shd w:val="clear" w:color="auto" w:fill="auto"/>
            <w:noWrap/>
            <w:vAlign w:val="center"/>
            <w:hideMark/>
          </w:tcPr>
          <w:p w14:paraId="18D080C6"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Trafic HPM</w:t>
            </w:r>
          </w:p>
        </w:tc>
        <w:tc>
          <w:tcPr>
            <w:tcW w:w="2693"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11E8E182"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Trafic journalier</w:t>
            </w:r>
          </w:p>
        </w:tc>
      </w:tr>
      <w:tr w:rsidR="00314959" w:rsidRPr="00314959" w14:paraId="2EF8ECAD" w14:textId="77777777" w:rsidTr="00314959">
        <w:trPr>
          <w:trHeight w:val="20"/>
        </w:trPr>
        <w:tc>
          <w:tcPr>
            <w:tcW w:w="2127" w:type="dxa"/>
            <w:vMerge/>
            <w:tcBorders>
              <w:top w:val="single" w:sz="8" w:space="0" w:color="auto"/>
              <w:left w:val="single" w:sz="8" w:space="0" w:color="auto"/>
              <w:bottom w:val="single" w:sz="4" w:space="0" w:color="000000"/>
              <w:right w:val="single" w:sz="4" w:space="0" w:color="auto"/>
            </w:tcBorders>
            <w:vAlign w:val="center"/>
            <w:hideMark/>
          </w:tcPr>
          <w:p w14:paraId="18E75279" w14:textId="77777777" w:rsidR="00314959" w:rsidRPr="00314959" w:rsidRDefault="00314959" w:rsidP="00314959">
            <w:pPr>
              <w:rPr>
                <w:rFonts w:eastAsia="Times New Roman"/>
                <w:color w:val="00B050"/>
                <w:sz w:val="18"/>
                <w:szCs w:val="18"/>
                <w:lang w:eastAsia="fr-FR"/>
              </w:rPr>
            </w:pPr>
          </w:p>
        </w:tc>
        <w:tc>
          <w:tcPr>
            <w:tcW w:w="1346" w:type="dxa"/>
            <w:tcBorders>
              <w:top w:val="nil"/>
              <w:left w:val="nil"/>
              <w:bottom w:val="single" w:sz="4" w:space="0" w:color="auto"/>
              <w:right w:val="single" w:sz="4" w:space="0" w:color="auto"/>
            </w:tcBorders>
            <w:shd w:val="clear" w:color="auto" w:fill="auto"/>
            <w:noWrap/>
            <w:vAlign w:val="center"/>
            <w:hideMark/>
          </w:tcPr>
          <w:p w14:paraId="7D539E4E"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Base</w:t>
            </w:r>
          </w:p>
        </w:tc>
        <w:tc>
          <w:tcPr>
            <w:tcW w:w="1347" w:type="dxa"/>
            <w:tcBorders>
              <w:top w:val="nil"/>
              <w:left w:val="nil"/>
              <w:bottom w:val="single" w:sz="4" w:space="0" w:color="auto"/>
              <w:right w:val="single" w:sz="4" w:space="0" w:color="auto"/>
            </w:tcBorders>
            <w:shd w:val="clear" w:color="auto" w:fill="auto"/>
            <w:noWrap/>
            <w:vAlign w:val="center"/>
            <w:hideMark/>
          </w:tcPr>
          <w:p w14:paraId="0BED18F1" w14:textId="5D1B2C18"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Post COVID</w:t>
            </w:r>
          </w:p>
        </w:tc>
        <w:tc>
          <w:tcPr>
            <w:tcW w:w="1346" w:type="dxa"/>
            <w:tcBorders>
              <w:top w:val="nil"/>
              <w:left w:val="nil"/>
              <w:bottom w:val="single" w:sz="4" w:space="0" w:color="auto"/>
              <w:right w:val="single" w:sz="4" w:space="0" w:color="auto"/>
            </w:tcBorders>
            <w:shd w:val="clear" w:color="auto" w:fill="auto"/>
            <w:noWrap/>
            <w:vAlign w:val="center"/>
            <w:hideMark/>
          </w:tcPr>
          <w:p w14:paraId="21E279BE"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 xml:space="preserve">Base </w:t>
            </w:r>
          </w:p>
        </w:tc>
        <w:tc>
          <w:tcPr>
            <w:tcW w:w="1347" w:type="dxa"/>
            <w:tcBorders>
              <w:top w:val="nil"/>
              <w:left w:val="nil"/>
              <w:bottom w:val="single" w:sz="4" w:space="0" w:color="auto"/>
              <w:right w:val="single" w:sz="8" w:space="0" w:color="auto"/>
            </w:tcBorders>
            <w:shd w:val="clear" w:color="auto" w:fill="auto"/>
            <w:noWrap/>
            <w:vAlign w:val="center"/>
            <w:hideMark/>
          </w:tcPr>
          <w:p w14:paraId="08653D9A"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Post COVID</w:t>
            </w:r>
          </w:p>
        </w:tc>
      </w:tr>
      <w:tr w:rsidR="00314959" w:rsidRPr="00314959" w14:paraId="50158EDA" w14:textId="77777777" w:rsidTr="00314959">
        <w:trPr>
          <w:trHeight w:val="20"/>
        </w:trPr>
        <w:tc>
          <w:tcPr>
            <w:tcW w:w="2127" w:type="dxa"/>
            <w:tcBorders>
              <w:top w:val="nil"/>
              <w:left w:val="single" w:sz="8" w:space="0" w:color="auto"/>
              <w:bottom w:val="single" w:sz="4" w:space="0" w:color="auto"/>
              <w:right w:val="single" w:sz="4" w:space="0" w:color="auto"/>
            </w:tcBorders>
            <w:shd w:val="clear" w:color="auto" w:fill="auto"/>
            <w:noWrap/>
            <w:vAlign w:val="bottom"/>
            <w:hideMark/>
          </w:tcPr>
          <w:p w14:paraId="1E9C7760" w14:textId="77777777" w:rsidR="00314959" w:rsidRPr="00314959" w:rsidRDefault="00314959" w:rsidP="00314959">
            <w:pPr>
              <w:rPr>
                <w:rFonts w:eastAsia="Times New Roman"/>
                <w:color w:val="00B050"/>
                <w:sz w:val="18"/>
                <w:szCs w:val="18"/>
                <w:lang w:eastAsia="fr-FR"/>
              </w:rPr>
            </w:pPr>
            <w:r w:rsidRPr="00314959">
              <w:rPr>
                <w:rFonts w:eastAsia="Times New Roman"/>
                <w:color w:val="00B050"/>
                <w:sz w:val="18"/>
                <w:szCs w:val="18"/>
                <w:lang w:eastAsia="fr-FR"/>
              </w:rPr>
              <w:t>Ligne 14</w:t>
            </w:r>
          </w:p>
        </w:tc>
        <w:tc>
          <w:tcPr>
            <w:tcW w:w="1346" w:type="dxa"/>
            <w:tcBorders>
              <w:top w:val="nil"/>
              <w:left w:val="nil"/>
              <w:bottom w:val="single" w:sz="4" w:space="0" w:color="auto"/>
              <w:right w:val="single" w:sz="4" w:space="0" w:color="auto"/>
            </w:tcBorders>
            <w:shd w:val="clear" w:color="auto" w:fill="auto"/>
            <w:noWrap/>
            <w:vAlign w:val="bottom"/>
            <w:hideMark/>
          </w:tcPr>
          <w:p w14:paraId="739C5F22"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140000</w:t>
            </w:r>
          </w:p>
        </w:tc>
        <w:tc>
          <w:tcPr>
            <w:tcW w:w="1347" w:type="dxa"/>
            <w:tcBorders>
              <w:top w:val="nil"/>
              <w:left w:val="nil"/>
              <w:bottom w:val="single" w:sz="4" w:space="0" w:color="auto"/>
              <w:right w:val="single" w:sz="4" w:space="0" w:color="auto"/>
            </w:tcBorders>
            <w:shd w:val="clear" w:color="auto" w:fill="auto"/>
            <w:noWrap/>
            <w:vAlign w:val="bottom"/>
            <w:hideMark/>
          </w:tcPr>
          <w:p w14:paraId="50FAA392"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123200</w:t>
            </w:r>
          </w:p>
        </w:tc>
        <w:tc>
          <w:tcPr>
            <w:tcW w:w="1346" w:type="dxa"/>
            <w:tcBorders>
              <w:top w:val="nil"/>
              <w:left w:val="nil"/>
              <w:bottom w:val="single" w:sz="4" w:space="0" w:color="auto"/>
              <w:right w:val="single" w:sz="4" w:space="0" w:color="auto"/>
            </w:tcBorders>
            <w:shd w:val="clear" w:color="auto" w:fill="auto"/>
            <w:noWrap/>
            <w:vAlign w:val="bottom"/>
            <w:hideMark/>
          </w:tcPr>
          <w:p w14:paraId="3A61FA92"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996100</w:t>
            </w:r>
          </w:p>
        </w:tc>
        <w:tc>
          <w:tcPr>
            <w:tcW w:w="1347" w:type="dxa"/>
            <w:tcBorders>
              <w:top w:val="nil"/>
              <w:left w:val="nil"/>
              <w:bottom w:val="single" w:sz="4" w:space="0" w:color="auto"/>
              <w:right w:val="single" w:sz="8" w:space="0" w:color="auto"/>
            </w:tcBorders>
            <w:shd w:val="clear" w:color="auto" w:fill="auto"/>
            <w:noWrap/>
            <w:vAlign w:val="bottom"/>
            <w:hideMark/>
          </w:tcPr>
          <w:p w14:paraId="5BD68768"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872000</w:t>
            </w:r>
          </w:p>
        </w:tc>
      </w:tr>
      <w:tr w:rsidR="00314959" w:rsidRPr="00314959" w14:paraId="0697AF43" w14:textId="77777777" w:rsidTr="00314959">
        <w:trPr>
          <w:trHeight w:val="20"/>
        </w:trPr>
        <w:tc>
          <w:tcPr>
            <w:tcW w:w="2127" w:type="dxa"/>
            <w:tcBorders>
              <w:top w:val="nil"/>
              <w:left w:val="single" w:sz="8" w:space="0" w:color="auto"/>
              <w:bottom w:val="single" w:sz="4" w:space="0" w:color="auto"/>
              <w:right w:val="single" w:sz="4" w:space="0" w:color="auto"/>
            </w:tcBorders>
            <w:shd w:val="clear" w:color="auto" w:fill="auto"/>
            <w:noWrap/>
            <w:vAlign w:val="bottom"/>
            <w:hideMark/>
          </w:tcPr>
          <w:p w14:paraId="66161483" w14:textId="77777777" w:rsidR="00314959" w:rsidRPr="00314959" w:rsidRDefault="00314959" w:rsidP="00314959">
            <w:pPr>
              <w:rPr>
                <w:rFonts w:eastAsia="Times New Roman"/>
                <w:color w:val="00B050"/>
                <w:sz w:val="18"/>
                <w:szCs w:val="18"/>
                <w:lang w:eastAsia="fr-FR"/>
              </w:rPr>
            </w:pPr>
            <w:r w:rsidRPr="00314959">
              <w:rPr>
                <w:rFonts w:eastAsia="Times New Roman"/>
                <w:color w:val="00B050"/>
                <w:sz w:val="18"/>
                <w:szCs w:val="18"/>
                <w:lang w:eastAsia="fr-FR"/>
              </w:rPr>
              <w:t>Ligne 15</w:t>
            </w:r>
          </w:p>
        </w:tc>
        <w:tc>
          <w:tcPr>
            <w:tcW w:w="1346" w:type="dxa"/>
            <w:tcBorders>
              <w:top w:val="nil"/>
              <w:left w:val="nil"/>
              <w:bottom w:val="single" w:sz="4" w:space="0" w:color="auto"/>
              <w:right w:val="single" w:sz="4" w:space="0" w:color="auto"/>
            </w:tcBorders>
            <w:shd w:val="clear" w:color="auto" w:fill="auto"/>
            <w:noWrap/>
            <w:vAlign w:val="bottom"/>
            <w:hideMark/>
          </w:tcPr>
          <w:p w14:paraId="781DE531"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230600</w:t>
            </w:r>
          </w:p>
        </w:tc>
        <w:tc>
          <w:tcPr>
            <w:tcW w:w="1347" w:type="dxa"/>
            <w:tcBorders>
              <w:top w:val="nil"/>
              <w:left w:val="nil"/>
              <w:bottom w:val="single" w:sz="4" w:space="0" w:color="auto"/>
              <w:right w:val="single" w:sz="4" w:space="0" w:color="auto"/>
            </w:tcBorders>
            <w:shd w:val="clear" w:color="auto" w:fill="auto"/>
            <w:noWrap/>
            <w:vAlign w:val="bottom"/>
            <w:hideMark/>
          </w:tcPr>
          <w:p w14:paraId="2DEE6F74"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201600</w:t>
            </w:r>
          </w:p>
        </w:tc>
        <w:tc>
          <w:tcPr>
            <w:tcW w:w="1346" w:type="dxa"/>
            <w:tcBorders>
              <w:top w:val="nil"/>
              <w:left w:val="nil"/>
              <w:bottom w:val="single" w:sz="4" w:space="0" w:color="auto"/>
              <w:right w:val="single" w:sz="4" w:space="0" w:color="auto"/>
            </w:tcBorders>
            <w:shd w:val="clear" w:color="auto" w:fill="auto"/>
            <w:noWrap/>
            <w:vAlign w:val="bottom"/>
            <w:hideMark/>
          </w:tcPr>
          <w:p w14:paraId="2F368949"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1543100</w:t>
            </w:r>
          </w:p>
        </w:tc>
        <w:tc>
          <w:tcPr>
            <w:tcW w:w="1347" w:type="dxa"/>
            <w:tcBorders>
              <w:top w:val="nil"/>
              <w:left w:val="nil"/>
              <w:bottom w:val="single" w:sz="4" w:space="0" w:color="auto"/>
              <w:right w:val="single" w:sz="8" w:space="0" w:color="auto"/>
            </w:tcBorders>
            <w:shd w:val="clear" w:color="auto" w:fill="auto"/>
            <w:noWrap/>
            <w:vAlign w:val="bottom"/>
            <w:hideMark/>
          </w:tcPr>
          <w:p w14:paraId="5A3D8EAF"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1348900</w:t>
            </w:r>
          </w:p>
        </w:tc>
      </w:tr>
      <w:tr w:rsidR="00314959" w:rsidRPr="00314959" w14:paraId="06AD3FA6" w14:textId="77777777" w:rsidTr="00314959">
        <w:trPr>
          <w:trHeight w:val="20"/>
        </w:trPr>
        <w:tc>
          <w:tcPr>
            <w:tcW w:w="2127" w:type="dxa"/>
            <w:tcBorders>
              <w:top w:val="nil"/>
              <w:left w:val="single" w:sz="8" w:space="0" w:color="auto"/>
              <w:bottom w:val="single" w:sz="4" w:space="0" w:color="auto"/>
              <w:right w:val="single" w:sz="4" w:space="0" w:color="auto"/>
            </w:tcBorders>
            <w:shd w:val="clear" w:color="auto" w:fill="auto"/>
            <w:noWrap/>
            <w:vAlign w:val="bottom"/>
            <w:hideMark/>
          </w:tcPr>
          <w:p w14:paraId="042B4F19" w14:textId="77777777" w:rsidR="00314959" w:rsidRPr="00314959" w:rsidRDefault="00314959" w:rsidP="00314959">
            <w:pPr>
              <w:rPr>
                <w:rFonts w:eastAsia="Times New Roman"/>
                <w:color w:val="00B050"/>
                <w:sz w:val="18"/>
                <w:szCs w:val="18"/>
                <w:lang w:eastAsia="fr-FR"/>
              </w:rPr>
            </w:pPr>
            <w:r w:rsidRPr="00314959">
              <w:rPr>
                <w:rFonts w:eastAsia="Times New Roman"/>
                <w:color w:val="00B050"/>
                <w:sz w:val="18"/>
                <w:szCs w:val="18"/>
                <w:lang w:eastAsia="fr-FR"/>
              </w:rPr>
              <w:t>Ligne 16</w:t>
            </w:r>
          </w:p>
        </w:tc>
        <w:tc>
          <w:tcPr>
            <w:tcW w:w="1346" w:type="dxa"/>
            <w:tcBorders>
              <w:top w:val="nil"/>
              <w:left w:val="nil"/>
              <w:bottom w:val="single" w:sz="4" w:space="0" w:color="auto"/>
              <w:right w:val="single" w:sz="4" w:space="0" w:color="auto"/>
            </w:tcBorders>
            <w:shd w:val="clear" w:color="auto" w:fill="auto"/>
            <w:noWrap/>
            <w:vAlign w:val="bottom"/>
            <w:hideMark/>
          </w:tcPr>
          <w:p w14:paraId="0C861693"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32300</w:t>
            </w:r>
          </w:p>
        </w:tc>
        <w:tc>
          <w:tcPr>
            <w:tcW w:w="1347" w:type="dxa"/>
            <w:tcBorders>
              <w:top w:val="nil"/>
              <w:left w:val="nil"/>
              <w:bottom w:val="single" w:sz="4" w:space="0" w:color="auto"/>
              <w:right w:val="single" w:sz="4" w:space="0" w:color="auto"/>
            </w:tcBorders>
            <w:shd w:val="clear" w:color="auto" w:fill="auto"/>
            <w:noWrap/>
            <w:vAlign w:val="bottom"/>
            <w:hideMark/>
          </w:tcPr>
          <w:p w14:paraId="0F1CCA7D"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30000</w:t>
            </w:r>
          </w:p>
        </w:tc>
        <w:tc>
          <w:tcPr>
            <w:tcW w:w="1346" w:type="dxa"/>
            <w:tcBorders>
              <w:top w:val="nil"/>
              <w:left w:val="nil"/>
              <w:bottom w:val="single" w:sz="4" w:space="0" w:color="auto"/>
              <w:right w:val="single" w:sz="4" w:space="0" w:color="auto"/>
            </w:tcBorders>
            <w:shd w:val="clear" w:color="auto" w:fill="auto"/>
            <w:noWrap/>
            <w:vAlign w:val="bottom"/>
            <w:hideMark/>
          </w:tcPr>
          <w:p w14:paraId="5E90E304"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246300</w:t>
            </w:r>
          </w:p>
        </w:tc>
        <w:tc>
          <w:tcPr>
            <w:tcW w:w="1347" w:type="dxa"/>
            <w:tcBorders>
              <w:top w:val="nil"/>
              <w:left w:val="nil"/>
              <w:bottom w:val="single" w:sz="4" w:space="0" w:color="auto"/>
              <w:right w:val="single" w:sz="8" w:space="0" w:color="auto"/>
            </w:tcBorders>
            <w:shd w:val="clear" w:color="auto" w:fill="auto"/>
            <w:noWrap/>
            <w:vAlign w:val="bottom"/>
            <w:hideMark/>
          </w:tcPr>
          <w:p w14:paraId="776206D6"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230200</w:t>
            </w:r>
          </w:p>
        </w:tc>
      </w:tr>
      <w:tr w:rsidR="00314959" w:rsidRPr="00314959" w14:paraId="0380292C" w14:textId="77777777" w:rsidTr="00314959">
        <w:trPr>
          <w:trHeight w:val="20"/>
        </w:trPr>
        <w:tc>
          <w:tcPr>
            <w:tcW w:w="2127" w:type="dxa"/>
            <w:tcBorders>
              <w:top w:val="nil"/>
              <w:left w:val="single" w:sz="8" w:space="0" w:color="auto"/>
              <w:bottom w:val="single" w:sz="4" w:space="0" w:color="auto"/>
              <w:right w:val="single" w:sz="4" w:space="0" w:color="auto"/>
            </w:tcBorders>
            <w:shd w:val="clear" w:color="auto" w:fill="auto"/>
            <w:noWrap/>
            <w:vAlign w:val="bottom"/>
            <w:hideMark/>
          </w:tcPr>
          <w:p w14:paraId="3F6F792E" w14:textId="77777777" w:rsidR="00314959" w:rsidRPr="00314959" w:rsidRDefault="00314959" w:rsidP="00314959">
            <w:pPr>
              <w:rPr>
                <w:rFonts w:eastAsia="Times New Roman"/>
                <w:color w:val="00B050"/>
                <w:sz w:val="18"/>
                <w:szCs w:val="18"/>
                <w:lang w:eastAsia="fr-FR"/>
              </w:rPr>
            </w:pPr>
            <w:r w:rsidRPr="00314959">
              <w:rPr>
                <w:rFonts w:eastAsia="Times New Roman"/>
                <w:color w:val="00B050"/>
                <w:sz w:val="18"/>
                <w:szCs w:val="18"/>
                <w:lang w:eastAsia="fr-FR"/>
              </w:rPr>
              <w:t>Ligne 17</w:t>
            </w:r>
          </w:p>
        </w:tc>
        <w:tc>
          <w:tcPr>
            <w:tcW w:w="1346" w:type="dxa"/>
            <w:tcBorders>
              <w:top w:val="nil"/>
              <w:left w:val="nil"/>
              <w:bottom w:val="single" w:sz="4" w:space="0" w:color="auto"/>
              <w:right w:val="single" w:sz="4" w:space="0" w:color="auto"/>
            </w:tcBorders>
            <w:shd w:val="clear" w:color="auto" w:fill="auto"/>
            <w:noWrap/>
            <w:vAlign w:val="bottom"/>
            <w:hideMark/>
          </w:tcPr>
          <w:p w14:paraId="3288A431"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26300</w:t>
            </w:r>
          </w:p>
        </w:tc>
        <w:tc>
          <w:tcPr>
            <w:tcW w:w="1347" w:type="dxa"/>
            <w:tcBorders>
              <w:top w:val="nil"/>
              <w:left w:val="nil"/>
              <w:bottom w:val="single" w:sz="4" w:space="0" w:color="auto"/>
              <w:right w:val="single" w:sz="4" w:space="0" w:color="auto"/>
            </w:tcBorders>
            <w:shd w:val="clear" w:color="auto" w:fill="auto"/>
            <w:noWrap/>
            <w:vAlign w:val="bottom"/>
            <w:hideMark/>
          </w:tcPr>
          <w:p w14:paraId="3F0FB468"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22300</w:t>
            </w:r>
          </w:p>
        </w:tc>
        <w:tc>
          <w:tcPr>
            <w:tcW w:w="1346" w:type="dxa"/>
            <w:tcBorders>
              <w:top w:val="nil"/>
              <w:left w:val="nil"/>
              <w:bottom w:val="single" w:sz="4" w:space="0" w:color="auto"/>
              <w:right w:val="single" w:sz="4" w:space="0" w:color="auto"/>
            </w:tcBorders>
            <w:shd w:val="clear" w:color="auto" w:fill="auto"/>
            <w:noWrap/>
            <w:vAlign w:val="bottom"/>
            <w:hideMark/>
          </w:tcPr>
          <w:p w14:paraId="5888D3FE"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163700</w:t>
            </w:r>
          </w:p>
        </w:tc>
        <w:tc>
          <w:tcPr>
            <w:tcW w:w="1347" w:type="dxa"/>
            <w:tcBorders>
              <w:top w:val="nil"/>
              <w:left w:val="nil"/>
              <w:bottom w:val="single" w:sz="4" w:space="0" w:color="auto"/>
              <w:right w:val="single" w:sz="8" w:space="0" w:color="auto"/>
            </w:tcBorders>
            <w:shd w:val="clear" w:color="auto" w:fill="auto"/>
            <w:noWrap/>
            <w:vAlign w:val="bottom"/>
            <w:hideMark/>
          </w:tcPr>
          <w:p w14:paraId="1439ABCA"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142300</w:t>
            </w:r>
          </w:p>
        </w:tc>
      </w:tr>
      <w:tr w:rsidR="00314959" w:rsidRPr="00314959" w14:paraId="5BC34026" w14:textId="77777777" w:rsidTr="00314959">
        <w:trPr>
          <w:trHeight w:val="20"/>
        </w:trPr>
        <w:tc>
          <w:tcPr>
            <w:tcW w:w="2127" w:type="dxa"/>
            <w:tcBorders>
              <w:top w:val="nil"/>
              <w:left w:val="single" w:sz="8" w:space="0" w:color="auto"/>
              <w:bottom w:val="single" w:sz="8" w:space="0" w:color="auto"/>
              <w:right w:val="single" w:sz="4" w:space="0" w:color="auto"/>
            </w:tcBorders>
            <w:shd w:val="clear" w:color="auto" w:fill="auto"/>
            <w:noWrap/>
            <w:vAlign w:val="bottom"/>
            <w:hideMark/>
          </w:tcPr>
          <w:p w14:paraId="66B826B8" w14:textId="77777777" w:rsidR="00314959" w:rsidRPr="00314959" w:rsidRDefault="00314959" w:rsidP="00314959">
            <w:pPr>
              <w:rPr>
                <w:rFonts w:eastAsia="Times New Roman"/>
                <w:color w:val="00B050"/>
                <w:sz w:val="18"/>
                <w:szCs w:val="18"/>
                <w:lang w:eastAsia="fr-FR"/>
              </w:rPr>
            </w:pPr>
            <w:r w:rsidRPr="00314959">
              <w:rPr>
                <w:rFonts w:eastAsia="Times New Roman"/>
                <w:color w:val="00B050"/>
                <w:sz w:val="18"/>
                <w:szCs w:val="18"/>
                <w:lang w:eastAsia="fr-FR"/>
              </w:rPr>
              <w:t>Ligne 18</w:t>
            </w:r>
          </w:p>
        </w:tc>
        <w:tc>
          <w:tcPr>
            <w:tcW w:w="1346" w:type="dxa"/>
            <w:tcBorders>
              <w:top w:val="nil"/>
              <w:left w:val="nil"/>
              <w:bottom w:val="single" w:sz="8" w:space="0" w:color="auto"/>
              <w:right w:val="single" w:sz="4" w:space="0" w:color="auto"/>
            </w:tcBorders>
            <w:shd w:val="clear" w:color="auto" w:fill="auto"/>
            <w:noWrap/>
            <w:vAlign w:val="bottom"/>
            <w:hideMark/>
          </w:tcPr>
          <w:p w14:paraId="41B2415A"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19000</w:t>
            </w:r>
          </w:p>
        </w:tc>
        <w:tc>
          <w:tcPr>
            <w:tcW w:w="1347" w:type="dxa"/>
            <w:tcBorders>
              <w:top w:val="nil"/>
              <w:left w:val="nil"/>
              <w:bottom w:val="single" w:sz="8" w:space="0" w:color="auto"/>
              <w:right w:val="single" w:sz="4" w:space="0" w:color="auto"/>
            </w:tcBorders>
            <w:shd w:val="clear" w:color="auto" w:fill="auto"/>
            <w:noWrap/>
            <w:vAlign w:val="bottom"/>
            <w:hideMark/>
          </w:tcPr>
          <w:p w14:paraId="6E81F1BC"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16300</w:t>
            </w:r>
          </w:p>
        </w:tc>
        <w:tc>
          <w:tcPr>
            <w:tcW w:w="1346" w:type="dxa"/>
            <w:tcBorders>
              <w:top w:val="nil"/>
              <w:left w:val="nil"/>
              <w:bottom w:val="single" w:sz="8" w:space="0" w:color="auto"/>
              <w:right w:val="single" w:sz="4" w:space="0" w:color="auto"/>
            </w:tcBorders>
            <w:shd w:val="clear" w:color="auto" w:fill="auto"/>
            <w:noWrap/>
            <w:vAlign w:val="bottom"/>
            <w:hideMark/>
          </w:tcPr>
          <w:p w14:paraId="0A23A38C"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118600</w:t>
            </w:r>
          </w:p>
        </w:tc>
        <w:tc>
          <w:tcPr>
            <w:tcW w:w="1347" w:type="dxa"/>
            <w:tcBorders>
              <w:top w:val="nil"/>
              <w:left w:val="nil"/>
              <w:bottom w:val="single" w:sz="8" w:space="0" w:color="auto"/>
              <w:right w:val="single" w:sz="8" w:space="0" w:color="auto"/>
            </w:tcBorders>
            <w:shd w:val="clear" w:color="auto" w:fill="auto"/>
            <w:noWrap/>
            <w:vAlign w:val="bottom"/>
            <w:hideMark/>
          </w:tcPr>
          <w:p w14:paraId="1445FB38" w14:textId="77777777" w:rsidR="00314959" w:rsidRPr="00314959" w:rsidRDefault="00314959" w:rsidP="00314959">
            <w:pPr>
              <w:jc w:val="center"/>
              <w:rPr>
                <w:rFonts w:eastAsia="Times New Roman"/>
                <w:color w:val="00B050"/>
                <w:sz w:val="18"/>
                <w:szCs w:val="18"/>
                <w:lang w:eastAsia="fr-FR"/>
              </w:rPr>
            </w:pPr>
            <w:r w:rsidRPr="00314959">
              <w:rPr>
                <w:rFonts w:eastAsia="Times New Roman"/>
                <w:color w:val="00B050"/>
                <w:sz w:val="18"/>
                <w:szCs w:val="18"/>
                <w:lang w:eastAsia="fr-FR"/>
              </w:rPr>
              <w:t>102900</w:t>
            </w:r>
          </w:p>
        </w:tc>
      </w:tr>
    </w:tbl>
    <w:p w14:paraId="31B048F0" w14:textId="49875764" w:rsidR="00314959" w:rsidRPr="00742651" w:rsidRDefault="00742651" w:rsidP="00B71BAF">
      <w:pPr>
        <w:jc w:val="both"/>
        <w:rPr>
          <w:i/>
          <w:iCs/>
          <w:color w:val="00B050"/>
        </w:rPr>
      </w:pPr>
      <w:r>
        <w:rPr>
          <w:color w:val="00B050"/>
        </w:rPr>
        <w:tab/>
      </w:r>
      <w:r>
        <w:rPr>
          <w:color w:val="00B050"/>
        </w:rPr>
        <w:tab/>
      </w:r>
      <w:r>
        <w:rPr>
          <w:color w:val="00B050"/>
        </w:rPr>
        <w:tab/>
      </w:r>
      <w:r w:rsidRPr="00742651">
        <w:rPr>
          <w:i/>
          <w:iCs/>
          <w:color w:val="00B050"/>
        </w:rPr>
        <w:t xml:space="preserve">Source DRIEA </w:t>
      </w:r>
    </w:p>
    <w:p w14:paraId="29858FCF" w14:textId="77777777" w:rsidR="008C1FB7" w:rsidRDefault="008C1FB7" w:rsidP="00742651">
      <w:pPr>
        <w:jc w:val="both"/>
        <w:rPr>
          <w:color w:val="00B050"/>
        </w:rPr>
      </w:pPr>
    </w:p>
    <w:p w14:paraId="58054A2C" w14:textId="347FE51E" w:rsidR="00742651" w:rsidRDefault="00742651" w:rsidP="00742651">
      <w:pPr>
        <w:jc w:val="both"/>
        <w:rPr>
          <w:color w:val="00B050"/>
        </w:rPr>
      </w:pPr>
      <w:r>
        <w:rPr>
          <w:color w:val="00B050"/>
        </w:rPr>
        <w:t xml:space="preserve">La Société du Grand Paris </w:t>
      </w:r>
      <w:r w:rsidRPr="009A6E9B">
        <w:rPr>
          <w:color w:val="00B050"/>
        </w:rPr>
        <w:t xml:space="preserve">a également demandé la réalisation d’un premier jeu de simulations où les paramètres essentiels du modèle Urbansim </w:t>
      </w:r>
      <w:r>
        <w:rPr>
          <w:color w:val="00B050"/>
        </w:rPr>
        <w:t>ont</w:t>
      </w:r>
      <w:r w:rsidRPr="009A6E9B">
        <w:rPr>
          <w:color w:val="00B050"/>
        </w:rPr>
        <w:t xml:space="preserve"> été modifiés</w:t>
      </w:r>
      <w:r>
        <w:rPr>
          <w:color w:val="00B050"/>
        </w:rPr>
        <w:t xml:space="preserve"> pour tenir compte des comportements constatés en 2020</w:t>
      </w:r>
      <w:r w:rsidRPr="009A6E9B">
        <w:rPr>
          <w:color w:val="00B050"/>
        </w:rPr>
        <w:t xml:space="preserve">. Ces premières simulations laissent envisager </w:t>
      </w:r>
      <w:r>
        <w:rPr>
          <w:color w:val="00B050"/>
        </w:rPr>
        <w:t xml:space="preserve">à l’évidence </w:t>
      </w:r>
      <w:r w:rsidRPr="009A6E9B">
        <w:rPr>
          <w:color w:val="00B050"/>
        </w:rPr>
        <w:t xml:space="preserve">un accroissement de l’étalement urbain résidentiel mais également une augmentation de la densification prévisible de l’emploi dans Paris intra-muros et dans la première couronne. </w:t>
      </w:r>
    </w:p>
    <w:p w14:paraId="10411B01" w14:textId="77777777" w:rsidR="00742651" w:rsidRPr="009A6E9B" w:rsidRDefault="00742651" w:rsidP="00742651">
      <w:pPr>
        <w:jc w:val="both"/>
        <w:rPr>
          <w:color w:val="00B050"/>
        </w:rPr>
      </w:pPr>
    </w:p>
    <w:p w14:paraId="6C153269" w14:textId="555475CE" w:rsidR="009A6E9B" w:rsidRPr="009A6E9B" w:rsidRDefault="00B71BAF" w:rsidP="00B71BAF">
      <w:pPr>
        <w:jc w:val="both"/>
        <w:rPr>
          <w:color w:val="00B050"/>
        </w:rPr>
      </w:pPr>
      <w:r w:rsidRPr="00B71BAF">
        <w:rPr>
          <w:color w:val="00B050"/>
        </w:rPr>
        <w:t xml:space="preserve">Ces données sont bien évidemment provisoires et devront être étayées par des recherches économétriques, programmées par la Société du Grand Paris dès 2021 pour apprécier, le moment venu, les nouveaux paramètres à introduire dans les modèles de trafic et d’utilisation du sol (modèles LUTI° sur la base des constats qui auront pu être effectués après la stabilisation des conséquences de la pandémie. Il est en effet essentiel de ne pas se baser sur des observations faites à « chaud » et de conclusions hâtives. Il faut rappeler que l’horizon du Grand Paris Express dépasse largement les années prochaines qui seront en toute hypothèse des années transitoires. Il serait hasardeux pour la décision publique de se baser sur des données temporaires qui risquent d’être caduques dès 2023 ou 2025. </w:t>
      </w:r>
    </w:p>
    <w:p w14:paraId="18FAE572" w14:textId="6C40F877" w:rsidR="00CB0FCE" w:rsidRPr="008F1819" w:rsidRDefault="00CB0FCE" w:rsidP="00CB0FCE">
      <w:pPr>
        <w:rPr>
          <w:szCs w:val="20"/>
        </w:rPr>
      </w:pPr>
    </w:p>
    <w:tbl>
      <w:tblPr>
        <w:tblStyle w:val="Grilledutableau"/>
        <w:tblW w:w="0" w:type="auto"/>
        <w:tblLook w:val="04A0" w:firstRow="1" w:lastRow="0" w:firstColumn="1" w:lastColumn="0" w:noHBand="0" w:noVBand="1"/>
      </w:tblPr>
      <w:tblGrid>
        <w:gridCol w:w="10127"/>
      </w:tblGrid>
      <w:tr w:rsidR="00CB0FCE" w:rsidRPr="008F1819" w14:paraId="1C900481" w14:textId="77777777" w:rsidTr="00CB0FCE">
        <w:tc>
          <w:tcPr>
            <w:tcW w:w="10127" w:type="dxa"/>
          </w:tcPr>
          <w:p w14:paraId="117D06B9" w14:textId="77866ADB" w:rsidR="00CB0FCE" w:rsidRPr="008F1819" w:rsidRDefault="00CB0FCE" w:rsidP="00CB0FCE">
            <w:pPr>
              <w:rPr>
                <w:b/>
                <w:bCs/>
                <w:color w:val="00B050"/>
                <w:szCs w:val="20"/>
              </w:rPr>
            </w:pPr>
            <w:r w:rsidRPr="008F1819">
              <w:rPr>
                <w:b/>
                <w:bCs/>
                <w:color w:val="00B050"/>
                <w:szCs w:val="20"/>
              </w:rPr>
              <w:t>Effets à court et moyen</w:t>
            </w:r>
            <w:r w:rsidR="008F1819">
              <w:rPr>
                <w:b/>
                <w:bCs/>
                <w:color w:val="00B050"/>
                <w:szCs w:val="20"/>
              </w:rPr>
              <w:t>-</w:t>
            </w:r>
            <w:r w:rsidRPr="008F1819">
              <w:rPr>
                <w:b/>
                <w:bCs/>
                <w:color w:val="00B050"/>
                <w:szCs w:val="20"/>
              </w:rPr>
              <w:t>long terme de la COVID-19 sur la mobilité et les modes de vie</w:t>
            </w:r>
            <w:r w:rsidRPr="008F1819">
              <w:rPr>
                <w:rStyle w:val="Appelnotedebasdep"/>
                <w:b/>
                <w:bCs/>
                <w:color w:val="00B050"/>
                <w:szCs w:val="20"/>
              </w:rPr>
              <w:footnoteReference w:id="77"/>
            </w:r>
          </w:p>
          <w:p w14:paraId="6E400B96" w14:textId="4524B1A7" w:rsidR="00CB0FCE" w:rsidRPr="008F1819" w:rsidRDefault="00CB0FCE" w:rsidP="00CB0FCE">
            <w:pPr>
              <w:rPr>
                <w:b/>
                <w:bCs/>
                <w:color w:val="00B050"/>
                <w:szCs w:val="20"/>
                <w:lang w:val="en-US"/>
              </w:rPr>
            </w:pPr>
            <w:r w:rsidRPr="008F1819">
              <w:rPr>
                <w:b/>
                <w:bCs/>
                <w:color w:val="00B050"/>
                <w:szCs w:val="20"/>
                <w:lang w:val="en-US"/>
              </w:rPr>
              <w:t>par André de Palma (Cergy Paris Université) and Shaghayegh Vosough (University of British Columbia)</w:t>
            </w:r>
          </w:p>
          <w:p w14:paraId="2CDC2614" w14:textId="77777777" w:rsidR="00CB0FCE" w:rsidRPr="008F1819" w:rsidRDefault="00CB0FCE" w:rsidP="00CB0FCE">
            <w:pPr>
              <w:rPr>
                <w:color w:val="00B050"/>
                <w:szCs w:val="20"/>
                <w:lang w:val="en-US"/>
              </w:rPr>
            </w:pPr>
          </w:p>
          <w:p w14:paraId="203C5B26" w14:textId="55BB6F98" w:rsidR="00CB0FCE" w:rsidRPr="008F1819" w:rsidRDefault="00CB0FCE" w:rsidP="00CB0FCE">
            <w:pPr>
              <w:jc w:val="both"/>
              <w:rPr>
                <w:color w:val="00B050"/>
                <w:szCs w:val="20"/>
              </w:rPr>
            </w:pPr>
            <w:r w:rsidRPr="008F1819">
              <w:rPr>
                <w:color w:val="00B050"/>
                <w:szCs w:val="20"/>
              </w:rPr>
              <w:t>L'épidémie SRAS-CoV-2 a causé plus de 2,3 millions de décès dans le monde (à la date de février 2021). La plupart des pays ont connu une deuxième vague plus sévère (octobre et novembre 2020) que la première vague (mai et avril). Par exemple, il y avait une surmortalité de 27 300 personnes dans la deuxième vague en France, tandis que pour la deuxième vague du 1er septembre au 31 décembre on a compté 33 000 décès supplémentaires</w:t>
            </w:r>
            <w:r w:rsidR="00DE3F2A" w:rsidRPr="008F1819">
              <w:rPr>
                <w:color w:val="00B050"/>
                <w:szCs w:val="20"/>
              </w:rPr>
              <w:t xml:space="preserve">. </w:t>
            </w:r>
            <w:r w:rsidRPr="008F1819">
              <w:rPr>
                <w:color w:val="00B050"/>
                <w:szCs w:val="20"/>
              </w:rPr>
              <w:t xml:space="preserve">Étant donné que le principal moyen de transmission du virus résulte de contacts étroits avec des personnes infectées et ou des surfaces contaminées, les gouvernements ont décidé de minimiser les contacts sociaux. Cela a conduit à des actions préventives contre la propagation de la COVID-19, telles que les fermetures d'écoles, les fermetures des lieux de travail, les restrictions de rassemblement, l'interdiction d'événements publics, le gel des transports en commun, les exigences de rester à la maison ou les restrictions de mobilité (nationale ou internationale). Plusieurs campagnes d'information ont été lancées : soins personnels, port du masque et lavage et désinfection fréquente des mains. On parle de cas d’urgence. Bien que les actions des gouvernements contre la pandémie jouent un rôle vital dans la réduction du nombre de cas de la COVID-19, elles affectent aussi l’économie mondiale. Par exemple, des fermetures partielles ou complètes de l'activité dans les économies du G7 ont conduit </w:t>
            </w:r>
            <w:r w:rsidRPr="008F1819">
              <w:rPr>
                <w:color w:val="00B050"/>
                <w:szCs w:val="20"/>
              </w:rPr>
              <w:lastRenderedPageBreak/>
              <w:t xml:space="preserve">à un impact initial direct sur le niveau du PIB, généralement entre 25 et 30% </w:t>
            </w:r>
            <w:r w:rsidR="00DE3F2A" w:rsidRPr="008F1819">
              <w:rPr>
                <w:color w:val="00B050"/>
                <w:szCs w:val="20"/>
              </w:rPr>
              <w:t xml:space="preserve">pour les périodes les plus sensibles </w:t>
            </w:r>
            <w:r w:rsidRPr="008F1819">
              <w:rPr>
                <w:color w:val="00B050"/>
                <w:szCs w:val="20"/>
              </w:rPr>
              <w:t xml:space="preserve">en 2020 par rapport à 2019. </w:t>
            </w:r>
          </w:p>
          <w:p w14:paraId="71116BE9" w14:textId="5F21F91C" w:rsidR="00CB0FCE" w:rsidRPr="008F1819" w:rsidRDefault="00CB0FCE" w:rsidP="00CB0FCE">
            <w:pPr>
              <w:jc w:val="both"/>
              <w:rPr>
                <w:color w:val="00B050"/>
                <w:szCs w:val="20"/>
              </w:rPr>
            </w:pPr>
            <w:r w:rsidRPr="008F1819">
              <w:rPr>
                <w:color w:val="00B050"/>
                <w:szCs w:val="20"/>
              </w:rPr>
              <w:t>Les transports en commun sont connus comme l'un des moyens cont</w:t>
            </w:r>
            <w:r w:rsidR="00DE3F2A" w:rsidRPr="008F1819">
              <w:rPr>
                <w:color w:val="00B050"/>
                <w:szCs w:val="20"/>
              </w:rPr>
              <w:t>r</w:t>
            </w:r>
            <w:r w:rsidRPr="008F1819">
              <w:rPr>
                <w:color w:val="00B050"/>
                <w:szCs w:val="20"/>
              </w:rPr>
              <w:t>ibuant à propager le virus (surtout en mil</w:t>
            </w:r>
            <w:r w:rsidR="00DE3F2A" w:rsidRPr="008F1819">
              <w:rPr>
                <w:color w:val="00B050"/>
                <w:szCs w:val="20"/>
              </w:rPr>
              <w:t>i</w:t>
            </w:r>
            <w:r w:rsidRPr="008F1819">
              <w:rPr>
                <w:color w:val="00B050"/>
                <w:szCs w:val="20"/>
              </w:rPr>
              <w:t>eu urbain) et le transport aérien contribue à prop</w:t>
            </w:r>
            <w:r w:rsidR="00DE3F2A" w:rsidRPr="008F1819">
              <w:rPr>
                <w:color w:val="00B050"/>
                <w:szCs w:val="20"/>
              </w:rPr>
              <w:t>a</w:t>
            </w:r>
            <w:r w:rsidRPr="008F1819">
              <w:rPr>
                <w:color w:val="00B050"/>
                <w:szCs w:val="20"/>
              </w:rPr>
              <w:t>ger le virus entre les villes et les pays. Par conséquent, l'étape clé pour contrôler l'épidémie de virus est de restreindre les activités hors du domicile et l'utilisation des transports collectifs. Par exemple, avec une réduction de 10 points de pourcentage de la fréquentation du métro au cours des trois premières semaines de mars, le nombre cumulé de personnes infectées à New York a diminué d'environ 12 cas pour 10 000. De fait, l'utilisation des transports publics dans le monde a diminué (de près de 90% au début de l’épidémie</w:t>
            </w:r>
            <w:r w:rsidR="00DE3F2A" w:rsidRPr="008F1819">
              <w:rPr>
                <w:color w:val="00B050"/>
                <w:szCs w:val="20"/>
              </w:rPr>
              <w:t>)</w:t>
            </w:r>
            <w:r w:rsidRPr="008F1819">
              <w:rPr>
                <w:color w:val="00B050"/>
                <w:szCs w:val="20"/>
              </w:rPr>
              <w:t>. Des études ont indiqué que prendre le train ou le bus peut être sûr lorsque les précautions appropriées sont prises et l'utilisation des transports ; la fréquentation dans le monde a commencé à se redresser en juin 2020. Ceci suggère que certaines mesures, telles que la mise à disposition d'un siège sur deux, le port d'un masque et la réduction de l'encombrement dans le train et les quais sont effica</w:t>
            </w:r>
            <w:r w:rsidR="00DE3F2A" w:rsidRPr="008F1819">
              <w:rPr>
                <w:color w:val="00B050"/>
                <w:szCs w:val="20"/>
              </w:rPr>
              <w:t>c</w:t>
            </w:r>
            <w:r w:rsidRPr="008F1819">
              <w:rPr>
                <w:color w:val="00B050"/>
                <w:szCs w:val="20"/>
              </w:rPr>
              <w:t>es.  Cependant, la demande de transport public n'a</w:t>
            </w:r>
            <w:r w:rsidR="00DE3F2A" w:rsidRPr="008F1819">
              <w:rPr>
                <w:color w:val="00B050"/>
                <w:szCs w:val="20"/>
              </w:rPr>
              <w:t xml:space="preserve"> pas encore retrouvé</w:t>
            </w:r>
            <w:r w:rsidRPr="008F1819">
              <w:rPr>
                <w:color w:val="00B050"/>
                <w:szCs w:val="20"/>
              </w:rPr>
              <w:t xml:space="preserve"> la normale précédente. Par exemple, le 10 février, les demandes de transports publics de Washington, Paris, Rome, Melbourne et Rio sont respect</w:t>
            </w:r>
            <w:r w:rsidR="00DE3F2A" w:rsidRPr="008F1819">
              <w:rPr>
                <w:color w:val="00B050"/>
                <w:szCs w:val="20"/>
              </w:rPr>
              <w:t>i</w:t>
            </w:r>
            <w:r w:rsidRPr="008F1819">
              <w:rPr>
                <w:color w:val="00B050"/>
                <w:szCs w:val="20"/>
              </w:rPr>
              <w:t>vement de 59,9%, 50,8%, 40,0%, 22,0% et 17,6% inférieures par rapport aux conditions normales d’avant COVID-19. On voyage moins et davantage par d’autres modes que les transports collectifs.</w:t>
            </w:r>
          </w:p>
          <w:p w14:paraId="0CCD0050" w14:textId="173A5B74" w:rsidR="00CB0FCE" w:rsidRPr="008F1819" w:rsidRDefault="00CB0FCE" w:rsidP="00CB0FCE">
            <w:pPr>
              <w:jc w:val="both"/>
              <w:rPr>
                <w:color w:val="00B050"/>
                <w:szCs w:val="20"/>
              </w:rPr>
            </w:pPr>
            <w:r w:rsidRPr="008F1819">
              <w:rPr>
                <w:color w:val="00B050"/>
                <w:szCs w:val="20"/>
              </w:rPr>
              <w:t xml:space="preserve">Outre la réduction de l'utilisation des transports, des changements importants dans les modes de vie se sont produits en raison de l'éloignement social, des </w:t>
            </w:r>
            <w:r w:rsidR="00DE3F2A" w:rsidRPr="008F1819">
              <w:rPr>
                <w:color w:val="00B050"/>
                <w:szCs w:val="20"/>
              </w:rPr>
              <w:t>confinements</w:t>
            </w:r>
            <w:r w:rsidRPr="008F1819">
              <w:rPr>
                <w:color w:val="00B050"/>
                <w:szCs w:val="20"/>
              </w:rPr>
              <w:t xml:space="preserve"> temporaires (à des degrés divers) et d'autres mesures préventives. Lorsque les résidents sont obligés de se mettre en quarantaine et de moins bénéfi</w:t>
            </w:r>
            <w:r w:rsidR="00DE3F2A" w:rsidRPr="008F1819">
              <w:rPr>
                <w:color w:val="00B050"/>
                <w:szCs w:val="20"/>
              </w:rPr>
              <w:t>ci</w:t>
            </w:r>
            <w:r w:rsidRPr="008F1819">
              <w:rPr>
                <w:color w:val="00B050"/>
                <w:szCs w:val="20"/>
              </w:rPr>
              <w:t>er du contact avec la nature, leurs amis, connaissances et parents, ou même de ne plus embrasser leurs proches, ils ont tendance à accumuler du stress et de la dépression. L'augmentation de la consommation d'aliments malsains et de boissons sucrées, la réduction de l'activité physique et le fait de passer beaucoup de temps à utiliser les téléphones portables et les ordinateurs entraînent des maladies cardiovasculaires, l'obésité et d'autres maladies, sans mentionner l’accroissement des inégalités dans les systèmes éducatifs, à tous les niveaux. Reconnaître les effets néfastes de la pandémie de la COVID-19 est crucial pour atténuer les changements de comportement négatifs qui affectent directement le bien-être psychologique. L’indi</w:t>
            </w:r>
            <w:r w:rsidR="00DE3F2A" w:rsidRPr="008F1819">
              <w:rPr>
                <w:color w:val="00B050"/>
                <w:szCs w:val="20"/>
              </w:rPr>
              <w:t>vid</w:t>
            </w:r>
            <w:r w:rsidRPr="008F1819">
              <w:rPr>
                <w:color w:val="00B050"/>
                <w:szCs w:val="20"/>
              </w:rPr>
              <w:t>u est désorienté -il ne sait plus où il va (et certains a</w:t>
            </w:r>
            <w:r w:rsidR="00DE3F2A" w:rsidRPr="008F1819">
              <w:rPr>
                <w:color w:val="00B050"/>
                <w:szCs w:val="20"/>
              </w:rPr>
              <w:t>l</w:t>
            </w:r>
            <w:r w:rsidRPr="008F1819">
              <w:rPr>
                <w:color w:val="00B050"/>
                <w:szCs w:val="20"/>
              </w:rPr>
              <w:t>gori</w:t>
            </w:r>
            <w:r w:rsidR="00DE3F2A" w:rsidRPr="008F1819">
              <w:rPr>
                <w:color w:val="00B050"/>
                <w:szCs w:val="20"/>
              </w:rPr>
              <w:t>t</w:t>
            </w:r>
            <w:r w:rsidRPr="008F1819">
              <w:rPr>
                <w:color w:val="00B050"/>
                <w:szCs w:val="20"/>
              </w:rPr>
              <w:t>hmes de l’IA, aussi).</w:t>
            </w:r>
          </w:p>
          <w:p w14:paraId="01542526" w14:textId="2380B253" w:rsidR="00CB0FCE" w:rsidRPr="008F1819" w:rsidRDefault="00CB0FCE" w:rsidP="00CB0FCE">
            <w:pPr>
              <w:jc w:val="both"/>
              <w:rPr>
                <w:color w:val="00B050"/>
                <w:szCs w:val="20"/>
              </w:rPr>
            </w:pPr>
            <w:r w:rsidRPr="008F1819">
              <w:rPr>
                <w:color w:val="00B050"/>
                <w:szCs w:val="20"/>
              </w:rPr>
              <w:t xml:space="preserve">En plus des changements à court terme pendant l'épidémie de COVID-19, cette transformation radicale du monde pourrait expliquer des impacts potentiellement perturbateurs à court, moyen et à long terme. À court terme, la COVID-19 entraîne des changements dans le choix de l'heure de départ, du mode de déplacement et de l'itinéraire. À moyen terme, la possession de voitures augmentera et, à long terme, les choix d'occupation, de lieu de résidence et même de lieu de travail seront </w:t>
            </w:r>
            <w:r w:rsidR="00DE3F2A" w:rsidRPr="008F1819">
              <w:rPr>
                <w:color w:val="00B050"/>
                <w:szCs w:val="20"/>
              </w:rPr>
              <w:t>modifiés</w:t>
            </w:r>
            <w:r w:rsidRPr="008F1819">
              <w:rPr>
                <w:color w:val="00B050"/>
                <w:szCs w:val="20"/>
              </w:rPr>
              <w:t xml:space="preserve">. En conséquence, les composantes de l'utilisation </w:t>
            </w:r>
            <w:r w:rsidR="00DE3F2A" w:rsidRPr="008F1819">
              <w:rPr>
                <w:color w:val="00B050"/>
                <w:szCs w:val="20"/>
              </w:rPr>
              <w:t>du sol,</w:t>
            </w:r>
            <w:r w:rsidRPr="008F1819">
              <w:rPr>
                <w:color w:val="00B050"/>
                <w:szCs w:val="20"/>
              </w:rPr>
              <w:t xml:space="preserve"> croisé à une nouvelle mobilité (étudiés également par les modèles LUTI) changeront aussi dans une certaine mesure. Par exemple, environ 5% des résidents de New York (environ 420 000 personnes) ont quitté la ville entre le 1er mars et le 1er mai 2020. Une enquête menée en juin 2020 auprès de 9 654 adultes américains a montré que 22% des répondants annoncent avoir soit changé leur résidence en raison de la pandémie ou connaitre quelqu'un qui l'a fait. Environ 3% des adultes américains déclarent avoir déménagé de façon permanente ou temporaire en raison de la pandémie. De plus, les prix des logements et des terrains évoluent en raison de la pandémie. Par exemple, dans la région métropolitaine de Vancouver, les prix des appartements ont baissé récemment. Ils semblent tomber en disgrâce, car les résidents recherchent des espaces de vie plus grands où ils peuvent travailler à domicile. Les gouvernements doivent être prêts à faire face à cette nouvelle donne. L'analyse des impacts du COVID-19 sur les comportements de déplacement et les décisions liées au travail, analysées par la littérature, fournit aux décideurs des leçons de mise en garde pour aborder l'importance de prêter davantage attention au développement urbain, aux transports publics et aux stratégies comportementales pour lutter contre la COVID-19 et ses conséquences négatives. Il nous semble nécessaire d’être sensibilisé à tous les aspects de ce choc perturbateur, de concevoir des réponses politiques appropriées (telles que </w:t>
            </w:r>
            <w:r w:rsidR="00340CE5" w:rsidRPr="008F1819">
              <w:rPr>
                <w:color w:val="00B050"/>
                <w:szCs w:val="20"/>
              </w:rPr>
              <w:t>le réaménagement</w:t>
            </w:r>
            <w:r w:rsidRPr="008F1819">
              <w:rPr>
                <w:color w:val="00B050"/>
                <w:szCs w:val="20"/>
              </w:rPr>
              <w:t xml:space="preserve"> et le </w:t>
            </w:r>
            <w:r w:rsidR="00340CE5" w:rsidRPr="008F1819">
              <w:rPr>
                <w:color w:val="00B050"/>
                <w:szCs w:val="20"/>
              </w:rPr>
              <w:t>ré espacement</w:t>
            </w:r>
            <w:r w:rsidRPr="008F1819">
              <w:rPr>
                <w:color w:val="00B050"/>
                <w:szCs w:val="20"/>
              </w:rPr>
              <w:t xml:space="preserve"> des villes, l</w:t>
            </w:r>
            <w:r w:rsidR="00340CE5" w:rsidRPr="008F1819">
              <w:rPr>
                <w:color w:val="00B050"/>
                <w:szCs w:val="20"/>
              </w:rPr>
              <w:t>a</w:t>
            </w:r>
            <w:r w:rsidRPr="008F1819">
              <w:rPr>
                <w:color w:val="00B050"/>
                <w:szCs w:val="20"/>
              </w:rPr>
              <w:t xml:space="preserve"> reprogrammation et l'augmentation des services de transport public et des modes nouveaux) et </w:t>
            </w:r>
            <w:r w:rsidR="00340CE5" w:rsidRPr="008F1819">
              <w:rPr>
                <w:color w:val="00B050"/>
                <w:szCs w:val="20"/>
              </w:rPr>
              <w:t xml:space="preserve">aussi </w:t>
            </w:r>
            <w:r w:rsidRPr="008F1819">
              <w:rPr>
                <w:color w:val="00B050"/>
                <w:szCs w:val="20"/>
              </w:rPr>
              <w:t xml:space="preserve">d'investir dans la préparation aux probables pandémies à venir. </w:t>
            </w:r>
          </w:p>
          <w:p w14:paraId="1421CB45" w14:textId="75AF1E4A" w:rsidR="00CB0FCE" w:rsidRPr="008F1819" w:rsidRDefault="00CB0FCE" w:rsidP="00CB0FCE">
            <w:pPr>
              <w:jc w:val="both"/>
              <w:rPr>
                <w:color w:val="00B050"/>
                <w:szCs w:val="20"/>
              </w:rPr>
            </w:pPr>
            <w:r w:rsidRPr="008F1819">
              <w:rPr>
                <w:color w:val="00B050"/>
                <w:szCs w:val="20"/>
              </w:rPr>
              <w:t xml:space="preserve">La baisse des activités socio-économiques et de la demande de transports (urbains, interurbains et aériens), négatifs majoritairement, présente également des aspects </w:t>
            </w:r>
            <w:r w:rsidR="00340CE5" w:rsidRPr="008F1819">
              <w:rPr>
                <w:color w:val="00B050"/>
                <w:szCs w:val="20"/>
              </w:rPr>
              <w:t>positifs :</w:t>
            </w:r>
            <w:r w:rsidRPr="008F1819">
              <w:rPr>
                <w:color w:val="00B050"/>
                <w:szCs w:val="20"/>
              </w:rPr>
              <w:t xml:space="preserve"> demande de pétrole </w:t>
            </w:r>
            <w:r w:rsidRPr="008F1819">
              <w:rPr>
                <w:color w:val="00B050"/>
                <w:szCs w:val="20"/>
              </w:rPr>
              <w:t>(- 5%), consommation de gaz (-2%), accidents de la route (-74,3% en Espagne), demande d'électricité (-20%) et émissions (CO et NO2 qui ont été significativement réduit</w:t>
            </w:r>
            <w:r w:rsidR="00340CE5" w:rsidRPr="008F1819">
              <w:rPr>
                <w:color w:val="00B050"/>
                <w:szCs w:val="20"/>
              </w:rPr>
              <w:t>,</w:t>
            </w:r>
            <w:r w:rsidRPr="008F1819">
              <w:rPr>
                <w:color w:val="00B050"/>
                <w:szCs w:val="20"/>
              </w:rPr>
              <w:t xml:space="preserve"> pendant le </w:t>
            </w:r>
            <w:r w:rsidR="00340CE5" w:rsidRPr="008F1819">
              <w:rPr>
                <w:color w:val="00B050"/>
                <w:szCs w:val="20"/>
              </w:rPr>
              <w:t>confinement</w:t>
            </w:r>
            <w:r w:rsidRPr="008F1819">
              <w:rPr>
                <w:color w:val="00B050"/>
                <w:szCs w:val="20"/>
              </w:rPr>
              <w:t>, de 17% dans le monde et de 40 à 50% en Europe</w:t>
            </w:r>
            <w:r w:rsidR="00340CE5" w:rsidRPr="008F1819">
              <w:rPr>
                <w:color w:val="00B050"/>
                <w:szCs w:val="20"/>
              </w:rPr>
              <w:t xml:space="preserve">. </w:t>
            </w:r>
            <w:r w:rsidRPr="008F1819">
              <w:rPr>
                <w:color w:val="00B050"/>
                <w:szCs w:val="20"/>
              </w:rPr>
              <w:t xml:space="preserve">Par ailleurs, la demande mondiale de charbon a augmenté de 8% par rapport à 2019. On ne parle pas de la croissance </w:t>
            </w:r>
            <w:r w:rsidR="00340CE5" w:rsidRPr="008F1819">
              <w:rPr>
                <w:color w:val="00B050"/>
                <w:szCs w:val="20"/>
              </w:rPr>
              <w:t>importante</w:t>
            </w:r>
            <w:r w:rsidRPr="008F1819">
              <w:rPr>
                <w:color w:val="00B050"/>
                <w:szCs w:val="20"/>
              </w:rPr>
              <w:t xml:space="preserve"> du numérique, </w:t>
            </w:r>
            <w:r w:rsidR="00340CE5" w:rsidRPr="008F1819">
              <w:rPr>
                <w:color w:val="00B050"/>
                <w:szCs w:val="20"/>
              </w:rPr>
              <w:t xml:space="preserve">qui sera </w:t>
            </w:r>
            <w:r w:rsidRPr="008F1819">
              <w:rPr>
                <w:color w:val="00B050"/>
                <w:szCs w:val="20"/>
              </w:rPr>
              <w:t>abordée plus loin.</w:t>
            </w:r>
          </w:p>
          <w:p w14:paraId="14E230FB" w14:textId="26E708C5" w:rsidR="00CB0FCE" w:rsidRPr="008F1819" w:rsidRDefault="00CB0FCE" w:rsidP="00CB0FCE">
            <w:pPr>
              <w:jc w:val="both"/>
              <w:rPr>
                <w:color w:val="00B050"/>
                <w:szCs w:val="20"/>
              </w:rPr>
            </w:pPr>
            <w:r w:rsidRPr="008F1819">
              <w:rPr>
                <w:color w:val="00B050"/>
                <w:szCs w:val="20"/>
              </w:rPr>
              <w:t xml:space="preserve">Alors que le total des déplacements professionnels et </w:t>
            </w:r>
            <w:r w:rsidR="00340CE5" w:rsidRPr="008F1819">
              <w:rPr>
                <w:color w:val="00B050"/>
                <w:szCs w:val="20"/>
              </w:rPr>
              <w:t xml:space="preserve">du nombre des </w:t>
            </w:r>
            <w:r w:rsidRPr="008F1819">
              <w:rPr>
                <w:color w:val="00B050"/>
                <w:szCs w:val="20"/>
              </w:rPr>
              <w:t>véhicules-</w:t>
            </w:r>
            <w:r w:rsidR="00340CE5" w:rsidRPr="008F1819">
              <w:rPr>
                <w:color w:val="00B050"/>
                <w:szCs w:val="20"/>
              </w:rPr>
              <w:t>km</w:t>
            </w:r>
            <w:r w:rsidRPr="008F1819">
              <w:rPr>
                <w:color w:val="00B050"/>
                <w:szCs w:val="20"/>
              </w:rPr>
              <w:t xml:space="preserve"> parcourus diminue</w:t>
            </w:r>
            <w:r w:rsidR="00340CE5" w:rsidRPr="008F1819">
              <w:rPr>
                <w:color w:val="00B050"/>
                <w:szCs w:val="20"/>
              </w:rPr>
              <w:t>nt</w:t>
            </w:r>
            <w:r w:rsidRPr="008F1819">
              <w:rPr>
                <w:color w:val="00B050"/>
                <w:szCs w:val="20"/>
              </w:rPr>
              <w:t xml:space="preserve"> en raison du télétravail à l'ère COVID-19, on assiste à une augmentation du nombre total de </w:t>
            </w:r>
            <w:r w:rsidR="00340CE5" w:rsidRPr="008F1819">
              <w:rPr>
                <w:color w:val="00B050"/>
                <w:szCs w:val="20"/>
              </w:rPr>
              <w:t>déplacements</w:t>
            </w:r>
            <w:r w:rsidRPr="008F1819">
              <w:rPr>
                <w:color w:val="00B050"/>
                <w:szCs w:val="20"/>
              </w:rPr>
              <w:t xml:space="preserve">. Sans aucune intervention, la tendance pourrait conduire à plus les déplacements, en particulier sur les routes locales et en particulier dans les endroits où les véhicules automobiles continuent de dépendre des moteurs à combustion interne, sans que </w:t>
            </w:r>
            <w:r w:rsidR="000B0C44" w:rsidRPr="008F1819">
              <w:rPr>
                <w:color w:val="00B050"/>
                <w:szCs w:val="20"/>
              </w:rPr>
              <w:t xml:space="preserve">des </w:t>
            </w:r>
            <w:r w:rsidRPr="008F1819">
              <w:rPr>
                <w:color w:val="00B050"/>
                <w:szCs w:val="20"/>
              </w:rPr>
              <w:t>revenus suffisants</w:t>
            </w:r>
            <w:r w:rsidR="000B0C44" w:rsidRPr="008F1819">
              <w:rPr>
                <w:color w:val="00B050"/>
                <w:szCs w:val="20"/>
              </w:rPr>
              <w:t xml:space="preserve"> des intéressés </w:t>
            </w:r>
            <w:r w:rsidRPr="008F1819">
              <w:rPr>
                <w:color w:val="00B050"/>
                <w:szCs w:val="20"/>
              </w:rPr>
              <w:t>assurent une transition énergétique propre.</w:t>
            </w:r>
          </w:p>
          <w:p w14:paraId="2B097A64" w14:textId="77777777" w:rsidR="00CB0FCE" w:rsidRPr="008F1819" w:rsidRDefault="00CB0FCE" w:rsidP="00CB0FCE">
            <w:pPr>
              <w:jc w:val="both"/>
              <w:rPr>
                <w:color w:val="00B050"/>
                <w:szCs w:val="20"/>
              </w:rPr>
            </w:pPr>
            <w:r w:rsidRPr="008F1819">
              <w:rPr>
                <w:color w:val="00B050"/>
                <w:szCs w:val="20"/>
              </w:rPr>
              <w:t>L'autre problème pendant l'ère de la COVID-19 est que l'équité s'est détériorée et que la pauvreté a augmenté dans le monde (à l'intérieur et entre les pays). Sur la base des prévisions de la Banque mondiale, la COVID-19 plonge environ 49 millions de personnes dans l'extrême pauvreté en 2020 [5]. En raison des verrouillages, les offres d'emploi sont réduites de 12% et le taux de chômage a augmenté. Ainsi, des millions de personnes déclarent que leur ménage n'a pas assez à manger (près de 24 millions d'adultes aux États-Unis), ne sont pas capables de payer leurs loyers (10,3 millions d'adultes aux États-Unis) et ont du mal à faire face aux dépenses habituelles du ménage (plus de 80 millions d'adultes aux États-Unis).</w:t>
            </w:r>
          </w:p>
          <w:p w14:paraId="25A9167C" w14:textId="77777777" w:rsidR="00CB0FCE" w:rsidRPr="008F1819" w:rsidRDefault="00CB0FCE" w:rsidP="00CB0FCE">
            <w:pPr>
              <w:jc w:val="both"/>
              <w:rPr>
                <w:color w:val="00B050"/>
                <w:szCs w:val="20"/>
              </w:rPr>
            </w:pPr>
          </w:p>
          <w:p w14:paraId="62D069D0" w14:textId="73EE3C22" w:rsidR="00CB0FCE" w:rsidRPr="008F1819" w:rsidRDefault="00CB0FCE" w:rsidP="00CB0FCE">
            <w:pPr>
              <w:jc w:val="both"/>
              <w:rPr>
                <w:color w:val="00B050"/>
                <w:szCs w:val="20"/>
              </w:rPr>
            </w:pPr>
            <w:r w:rsidRPr="008F1819">
              <w:rPr>
                <w:color w:val="00B050"/>
                <w:szCs w:val="20"/>
              </w:rPr>
              <w:t>Cependant, dans toutes les crises, il y a des gagnants et des perdants. Bien que la plupart des entreprises souffrent de la crise, les gagnants tels que les entreprises en ligne et les entreprises numériques sont positivement impactés par la COVID-19. A</w:t>
            </w:r>
            <w:r w:rsidR="000B0C44" w:rsidRPr="008F1819">
              <w:rPr>
                <w:color w:val="00B050"/>
                <w:szCs w:val="20"/>
              </w:rPr>
              <w:t>i</w:t>
            </w:r>
            <w:r w:rsidRPr="008F1819">
              <w:rPr>
                <w:color w:val="00B050"/>
                <w:szCs w:val="20"/>
              </w:rPr>
              <w:t>nsi, Amazon Microsoft, Apple, Tesla, Tencent (jeux vidéo) et Facebook ont gén</w:t>
            </w:r>
            <w:r w:rsidR="000B0C44" w:rsidRPr="008F1819">
              <w:rPr>
                <w:color w:val="00B050"/>
                <w:szCs w:val="20"/>
              </w:rPr>
              <w:t>é</w:t>
            </w:r>
            <w:r w:rsidRPr="008F1819">
              <w:rPr>
                <w:color w:val="00B050"/>
                <w:szCs w:val="20"/>
              </w:rPr>
              <w:t xml:space="preserve">ré des plus-values qui </w:t>
            </w:r>
            <w:r w:rsidRPr="008F1819">
              <w:rPr>
                <w:rFonts w:ascii="Arial" w:hAnsi="Arial" w:cs="Arial"/>
                <w:color w:val="00B050"/>
                <w:szCs w:val="20"/>
              </w:rPr>
              <w:t>​​</w:t>
            </w:r>
            <w:r w:rsidRPr="008F1819">
              <w:rPr>
                <w:color w:val="00B050"/>
                <w:szCs w:val="20"/>
              </w:rPr>
              <w:t>s'</w:t>
            </w:r>
            <w:r w:rsidRPr="008F1819">
              <w:rPr>
                <w:rFonts w:cs="Verdana"/>
                <w:color w:val="00B050"/>
                <w:szCs w:val="20"/>
              </w:rPr>
              <w:t>é</w:t>
            </w:r>
            <w:r w:rsidRPr="008F1819">
              <w:rPr>
                <w:color w:val="00B050"/>
                <w:szCs w:val="20"/>
              </w:rPr>
              <w:t>l</w:t>
            </w:r>
            <w:r w:rsidRPr="008F1819">
              <w:rPr>
                <w:rFonts w:cs="Verdana"/>
                <w:color w:val="00B050"/>
                <w:szCs w:val="20"/>
              </w:rPr>
              <w:t>è</w:t>
            </w:r>
            <w:r w:rsidRPr="008F1819">
              <w:rPr>
                <w:color w:val="00B050"/>
                <w:szCs w:val="20"/>
              </w:rPr>
              <w:t xml:space="preserve">vent </w:t>
            </w:r>
            <w:r w:rsidRPr="008F1819">
              <w:rPr>
                <w:rFonts w:cs="Verdana"/>
                <w:color w:val="00B050"/>
                <w:szCs w:val="20"/>
              </w:rPr>
              <w:t>à</w:t>
            </w:r>
            <w:r w:rsidRPr="008F1819">
              <w:rPr>
                <w:color w:val="00B050"/>
                <w:szCs w:val="20"/>
              </w:rPr>
              <w:t xml:space="preserve"> environ 1050 milliards de dollars. Mais les gains ne sont pas également répartis entre les gagnants : 20 % des entreprises les plus chanceuses </w:t>
            </w:r>
            <w:r w:rsidR="000B0C44" w:rsidRPr="008F1819">
              <w:rPr>
                <w:color w:val="00B050"/>
                <w:szCs w:val="20"/>
              </w:rPr>
              <w:t xml:space="preserve">ont capté </w:t>
            </w:r>
            <w:r w:rsidRPr="008F1819">
              <w:rPr>
                <w:color w:val="00B050"/>
                <w:szCs w:val="20"/>
              </w:rPr>
              <w:t>50% du gâteau! Mais on peut se demander si ces tendances seront permanentes ou transitoires.</w:t>
            </w:r>
          </w:p>
          <w:p w14:paraId="4EF3AC96" w14:textId="19C906F7" w:rsidR="00CB0FCE" w:rsidRPr="008F1819" w:rsidRDefault="00CB0FCE" w:rsidP="00CB0FCE">
            <w:pPr>
              <w:jc w:val="both"/>
              <w:rPr>
                <w:color w:val="00B050"/>
                <w:szCs w:val="20"/>
              </w:rPr>
            </w:pPr>
            <w:r w:rsidRPr="008F1819">
              <w:rPr>
                <w:color w:val="00B050"/>
                <w:szCs w:val="20"/>
              </w:rPr>
              <w:t>Beaucoup de gens pensent que même après la crise, ce ne sera plus comme avant. Sur le long terme, ils pensent que nous trouverons un nouvel équilibre. Par exemple, les médianes mondiales des jours par semaine de travail à domicile sont estimées à respectivement 0,5, 5 et 2 jours avant</w:t>
            </w:r>
            <w:r w:rsidR="000B0C44" w:rsidRPr="008F1819">
              <w:rPr>
                <w:color w:val="00B050"/>
                <w:szCs w:val="20"/>
              </w:rPr>
              <w:t>,</w:t>
            </w:r>
            <w:r w:rsidRPr="008F1819">
              <w:rPr>
                <w:color w:val="00B050"/>
                <w:szCs w:val="20"/>
              </w:rPr>
              <w:t xml:space="preserve"> pendant</w:t>
            </w:r>
            <w:r w:rsidR="000B0C44" w:rsidRPr="008F1819">
              <w:rPr>
                <w:color w:val="00B050"/>
                <w:szCs w:val="20"/>
              </w:rPr>
              <w:t>,</w:t>
            </w:r>
            <w:r w:rsidRPr="008F1819">
              <w:rPr>
                <w:color w:val="00B050"/>
                <w:szCs w:val="20"/>
              </w:rPr>
              <w:t xml:space="preserve"> et après la COVID-19. En outre, une partie de la population à l'ère post-pandémique peut </w:t>
            </w:r>
            <w:r w:rsidR="000B0C44" w:rsidRPr="008F1819">
              <w:rPr>
                <w:color w:val="00B050"/>
                <w:szCs w:val="20"/>
              </w:rPr>
              <w:t xml:space="preserve">vouloir </w:t>
            </w:r>
            <w:r w:rsidRPr="008F1819">
              <w:rPr>
                <w:color w:val="00B050"/>
                <w:szCs w:val="20"/>
              </w:rPr>
              <w:t xml:space="preserve">éviter les transports publics en raison de problèmes de transmission de la maladie et opter pour des formes de mobilité plus individualistes car le coût et la commodité qui jouaient traditionnellement un rôle clé dans les décisions de choix de mode </w:t>
            </w:r>
            <w:r w:rsidR="000B0C44" w:rsidRPr="008F1819">
              <w:rPr>
                <w:color w:val="00B050"/>
                <w:szCs w:val="20"/>
              </w:rPr>
              <w:t xml:space="preserve">de transport </w:t>
            </w:r>
            <w:r w:rsidRPr="008F1819">
              <w:rPr>
                <w:color w:val="00B050"/>
                <w:szCs w:val="20"/>
              </w:rPr>
              <w:t>s</w:t>
            </w:r>
            <w:r w:rsidR="000B0C44" w:rsidRPr="008F1819">
              <w:rPr>
                <w:color w:val="00B050"/>
                <w:szCs w:val="20"/>
              </w:rPr>
              <w:t>er</w:t>
            </w:r>
            <w:r w:rsidRPr="008F1819">
              <w:rPr>
                <w:color w:val="00B050"/>
                <w:szCs w:val="20"/>
              </w:rPr>
              <w:t>ont remplacés par un facteur appelé à</w:t>
            </w:r>
            <w:r w:rsidR="000B0C44" w:rsidRPr="008F1819">
              <w:rPr>
                <w:color w:val="00B050"/>
                <w:szCs w:val="20"/>
              </w:rPr>
              <w:t xml:space="preserve"> « Réduire</w:t>
            </w:r>
            <w:r w:rsidRPr="008F1819">
              <w:rPr>
                <w:color w:val="00B050"/>
                <w:szCs w:val="20"/>
              </w:rPr>
              <w:t xml:space="preserve"> le risque </w:t>
            </w:r>
            <w:r w:rsidR="000B0C44" w:rsidRPr="008F1819">
              <w:rPr>
                <w:color w:val="00B050"/>
                <w:szCs w:val="20"/>
              </w:rPr>
              <w:t>d’infections »</w:t>
            </w:r>
            <w:r w:rsidRPr="008F1819">
              <w:rPr>
                <w:color w:val="00B050"/>
                <w:szCs w:val="20"/>
              </w:rPr>
              <w:t xml:space="preserve">. Un tel comportement peut réorienter la demande vers les voitures privées, le vélo (conventionnel ou électrique), la </w:t>
            </w:r>
            <w:r w:rsidR="000B0C44" w:rsidRPr="008F1819">
              <w:rPr>
                <w:color w:val="00B050"/>
                <w:szCs w:val="20"/>
              </w:rPr>
              <w:t>micromobilité</w:t>
            </w:r>
            <w:r w:rsidRPr="008F1819">
              <w:rPr>
                <w:color w:val="00B050"/>
                <w:szCs w:val="20"/>
              </w:rPr>
              <w:t xml:space="preserve"> et même la marche à pied après la COVID-19, comme ce qui s'est passé pendant la pandémie. Ainsi, le secteur des transports publics, le covoiturage, la voiture partagée et d'autres applications émergentes telles que </w:t>
            </w:r>
            <w:r w:rsidR="000B0C44" w:rsidRPr="008F1819">
              <w:rPr>
                <w:color w:val="00B050"/>
                <w:szCs w:val="20"/>
              </w:rPr>
              <w:t>« </w:t>
            </w:r>
            <w:r w:rsidRPr="008F1819">
              <w:rPr>
                <w:color w:val="00B050"/>
                <w:szCs w:val="20"/>
              </w:rPr>
              <w:t>MaaS</w:t>
            </w:r>
            <w:r w:rsidR="000B0C44" w:rsidRPr="008F1819">
              <w:rPr>
                <w:color w:val="00B050"/>
                <w:szCs w:val="20"/>
              </w:rPr>
              <w:t> »</w:t>
            </w:r>
            <w:r w:rsidRPr="008F1819">
              <w:rPr>
                <w:color w:val="00B050"/>
                <w:szCs w:val="20"/>
              </w:rPr>
              <w:t xml:space="preserve"> (Mobility as a Service) devraient faire face à d'importants problèmes de viabilité en raison de la perte de revenus pendant la période de confinement </w:t>
            </w:r>
            <w:r w:rsidR="000B0C44" w:rsidRPr="008F1819">
              <w:rPr>
                <w:color w:val="00B050"/>
                <w:szCs w:val="20"/>
              </w:rPr>
              <w:t xml:space="preserve">à la </w:t>
            </w:r>
            <w:r w:rsidRPr="008F1819">
              <w:rPr>
                <w:color w:val="00B050"/>
                <w:szCs w:val="20"/>
              </w:rPr>
              <w:t xml:space="preserve">suite </w:t>
            </w:r>
            <w:r w:rsidR="000B0C44" w:rsidRPr="008F1819">
              <w:rPr>
                <w:color w:val="00B050"/>
                <w:szCs w:val="20"/>
              </w:rPr>
              <w:t xml:space="preserve">de </w:t>
            </w:r>
            <w:r w:rsidRPr="008F1819">
              <w:rPr>
                <w:color w:val="00B050"/>
                <w:szCs w:val="20"/>
              </w:rPr>
              <w:t>la réduction de la demande réduite, qui risque d’être permanente. Les plans de relance financiers auront un impact direct sur les emplois locaux. Pour atténuer la pression, certains gouvernements fournissent un soutien à court terme sous la forme de subventions contingentes.</w:t>
            </w:r>
          </w:p>
          <w:p w14:paraId="08576A27" w14:textId="2ACE03DB" w:rsidR="00CB0FCE" w:rsidRPr="008F1819" w:rsidRDefault="000B0C44" w:rsidP="00CB0FCE">
            <w:pPr>
              <w:jc w:val="both"/>
              <w:rPr>
                <w:color w:val="00B050"/>
                <w:szCs w:val="20"/>
              </w:rPr>
            </w:pPr>
            <w:r w:rsidRPr="008F1819">
              <w:rPr>
                <w:color w:val="00B050"/>
                <w:szCs w:val="20"/>
              </w:rPr>
              <w:t xml:space="preserve">Il </w:t>
            </w:r>
            <w:r w:rsidR="00CB0FCE" w:rsidRPr="008F1819">
              <w:rPr>
                <w:color w:val="00B050"/>
                <w:szCs w:val="20"/>
              </w:rPr>
              <w:t>n'est pas possible de répondre à ces questions avec des modèles micro ou macro-économiques, car de nombreux comportements sont impliqués, et ils concernent, ici, des événements extrêmes. On peut en effet s'appuyer sur des crises antérieures, mais les prévisions basées sur le passé ne constituent pas un guide fiable (l'histoire ne se répète jamais). Par exemple, G. Chapelle</w:t>
            </w:r>
            <w:r w:rsidRPr="008F1819">
              <w:rPr>
                <w:color w:val="00B050"/>
                <w:szCs w:val="20"/>
              </w:rPr>
              <w:t xml:space="preserve"> a</w:t>
            </w:r>
            <w:r w:rsidR="00CB0FCE" w:rsidRPr="008F1819">
              <w:rPr>
                <w:color w:val="00B050"/>
                <w:szCs w:val="20"/>
              </w:rPr>
              <w:t xml:space="preserve"> montr</w:t>
            </w:r>
            <w:r w:rsidRPr="008F1819">
              <w:rPr>
                <w:color w:val="00B050"/>
                <w:szCs w:val="20"/>
              </w:rPr>
              <w:t>é</w:t>
            </w:r>
            <w:r w:rsidR="00CB0FCE" w:rsidRPr="008F1819">
              <w:rPr>
                <w:color w:val="00B050"/>
                <w:szCs w:val="20"/>
              </w:rPr>
              <w:t xml:space="preserve"> que les villes américaines qui ont </w:t>
            </w:r>
            <w:r w:rsidRPr="008F1819">
              <w:rPr>
                <w:color w:val="00B050"/>
                <w:szCs w:val="20"/>
              </w:rPr>
              <w:t>mis en œuvre une</w:t>
            </w:r>
            <w:r w:rsidR="00CB0FCE" w:rsidRPr="008F1819">
              <w:rPr>
                <w:color w:val="00B050"/>
                <w:szCs w:val="20"/>
              </w:rPr>
              <w:t xml:space="preserve"> politique de confinement pour la grippe espagnole </w:t>
            </w:r>
            <w:r w:rsidRPr="008F1819">
              <w:rPr>
                <w:color w:val="00B050"/>
                <w:szCs w:val="20"/>
              </w:rPr>
              <w:t>avaient été</w:t>
            </w:r>
            <w:r w:rsidR="00CB0FCE" w:rsidRPr="008F1819">
              <w:rPr>
                <w:color w:val="00B050"/>
                <w:szCs w:val="20"/>
              </w:rPr>
              <w:t xml:space="preserve"> moins bien loties que les villes qui ont refusé de le faire. Pensons-nous vraiment que l'expérience de la grippe espagnole puisse être utilisée pour orienter les politiques de confinement aujourd'hui</w:t>
            </w:r>
            <w:r w:rsidRPr="008F1819">
              <w:rPr>
                <w:color w:val="00B050"/>
                <w:szCs w:val="20"/>
              </w:rPr>
              <w:t xml:space="preserve"> </w:t>
            </w:r>
            <w:r w:rsidR="00CB0FCE" w:rsidRPr="008F1819">
              <w:rPr>
                <w:color w:val="00B050"/>
                <w:szCs w:val="20"/>
              </w:rPr>
              <w:t xml:space="preserve">? Probablement, personne ne le pense, et probablement personne ne le </w:t>
            </w:r>
            <w:r w:rsidRPr="008F1819">
              <w:rPr>
                <w:color w:val="00B050"/>
                <w:szCs w:val="20"/>
              </w:rPr>
              <w:t>sait !</w:t>
            </w:r>
          </w:p>
        </w:tc>
      </w:tr>
    </w:tbl>
    <w:p w14:paraId="1388D3F6" w14:textId="7ABE40F3" w:rsidR="00CB0FCE" w:rsidRDefault="00CB0FCE" w:rsidP="00CB0FCE"/>
    <w:p w14:paraId="4B82B371" w14:textId="3209D528" w:rsidR="00150A72" w:rsidRPr="0083174F" w:rsidRDefault="00DA1554" w:rsidP="00412C10">
      <w:pPr>
        <w:pStyle w:val="Titre3"/>
        <w:numPr>
          <w:ilvl w:val="3"/>
          <w:numId w:val="33"/>
        </w:numPr>
      </w:pPr>
      <w:bookmarkStart w:id="151" w:name="_Toc63352153"/>
      <w:r>
        <w:t>L</w:t>
      </w:r>
      <w:r w:rsidR="00150A72" w:rsidRPr="0083174F">
        <w:t>’analyse des risques</w:t>
      </w:r>
      <w:bookmarkEnd w:id="150"/>
      <w:bookmarkEnd w:id="151"/>
    </w:p>
    <w:p w14:paraId="702AD701" w14:textId="77777777" w:rsidR="00150A72" w:rsidRPr="00150A72" w:rsidRDefault="00150A72" w:rsidP="00150A72">
      <w:pPr>
        <w:jc w:val="both"/>
        <w:rPr>
          <w:i/>
        </w:rPr>
      </w:pPr>
    </w:p>
    <w:p w14:paraId="36874337" w14:textId="2E1A7B93" w:rsidR="00150A72" w:rsidRPr="00150A72" w:rsidRDefault="00150A72" w:rsidP="00150A72">
      <w:pPr>
        <w:jc w:val="both"/>
        <w:rPr>
          <w:i/>
        </w:rPr>
      </w:pPr>
      <w:r w:rsidRPr="00150A72">
        <w:rPr>
          <w:i/>
        </w:rPr>
        <w:lastRenderedPageBreak/>
        <w:t xml:space="preserve">L’annexe 2 présente une cartographie des risques par thème à l’échelle du programme et </w:t>
      </w:r>
      <w:r w:rsidR="00EC23F8">
        <w:rPr>
          <w:i/>
        </w:rPr>
        <w:t>de chacune des lignes</w:t>
      </w:r>
      <w:r w:rsidRPr="00150A72">
        <w:rPr>
          <w:i/>
        </w:rPr>
        <w:t xml:space="preserve">, et expose les mesures prises par la SGP pour le traitement de ces risques ainsi que leur prise en compte dans l’évaluation socio-économique.  </w:t>
      </w:r>
    </w:p>
    <w:p w14:paraId="7E2A6693" w14:textId="77777777" w:rsidR="00150A72" w:rsidRPr="00150A72" w:rsidRDefault="00150A72" w:rsidP="00150A72">
      <w:pPr>
        <w:jc w:val="both"/>
        <w:rPr>
          <w:i/>
        </w:rPr>
      </w:pPr>
    </w:p>
    <w:p w14:paraId="37E0FF66" w14:textId="77777777" w:rsidR="00150A72" w:rsidRPr="00150A72" w:rsidRDefault="00150A72" w:rsidP="00150A72">
      <w:pPr>
        <w:jc w:val="both"/>
      </w:pPr>
      <w:r w:rsidRPr="00150A72">
        <w:t xml:space="preserve">Les risques ont de multiples causes : ils peuvent être physiques (aléas naturels, industriels, actes malveillants) ou économiques (aléas liés à la demande de transport, aux coûts, aux prix relatifs, etc.). </w:t>
      </w:r>
    </w:p>
    <w:p w14:paraId="4DB2BB8E" w14:textId="77777777" w:rsidR="00150A72" w:rsidRPr="00150A72" w:rsidRDefault="00150A72" w:rsidP="00150A72">
      <w:pPr>
        <w:jc w:val="both"/>
      </w:pPr>
    </w:p>
    <w:p w14:paraId="5CD205B5" w14:textId="3ABAA2BF" w:rsidR="00150A72" w:rsidRPr="00854115" w:rsidRDefault="00150A72" w:rsidP="00150A72">
      <w:pPr>
        <w:jc w:val="both"/>
      </w:pPr>
      <w:r w:rsidRPr="00854115">
        <w:t xml:space="preserve">Les </w:t>
      </w:r>
      <w:r w:rsidRPr="00854115">
        <w:rPr>
          <w:b/>
          <w:bCs/>
        </w:rPr>
        <w:t>risques non systémiques</w:t>
      </w:r>
      <w:r w:rsidRPr="00854115">
        <w:t xml:space="preserve">, concernent notamment des risques liés à la mise en œuvre de l’évaluation et peuvent résulter par exemple de l’emploi de données insuffisamment fiables (enquêtes origines/destinations ou modélisations insuffisantes, erreur d’estimation des coûts dans l’option de référence ou dans les options de projet, etc.), et sont pris  en compte, dans l’analyse monétarisée, dans de nombreux calculs de variantes et de notes pour permettre d’apprécier les </w:t>
      </w:r>
      <w:r w:rsidR="00A87CC4" w:rsidRPr="00854115">
        <w:t>fourchettes</w:t>
      </w:r>
      <w:r w:rsidRPr="00854115">
        <w:t xml:space="preserve"> d’incertitude des données en cause. Il s’agit également des incertitudes propres aux techniques d’évaluation et aux modèles utilisés dans leur capacité à analyser les réalités et à prévoir les états futurs de l’économie. Il convient de souligner que l’appréciation du Conseil scientifique de la Société du Grand Paris sur ces incertitudes et sur leur effet sur la quantification de l’évaluation est que les bénéfices calculés pour le projet sont plutôt </w:t>
      </w:r>
      <w:r w:rsidR="001D2D1C" w:rsidRPr="00854115">
        <w:t>sous-estimés</w:t>
      </w:r>
      <w:r w:rsidRPr="00854115">
        <w:t>.</w:t>
      </w:r>
      <w:r w:rsidR="002A5409" w:rsidRPr="00854115">
        <w:t xml:space="preserve"> En effet, </w:t>
      </w:r>
      <w:r w:rsidR="002A5409" w:rsidRPr="00DA1554">
        <w:t xml:space="preserve">la VAN qui est de </w:t>
      </w:r>
      <w:r w:rsidR="00680E13">
        <w:t>30,5</w:t>
      </w:r>
      <w:r w:rsidR="002A5409" w:rsidRPr="00DA1554">
        <w:t xml:space="preserve"> milliards d’euros </w:t>
      </w:r>
      <w:r w:rsidR="00E6513A" w:rsidRPr="00DA1554">
        <w:t>2015</w:t>
      </w:r>
      <w:r w:rsidR="00526C40" w:rsidRPr="00DA1554">
        <w:t xml:space="preserve"> avec COFP</w:t>
      </w:r>
      <w:r w:rsidR="00E6513A" w:rsidRPr="00DA1554">
        <w:t xml:space="preserve"> </w:t>
      </w:r>
      <w:r w:rsidR="002A5409" w:rsidRPr="00DA1554">
        <w:t xml:space="preserve">sous les hypothèses très prudentes et avec les </w:t>
      </w:r>
      <w:r w:rsidR="002A5409" w:rsidRPr="00854115">
        <w:t>paramètres restrictifs retenus dans ce document serait par exemple deux à trois fois supérieure avec les paramètres retenus par exemple par les « guidances » du département britannique des transports, ou tout simplement si, au lieu d’avoir retenu les données les plus basses pour l’évaluation des avantages, on avait simplement pris les valeurs moyennes</w:t>
      </w:r>
      <w:r w:rsidR="008A593A" w:rsidRPr="00854115">
        <w:t xml:space="preserve"> acceptables en fonction des connaissances.</w:t>
      </w:r>
      <w:r w:rsidR="002A5409" w:rsidRPr="00854115">
        <w:t xml:space="preserve"> </w:t>
      </w:r>
    </w:p>
    <w:p w14:paraId="0031E9C4" w14:textId="77777777" w:rsidR="00150A72" w:rsidRPr="00854115" w:rsidRDefault="00150A72" w:rsidP="00150A72">
      <w:pPr>
        <w:jc w:val="both"/>
      </w:pPr>
    </w:p>
    <w:p w14:paraId="15E1C518" w14:textId="286FAAA5" w:rsidR="00150A72" w:rsidRPr="00854115" w:rsidRDefault="00150A72" w:rsidP="00150A72">
      <w:pPr>
        <w:jc w:val="both"/>
      </w:pPr>
      <w:r w:rsidRPr="00854115">
        <w:t xml:space="preserve">L’approche pour la prise en compte du </w:t>
      </w:r>
      <w:r w:rsidRPr="00854115">
        <w:rPr>
          <w:b/>
          <w:bCs/>
        </w:rPr>
        <w:t>risque systémique</w:t>
      </w:r>
      <w:r w:rsidRPr="00854115">
        <w:t xml:space="preserve"> est la suivante, en application du principe de proportionnalité et conformément à la note technique du 16 juin </w:t>
      </w:r>
      <w:r w:rsidRPr="00DA1554">
        <w:t>2014</w:t>
      </w:r>
      <w:r w:rsidR="00EC23F8">
        <w:t xml:space="preserve"> </w:t>
      </w:r>
      <w:r w:rsidR="00526C40" w:rsidRPr="00DA1554">
        <w:t>actualisée le 03 mai 2019,</w:t>
      </w:r>
      <w:r w:rsidRPr="00DA1554">
        <w:t xml:space="preserve"> </w:t>
      </w:r>
      <w:r w:rsidRPr="00854115">
        <w:t>qui indique que</w:t>
      </w:r>
      <w:r w:rsidR="001D2D1C" w:rsidRPr="00854115">
        <w:t xml:space="preserve"> «</w:t>
      </w:r>
      <w:r w:rsidR="001D2D1C" w:rsidRPr="00854115">
        <w:rPr>
          <w:i/>
        </w:rPr>
        <w:t xml:space="preserve"> Le</w:t>
      </w:r>
      <w:r w:rsidRPr="00854115">
        <w:rPr>
          <w:i/>
        </w:rPr>
        <w:t xml:space="preserve"> risque systémique reflète la sensibilité de la VAN au </w:t>
      </w:r>
      <w:r w:rsidR="00843EF2" w:rsidRPr="00854115">
        <w:rPr>
          <w:i/>
        </w:rPr>
        <w:t>scénario d’évolution</w:t>
      </w:r>
      <w:r w:rsidRPr="00854115">
        <w:rPr>
          <w:i/>
        </w:rPr>
        <w:t xml:space="preserve"> du PIB retenu sur la durée d’évaluation. Le risque systémique est spécifique au projet considéré. Il dépend de la sensibilité des différentes composantes de la VAN au PIB, et notamment des liens entre la demande de transport adressée au projet et le PIB </w:t>
      </w:r>
      <w:r w:rsidRPr="00854115">
        <w:t xml:space="preserve">». </w:t>
      </w:r>
    </w:p>
    <w:p w14:paraId="1152E8BD" w14:textId="77777777" w:rsidR="00150A72" w:rsidRPr="00854115" w:rsidRDefault="00150A72" w:rsidP="00150A72">
      <w:pPr>
        <w:jc w:val="both"/>
      </w:pPr>
    </w:p>
    <w:p w14:paraId="34B7534A" w14:textId="3FFAB35F" w:rsidR="00150A72" w:rsidRPr="00854115" w:rsidRDefault="00150A72" w:rsidP="00150A72">
      <w:pPr>
        <w:jc w:val="both"/>
      </w:pPr>
      <w:r w:rsidRPr="00854115">
        <w:t xml:space="preserve">La première étape de l’analyse consiste à apprécier si le projet est exposé, ou non, au risque systémique. Cette étape est conduite en procédant à un test de « stress » ou de sensibilité au PIB, fondé sur une </w:t>
      </w:r>
      <w:r w:rsidR="001D2D1C" w:rsidRPr="00854115">
        <w:t>option macro</w:t>
      </w:r>
      <w:r w:rsidRPr="00854115">
        <w:t>-économique dégradée (calcul et comparaison d’une VAN « sans stress » et d’une VAN « stressée ») :</w:t>
      </w:r>
    </w:p>
    <w:p w14:paraId="7803057E" w14:textId="77777777" w:rsidR="00150A72" w:rsidRPr="00854115" w:rsidRDefault="00150A72" w:rsidP="00150A72">
      <w:pPr>
        <w:jc w:val="both"/>
      </w:pPr>
    </w:p>
    <w:p w14:paraId="26F6AD5C" w14:textId="49526331" w:rsidR="00150A72" w:rsidRPr="00854115" w:rsidRDefault="00150A72" w:rsidP="0083506E">
      <w:pPr>
        <w:numPr>
          <w:ilvl w:val="0"/>
          <w:numId w:val="7"/>
        </w:numPr>
        <w:jc w:val="both"/>
      </w:pPr>
      <w:r w:rsidRPr="00854115">
        <w:t xml:space="preserve">si le projet apparaît, au vu de ce test de stress, non exposé au risque systémique, la VAN du projet est calculée avec un taux d’actualisation égal à 4% ; </w:t>
      </w:r>
    </w:p>
    <w:p w14:paraId="60655C31" w14:textId="77777777" w:rsidR="00150A72" w:rsidRPr="00854115" w:rsidRDefault="00150A72" w:rsidP="0083506E">
      <w:pPr>
        <w:numPr>
          <w:ilvl w:val="0"/>
          <w:numId w:val="7"/>
        </w:numPr>
        <w:jc w:val="both"/>
      </w:pPr>
      <w:r w:rsidRPr="00854115">
        <w:t>si le projet apparaît, au vu de ce test de stress, exposé au risque systémique, l’objectif est alors d’apprécier le degré d’exposition au risque du projet.</w:t>
      </w:r>
    </w:p>
    <w:p w14:paraId="2B8E9F5D" w14:textId="77777777" w:rsidR="00150A72" w:rsidRPr="00854115" w:rsidRDefault="00150A72" w:rsidP="00150A72">
      <w:pPr>
        <w:jc w:val="both"/>
      </w:pPr>
    </w:p>
    <w:p w14:paraId="19848B47" w14:textId="03EABEDC" w:rsidR="00150A72" w:rsidRDefault="00150A72" w:rsidP="00150A72">
      <w:pPr>
        <w:jc w:val="both"/>
      </w:pPr>
      <w:r w:rsidRPr="00854115">
        <w:t xml:space="preserve">En pratique, la VAN « stressée » est calculée en considérant les avantages dans une </w:t>
      </w:r>
      <w:r w:rsidR="001D2D1C" w:rsidRPr="00854115">
        <w:t>hypothèse macro</w:t>
      </w:r>
      <w:r w:rsidRPr="00854115">
        <w:t>-économique se caractérisant par une croissance du PIB de 0% par an sur la durée de prévision et un taux d’actualisation paramétré à 4%. Cette hypothèse présente a priori un fort contraste par rapport aux hypothèses macro-économiques usuellement utilisés, dont la croissance tendancielle est de l’ordre de 1,5% par an. Si la VAN stressée est inférieure à 80% de la VAN sans stress, ou que la VAN stressée est négative, le projet est présumé vulnérable aux risques systémiques. C’est le cas du programme du Grand Paris Express, comme le montrent les tableaux ci-après :</w:t>
      </w:r>
    </w:p>
    <w:p w14:paraId="5FA8BC69" w14:textId="77777777" w:rsidR="008C1FB7" w:rsidRPr="00854115" w:rsidRDefault="008C1FB7" w:rsidP="00150A72">
      <w:pPr>
        <w:jc w:val="both"/>
      </w:pPr>
    </w:p>
    <w:p w14:paraId="71E6F0D0" w14:textId="2674A19E" w:rsidR="00150A72" w:rsidRDefault="00150A72" w:rsidP="00150A72">
      <w:pPr>
        <w:jc w:val="both"/>
      </w:pPr>
    </w:p>
    <w:tbl>
      <w:tblPr>
        <w:tblW w:w="7386" w:type="dxa"/>
        <w:jc w:val="center"/>
        <w:tblLayout w:type="fixed"/>
        <w:tblCellMar>
          <w:left w:w="70" w:type="dxa"/>
          <w:right w:w="70" w:type="dxa"/>
        </w:tblCellMar>
        <w:tblLook w:val="04A0" w:firstRow="1" w:lastRow="0" w:firstColumn="1" w:lastColumn="0" w:noHBand="0" w:noVBand="1"/>
      </w:tblPr>
      <w:tblGrid>
        <w:gridCol w:w="4410"/>
        <w:gridCol w:w="1488"/>
        <w:gridCol w:w="1488"/>
      </w:tblGrid>
      <w:tr w:rsidR="00150A72" w:rsidRPr="00150A72" w14:paraId="63080822" w14:textId="77777777" w:rsidTr="0084080B">
        <w:trPr>
          <w:trHeight w:val="20"/>
          <w:jc w:val="center"/>
        </w:trPr>
        <w:tc>
          <w:tcPr>
            <w:tcW w:w="4410" w:type="dxa"/>
            <w:vMerge w:val="restart"/>
            <w:tcBorders>
              <w:top w:val="single" w:sz="8" w:space="0" w:color="auto"/>
              <w:left w:val="single" w:sz="8" w:space="0" w:color="auto"/>
              <w:right w:val="single" w:sz="4" w:space="0" w:color="auto"/>
            </w:tcBorders>
            <w:shd w:val="clear" w:color="000000" w:fill="FFFFFF"/>
            <w:noWrap/>
            <w:vAlign w:val="center"/>
            <w:hideMark/>
          </w:tcPr>
          <w:p w14:paraId="43B14117" w14:textId="35661EA0" w:rsidR="00150A72" w:rsidRPr="00150A72" w:rsidRDefault="00150A72" w:rsidP="00150A72">
            <w:pPr>
              <w:jc w:val="both"/>
              <w:rPr>
                <w:rFonts w:eastAsia="Times New Roman" w:cs="Arial"/>
                <w:szCs w:val="20"/>
                <w:lang w:eastAsia="fr-FR"/>
              </w:rPr>
            </w:pPr>
            <w:r w:rsidRPr="00150A72">
              <w:rPr>
                <w:rFonts w:eastAsia="Times New Roman" w:cs="Arial"/>
                <w:b/>
                <w:szCs w:val="20"/>
                <w:lang w:eastAsia="fr-FR"/>
              </w:rPr>
              <w:t>VAN « sans stress »</w:t>
            </w:r>
            <w:r w:rsidRPr="00150A72">
              <w:rPr>
                <w:rFonts w:eastAsia="Times New Roman" w:cs="Arial"/>
                <w:szCs w:val="20"/>
                <w:lang w:eastAsia="fr-FR"/>
              </w:rPr>
              <w:t xml:space="preserve"> (Md€ 201</w:t>
            </w:r>
            <w:r w:rsidR="00E6513A">
              <w:rPr>
                <w:rFonts w:eastAsia="Times New Roman" w:cs="Arial"/>
                <w:szCs w:val="20"/>
                <w:lang w:eastAsia="fr-FR"/>
              </w:rPr>
              <w:t>5</w:t>
            </w:r>
            <w:r w:rsidRPr="00150A72">
              <w:rPr>
                <w:rFonts w:eastAsia="Times New Roman" w:cs="Arial"/>
                <w:szCs w:val="20"/>
                <w:lang w:eastAsia="fr-FR"/>
              </w:rPr>
              <w:t>)</w:t>
            </w:r>
          </w:p>
          <w:p w14:paraId="021AEDFE" w14:textId="77777777" w:rsidR="00150A72" w:rsidRPr="00150A72" w:rsidRDefault="00150A72" w:rsidP="00150A72">
            <w:pPr>
              <w:jc w:val="both"/>
              <w:rPr>
                <w:rFonts w:eastAsia="Times New Roman" w:cs="Arial"/>
                <w:i/>
                <w:szCs w:val="20"/>
                <w:lang w:eastAsia="fr-FR"/>
              </w:rPr>
            </w:pPr>
            <w:r w:rsidRPr="00150A72">
              <w:rPr>
                <w:rFonts w:eastAsia="Times New Roman" w:cs="Arial"/>
                <w:i/>
                <w:szCs w:val="20"/>
                <w:lang w:eastAsia="fr-FR"/>
              </w:rPr>
              <w:t>(actualisation à 4%)</w:t>
            </w:r>
          </w:p>
        </w:tc>
        <w:tc>
          <w:tcPr>
            <w:tcW w:w="2976" w:type="dxa"/>
            <w:gridSpan w:val="2"/>
            <w:tcBorders>
              <w:top w:val="single" w:sz="8" w:space="0" w:color="auto"/>
              <w:left w:val="nil"/>
              <w:bottom w:val="single" w:sz="4" w:space="0" w:color="auto"/>
              <w:right w:val="single" w:sz="4" w:space="0" w:color="auto"/>
            </w:tcBorders>
            <w:shd w:val="clear" w:color="000000" w:fill="FFFFFF"/>
            <w:noWrap/>
            <w:vAlign w:val="center"/>
            <w:hideMark/>
          </w:tcPr>
          <w:p w14:paraId="5E28EC8F" w14:textId="29B1B58C" w:rsidR="00150A72" w:rsidRPr="00150A72" w:rsidRDefault="00150A72" w:rsidP="00150A72">
            <w:pPr>
              <w:jc w:val="center"/>
              <w:rPr>
                <w:rFonts w:eastAsia="Times New Roman" w:cs="Arial"/>
                <w:szCs w:val="20"/>
                <w:lang w:eastAsia="fr-FR"/>
              </w:rPr>
            </w:pPr>
          </w:p>
        </w:tc>
      </w:tr>
      <w:tr w:rsidR="00150A72" w:rsidRPr="00150A72" w14:paraId="769AA643" w14:textId="77777777" w:rsidTr="0084080B">
        <w:trPr>
          <w:trHeight w:val="20"/>
          <w:jc w:val="center"/>
        </w:trPr>
        <w:tc>
          <w:tcPr>
            <w:tcW w:w="4410" w:type="dxa"/>
            <w:vMerge/>
            <w:tcBorders>
              <w:left w:val="single" w:sz="8" w:space="0" w:color="auto"/>
              <w:bottom w:val="single" w:sz="4" w:space="0" w:color="auto"/>
              <w:right w:val="single" w:sz="4" w:space="0" w:color="auto"/>
            </w:tcBorders>
            <w:shd w:val="clear" w:color="000000" w:fill="FFFFFF"/>
            <w:noWrap/>
            <w:vAlign w:val="center"/>
            <w:hideMark/>
          </w:tcPr>
          <w:p w14:paraId="462CFD8F" w14:textId="77777777" w:rsidR="00150A72" w:rsidRPr="00150A72" w:rsidRDefault="00150A72" w:rsidP="00150A72">
            <w:pPr>
              <w:jc w:val="both"/>
              <w:rPr>
                <w:rFonts w:eastAsia="Times New Roman" w:cs="Arial"/>
                <w:szCs w:val="20"/>
                <w:lang w:eastAsia="fr-FR"/>
              </w:rPr>
            </w:pPr>
          </w:p>
        </w:tc>
        <w:tc>
          <w:tcPr>
            <w:tcW w:w="1488" w:type="dxa"/>
            <w:tcBorders>
              <w:top w:val="nil"/>
              <w:left w:val="nil"/>
              <w:bottom w:val="single" w:sz="4" w:space="0" w:color="auto"/>
              <w:right w:val="single" w:sz="4" w:space="0" w:color="auto"/>
            </w:tcBorders>
            <w:shd w:val="clear" w:color="000000" w:fill="FFFFFF"/>
            <w:noWrap/>
            <w:vAlign w:val="center"/>
            <w:hideMark/>
          </w:tcPr>
          <w:p w14:paraId="47081E6E" w14:textId="77777777" w:rsidR="00150A72" w:rsidRPr="00150A72" w:rsidRDefault="00150A72" w:rsidP="00150A72">
            <w:pPr>
              <w:jc w:val="center"/>
              <w:rPr>
                <w:rFonts w:eastAsia="Times New Roman" w:cs="Arial"/>
                <w:i/>
                <w:szCs w:val="20"/>
                <w:lang w:eastAsia="fr-FR"/>
              </w:rPr>
            </w:pPr>
            <w:r w:rsidRPr="00150A72">
              <w:rPr>
                <w:rFonts w:eastAsia="Times New Roman" w:cs="Arial"/>
                <w:i/>
                <w:szCs w:val="20"/>
                <w:lang w:eastAsia="fr-FR"/>
              </w:rPr>
              <w:t>sans COFP</w:t>
            </w:r>
          </w:p>
        </w:tc>
        <w:tc>
          <w:tcPr>
            <w:tcW w:w="1488" w:type="dxa"/>
            <w:tcBorders>
              <w:top w:val="nil"/>
              <w:left w:val="nil"/>
              <w:bottom w:val="single" w:sz="4" w:space="0" w:color="auto"/>
              <w:right w:val="single" w:sz="4" w:space="0" w:color="auto"/>
            </w:tcBorders>
            <w:shd w:val="clear" w:color="000000" w:fill="FFFFFF"/>
            <w:noWrap/>
            <w:vAlign w:val="center"/>
            <w:hideMark/>
          </w:tcPr>
          <w:p w14:paraId="1D8446BE" w14:textId="77777777" w:rsidR="00150A72" w:rsidRPr="00150A72" w:rsidRDefault="00150A72" w:rsidP="00150A72">
            <w:pPr>
              <w:jc w:val="center"/>
              <w:rPr>
                <w:rFonts w:eastAsia="Times New Roman" w:cs="Arial"/>
                <w:i/>
                <w:szCs w:val="20"/>
                <w:lang w:eastAsia="fr-FR"/>
              </w:rPr>
            </w:pPr>
            <w:r w:rsidRPr="00150A72">
              <w:rPr>
                <w:rFonts w:eastAsia="Times New Roman" w:cs="Arial"/>
                <w:i/>
                <w:szCs w:val="20"/>
                <w:lang w:eastAsia="fr-FR"/>
              </w:rPr>
              <w:t>avec COFP</w:t>
            </w:r>
          </w:p>
        </w:tc>
      </w:tr>
      <w:tr w:rsidR="00460CC8" w:rsidRPr="00150A72" w14:paraId="4D364FCE"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hideMark/>
          </w:tcPr>
          <w:p w14:paraId="25E93DDF" w14:textId="77777777" w:rsidR="00460CC8" w:rsidRPr="00150A72" w:rsidRDefault="00460CC8" w:rsidP="00460CC8">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 xml:space="preserve">Avantages </w:t>
            </w:r>
          </w:p>
        </w:tc>
        <w:tc>
          <w:tcPr>
            <w:tcW w:w="2976" w:type="dxa"/>
            <w:gridSpan w:val="2"/>
            <w:tcBorders>
              <w:top w:val="single" w:sz="4" w:space="0" w:color="auto"/>
              <w:left w:val="nil"/>
              <w:bottom w:val="single" w:sz="4" w:space="0" w:color="auto"/>
              <w:right w:val="single" w:sz="4" w:space="0" w:color="auto"/>
            </w:tcBorders>
            <w:shd w:val="clear" w:color="000000" w:fill="FFFFFF"/>
            <w:noWrap/>
          </w:tcPr>
          <w:p w14:paraId="7FF74C47" w14:textId="32AF75FB" w:rsidR="00460CC8" w:rsidRPr="00460CC8" w:rsidRDefault="00460CC8" w:rsidP="00460CC8">
            <w:pPr>
              <w:jc w:val="center"/>
              <w:rPr>
                <w:rFonts w:eastAsia="Times New Roman" w:cs="Arial"/>
                <w:color w:val="00B050"/>
                <w:szCs w:val="20"/>
                <w:lang w:eastAsia="fr-FR"/>
              </w:rPr>
            </w:pPr>
            <w:r w:rsidRPr="00460CC8">
              <w:rPr>
                <w:color w:val="00B050"/>
              </w:rPr>
              <w:t>84,86</w:t>
            </w:r>
          </w:p>
        </w:tc>
      </w:tr>
      <w:tr w:rsidR="00460CC8" w:rsidRPr="00150A72" w14:paraId="61E84A25"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hideMark/>
          </w:tcPr>
          <w:p w14:paraId="37A0702C" w14:textId="77777777" w:rsidR="00460CC8" w:rsidRPr="00150A72" w:rsidRDefault="00460CC8" w:rsidP="00460CC8">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Divers (voirie et taxes sur essence)</w:t>
            </w:r>
          </w:p>
        </w:tc>
        <w:tc>
          <w:tcPr>
            <w:tcW w:w="1488" w:type="dxa"/>
            <w:tcBorders>
              <w:top w:val="nil"/>
              <w:left w:val="nil"/>
              <w:bottom w:val="single" w:sz="4" w:space="0" w:color="auto"/>
              <w:right w:val="single" w:sz="4" w:space="0" w:color="auto"/>
            </w:tcBorders>
            <w:shd w:val="clear" w:color="000000" w:fill="FFFFFF"/>
            <w:noWrap/>
          </w:tcPr>
          <w:p w14:paraId="20FC15C3" w14:textId="195379D0" w:rsidR="00460CC8" w:rsidRPr="00460CC8" w:rsidRDefault="00460CC8" w:rsidP="00460CC8">
            <w:pPr>
              <w:jc w:val="center"/>
              <w:rPr>
                <w:rFonts w:eastAsia="Times New Roman" w:cs="Arial"/>
                <w:color w:val="00B050"/>
                <w:szCs w:val="20"/>
                <w:lang w:eastAsia="fr-FR"/>
              </w:rPr>
            </w:pPr>
            <w:r w:rsidRPr="00460CC8">
              <w:rPr>
                <w:color w:val="00B050"/>
              </w:rPr>
              <w:t>-0,06</w:t>
            </w:r>
          </w:p>
        </w:tc>
        <w:tc>
          <w:tcPr>
            <w:tcW w:w="1488" w:type="dxa"/>
            <w:tcBorders>
              <w:top w:val="nil"/>
              <w:left w:val="nil"/>
              <w:bottom w:val="single" w:sz="4" w:space="0" w:color="auto"/>
              <w:right w:val="single" w:sz="4" w:space="0" w:color="auto"/>
            </w:tcBorders>
            <w:shd w:val="clear" w:color="000000" w:fill="FFFFFF"/>
            <w:noWrap/>
          </w:tcPr>
          <w:p w14:paraId="01DBA226" w14:textId="4875A41B" w:rsidR="00460CC8" w:rsidRPr="00460CC8" w:rsidRDefault="00460CC8" w:rsidP="00460CC8">
            <w:pPr>
              <w:jc w:val="center"/>
              <w:rPr>
                <w:rFonts w:eastAsia="Times New Roman" w:cs="Arial"/>
                <w:color w:val="00B050"/>
                <w:szCs w:val="20"/>
                <w:lang w:eastAsia="fr-FR"/>
              </w:rPr>
            </w:pPr>
            <w:r w:rsidRPr="00460CC8">
              <w:rPr>
                <w:color w:val="00B050"/>
              </w:rPr>
              <w:t>-0,08</w:t>
            </w:r>
          </w:p>
        </w:tc>
      </w:tr>
      <w:tr w:rsidR="00460CC8" w:rsidRPr="00150A72" w14:paraId="4CF0E96B"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hideMark/>
          </w:tcPr>
          <w:p w14:paraId="27714C14" w14:textId="77777777" w:rsidR="00460CC8" w:rsidRPr="00150A72" w:rsidRDefault="00460CC8" w:rsidP="00460CC8">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 xml:space="preserve">Coûts d’exploitation et d’investissement </w:t>
            </w:r>
          </w:p>
        </w:tc>
        <w:tc>
          <w:tcPr>
            <w:tcW w:w="1488" w:type="dxa"/>
            <w:tcBorders>
              <w:top w:val="nil"/>
              <w:left w:val="nil"/>
              <w:bottom w:val="single" w:sz="4" w:space="0" w:color="auto"/>
              <w:right w:val="single" w:sz="4" w:space="0" w:color="auto"/>
            </w:tcBorders>
            <w:shd w:val="clear" w:color="000000" w:fill="FFFFFF"/>
            <w:noWrap/>
          </w:tcPr>
          <w:p w14:paraId="4080758E" w14:textId="0B00DAC4" w:rsidR="00460CC8" w:rsidRPr="00460CC8" w:rsidRDefault="00460CC8" w:rsidP="00460CC8">
            <w:pPr>
              <w:jc w:val="center"/>
              <w:rPr>
                <w:rFonts w:eastAsia="Times New Roman" w:cs="Arial"/>
                <w:color w:val="00B050"/>
                <w:szCs w:val="20"/>
                <w:lang w:eastAsia="fr-FR"/>
              </w:rPr>
            </w:pPr>
            <w:r w:rsidRPr="00460CC8">
              <w:rPr>
                <w:color w:val="00B050"/>
              </w:rPr>
              <w:t>-38,06</w:t>
            </w:r>
          </w:p>
        </w:tc>
        <w:tc>
          <w:tcPr>
            <w:tcW w:w="1488" w:type="dxa"/>
            <w:tcBorders>
              <w:top w:val="nil"/>
              <w:left w:val="nil"/>
              <w:bottom w:val="single" w:sz="4" w:space="0" w:color="auto"/>
              <w:right w:val="single" w:sz="4" w:space="0" w:color="auto"/>
            </w:tcBorders>
            <w:shd w:val="clear" w:color="000000" w:fill="FFFFFF"/>
            <w:noWrap/>
          </w:tcPr>
          <w:p w14:paraId="1B2A9DB5" w14:textId="25285CD2" w:rsidR="00460CC8" w:rsidRPr="00460CC8" w:rsidRDefault="00460CC8" w:rsidP="00460CC8">
            <w:pPr>
              <w:jc w:val="center"/>
              <w:rPr>
                <w:rFonts w:eastAsia="Times New Roman" w:cs="Arial"/>
                <w:color w:val="00B050"/>
                <w:szCs w:val="20"/>
                <w:lang w:eastAsia="fr-FR"/>
              </w:rPr>
            </w:pPr>
            <w:r w:rsidRPr="00460CC8">
              <w:rPr>
                <w:color w:val="00B050"/>
              </w:rPr>
              <w:t>-48,34</w:t>
            </w:r>
          </w:p>
        </w:tc>
      </w:tr>
      <w:tr w:rsidR="00460CC8" w:rsidRPr="00150A72" w14:paraId="1507E8D0"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vAlign w:val="center"/>
            <w:hideMark/>
          </w:tcPr>
          <w:p w14:paraId="51377E58" w14:textId="0B1E94A2" w:rsidR="00460CC8" w:rsidRPr="00150A72" w:rsidRDefault="00460CC8" w:rsidP="00460CC8">
            <w:pPr>
              <w:jc w:val="both"/>
              <w:rPr>
                <w:rFonts w:eastAsia="Times New Roman" w:cs="Arial"/>
                <w:b/>
                <w:bCs/>
                <w:i/>
                <w:iCs/>
                <w:szCs w:val="20"/>
                <w:lang w:eastAsia="fr-FR"/>
              </w:rPr>
            </w:pPr>
            <w:r w:rsidRPr="00C15A3F">
              <w:rPr>
                <w:rFonts w:eastAsia="Calibri" w:cs="Cambria"/>
                <w:b/>
                <w:i/>
                <w:color w:val="931638"/>
                <w:szCs w:val="20"/>
                <w:lang w:eastAsia="ar-SA"/>
              </w:rPr>
              <w:t>Valeur actualisée nette (VAN)</w:t>
            </w:r>
          </w:p>
        </w:tc>
        <w:tc>
          <w:tcPr>
            <w:tcW w:w="1488" w:type="dxa"/>
            <w:tcBorders>
              <w:top w:val="nil"/>
              <w:left w:val="nil"/>
              <w:bottom w:val="single" w:sz="4" w:space="0" w:color="auto"/>
              <w:right w:val="single" w:sz="4" w:space="0" w:color="auto"/>
            </w:tcBorders>
            <w:shd w:val="clear" w:color="000000" w:fill="FFFFFF"/>
            <w:noWrap/>
          </w:tcPr>
          <w:p w14:paraId="58F6D2F4" w14:textId="29197F00" w:rsidR="00460CC8" w:rsidRPr="00460CC8" w:rsidRDefault="00460CC8" w:rsidP="00460CC8">
            <w:pPr>
              <w:jc w:val="center"/>
              <w:rPr>
                <w:rFonts w:eastAsia="Times New Roman" w:cs="Arial"/>
                <w:b/>
                <w:bCs/>
                <w:i/>
                <w:iCs/>
                <w:color w:val="00B050"/>
                <w:szCs w:val="20"/>
                <w:lang w:eastAsia="fr-FR"/>
              </w:rPr>
            </w:pPr>
            <w:r w:rsidRPr="00460CC8">
              <w:rPr>
                <w:color w:val="00B050"/>
              </w:rPr>
              <w:t>46,74</w:t>
            </w:r>
          </w:p>
        </w:tc>
        <w:tc>
          <w:tcPr>
            <w:tcW w:w="1488" w:type="dxa"/>
            <w:tcBorders>
              <w:top w:val="nil"/>
              <w:left w:val="nil"/>
              <w:bottom w:val="single" w:sz="4" w:space="0" w:color="auto"/>
              <w:right w:val="single" w:sz="4" w:space="0" w:color="auto"/>
            </w:tcBorders>
            <w:shd w:val="clear" w:color="000000" w:fill="FFFFFF"/>
            <w:noWrap/>
          </w:tcPr>
          <w:p w14:paraId="1007C471" w14:textId="2E2F08CA" w:rsidR="00460CC8" w:rsidRPr="00460CC8" w:rsidRDefault="00460CC8" w:rsidP="00460CC8">
            <w:pPr>
              <w:jc w:val="center"/>
              <w:rPr>
                <w:rFonts w:eastAsia="Times New Roman" w:cs="Arial"/>
                <w:b/>
                <w:bCs/>
                <w:i/>
                <w:iCs/>
                <w:color w:val="00B050"/>
                <w:szCs w:val="20"/>
                <w:lang w:eastAsia="fr-FR"/>
              </w:rPr>
            </w:pPr>
            <w:r w:rsidRPr="00460CC8">
              <w:rPr>
                <w:color w:val="00B050"/>
              </w:rPr>
              <w:t>36,44</w:t>
            </w:r>
          </w:p>
        </w:tc>
      </w:tr>
      <w:tr w:rsidR="00460CC8" w:rsidRPr="00150A72" w14:paraId="00BAE9E6"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hideMark/>
          </w:tcPr>
          <w:p w14:paraId="6B7B2B28" w14:textId="77777777" w:rsidR="00460CC8" w:rsidRPr="00150A72" w:rsidRDefault="00460CC8" w:rsidP="00460CC8">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VAN / euro investi</w:t>
            </w:r>
          </w:p>
        </w:tc>
        <w:tc>
          <w:tcPr>
            <w:tcW w:w="1488" w:type="dxa"/>
            <w:tcBorders>
              <w:top w:val="nil"/>
              <w:left w:val="nil"/>
              <w:bottom w:val="single" w:sz="4" w:space="0" w:color="auto"/>
              <w:right w:val="single" w:sz="4" w:space="0" w:color="auto"/>
            </w:tcBorders>
            <w:shd w:val="clear" w:color="000000" w:fill="FFFFFF"/>
            <w:noWrap/>
          </w:tcPr>
          <w:p w14:paraId="6F339530" w14:textId="52EA15FE" w:rsidR="00460CC8" w:rsidRPr="00460CC8" w:rsidRDefault="00460CC8" w:rsidP="00460CC8">
            <w:pPr>
              <w:jc w:val="center"/>
              <w:rPr>
                <w:rFonts w:eastAsia="Times New Roman" w:cs="Arial"/>
                <w:color w:val="00B050"/>
                <w:szCs w:val="20"/>
                <w:lang w:eastAsia="fr-FR"/>
              </w:rPr>
            </w:pPr>
            <w:r w:rsidRPr="00460CC8">
              <w:rPr>
                <w:color w:val="00B050"/>
              </w:rPr>
              <w:t>1,53</w:t>
            </w:r>
          </w:p>
        </w:tc>
        <w:tc>
          <w:tcPr>
            <w:tcW w:w="1488" w:type="dxa"/>
            <w:tcBorders>
              <w:top w:val="nil"/>
              <w:left w:val="nil"/>
              <w:bottom w:val="single" w:sz="4" w:space="0" w:color="auto"/>
              <w:right w:val="single" w:sz="4" w:space="0" w:color="auto"/>
            </w:tcBorders>
            <w:shd w:val="clear" w:color="000000" w:fill="FFFFFF"/>
            <w:noWrap/>
          </w:tcPr>
          <w:p w14:paraId="28EF55CA" w14:textId="225280CE" w:rsidR="00460CC8" w:rsidRPr="00460CC8" w:rsidRDefault="00460CC8" w:rsidP="00460CC8">
            <w:pPr>
              <w:jc w:val="center"/>
              <w:rPr>
                <w:rFonts w:eastAsia="Times New Roman" w:cs="Arial"/>
                <w:color w:val="00B050"/>
                <w:szCs w:val="20"/>
                <w:lang w:eastAsia="fr-FR"/>
              </w:rPr>
            </w:pPr>
            <w:r w:rsidRPr="00460CC8">
              <w:rPr>
                <w:color w:val="00B050"/>
              </w:rPr>
              <w:t>0,94</w:t>
            </w:r>
          </w:p>
        </w:tc>
      </w:tr>
      <w:tr w:rsidR="00460CC8" w:rsidRPr="00150A72" w14:paraId="3C34F462"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hideMark/>
          </w:tcPr>
          <w:p w14:paraId="1DABC2EC" w14:textId="77777777" w:rsidR="00460CC8" w:rsidRPr="00150A72" w:rsidRDefault="00460CC8" w:rsidP="00460CC8">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VAN / euro dépensé</w:t>
            </w:r>
          </w:p>
        </w:tc>
        <w:tc>
          <w:tcPr>
            <w:tcW w:w="1488" w:type="dxa"/>
            <w:tcBorders>
              <w:top w:val="nil"/>
              <w:left w:val="nil"/>
              <w:bottom w:val="single" w:sz="4" w:space="0" w:color="auto"/>
              <w:right w:val="single" w:sz="4" w:space="0" w:color="auto"/>
            </w:tcBorders>
            <w:shd w:val="clear" w:color="000000" w:fill="FFFFFF"/>
            <w:noWrap/>
          </w:tcPr>
          <w:p w14:paraId="61618B36" w14:textId="4CEAD837" w:rsidR="00460CC8" w:rsidRPr="00460CC8" w:rsidRDefault="00460CC8" w:rsidP="00460CC8">
            <w:pPr>
              <w:jc w:val="center"/>
              <w:rPr>
                <w:rFonts w:eastAsia="Times New Roman" w:cs="Arial"/>
                <w:color w:val="00B050"/>
                <w:szCs w:val="20"/>
                <w:lang w:eastAsia="fr-FR"/>
              </w:rPr>
            </w:pPr>
            <w:r w:rsidRPr="00460CC8">
              <w:rPr>
                <w:color w:val="00B050"/>
              </w:rPr>
              <w:t>1,23</w:t>
            </w:r>
          </w:p>
        </w:tc>
        <w:tc>
          <w:tcPr>
            <w:tcW w:w="1488" w:type="dxa"/>
            <w:tcBorders>
              <w:top w:val="nil"/>
              <w:left w:val="nil"/>
              <w:bottom w:val="single" w:sz="4" w:space="0" w:color="auto"/>
              <w:right w:val="single" w:sz="4" w:space="0" w:color="auto"/>
            </w:tcBorders>
            <w:shd w:val="clear" w:color="000000" w:fill="FFFFFF"/>
            <w:noWrap/>
          </w:tcPr>
          <w:p w14:paraId="762673CA" w14:textId="045157FA" w:rsidR="00460CC8" w:rsidRPr="00460CC8" w:rsidRDefault="00460CC8" w:rsidP="00460CC8">
            <w:pPr>
              <w:jc w:val="center"/>
              <w:rPr>
                <w:rFonts w:eastAsia="Times New Roman" w:cs="Arial"/>
                <w:color w:val="00B050"/>
                <w:szCs w:val="20"/>
                <w:lang w:eastAsia="fr-FR"/>
              </w:rPr>
            </w:pPr>
            <w:r w:rsidRPr="00460CC8">
              <w:rPr>
                <w:color w:val="00B050"/>
              </w:rPr>
              <w:t>0,75</w:t>
            </w:r>
          </w:p>
        </w:tc>
      </w:tr>
    </w:tbl>
    <w:p w14:paraId="0314857A" w14:textId="77777777" w:rsidR="00522318" w:rsidRPr="00AD14B4" w:rsidRDefault="00522318" w:rsidP="00150A72">
      <w:pPr>
        <w:jc w:val="both"/>
        <w:rPr>
          <w:b/>
          <w:bCs/>
        </w:rPr>
      </w:pPr>
    </w:p>
    <w:tbl>
      <w:tblPr>
        <w:tblW w:w="7386" w:type="dxa"/>
        <w:jc w:val="center"/>
        <w:tblLayout w:type="fixed"/>
        <w:tblCellMar>
          <w:left w:w="70" w:type="dxa"/>
          <w:right w:w="70" w:type="dxa"/>
        </w:tblCellMar>
        <w:tblLook w:val="04A0" w:firstRow="1" w:lastRow="0" w:firstColumn="1" w:lastColumn="0" w:noHBand="0" w:noVBand="1"/>
      </w:tblPr>
      <w:tblGrid>
        <w:gridCol w:w="4410"/>
        <w:gridCol w:w="1488"/>
        <w:gridCol w:w="1488"/>
      </w:tblGrid>
      <w:tr w:rsidR="00150A72" w:rsidRPr="00150A72" w14:paraId="5AA738F6" w14:textId="77777777" w:rsidTr="0084080B">
        <w:trPr>
          <w:trHeight w:val="20"/>
          <w:jc w:val="center"/>
        </w:trPr>
        <w:tc>
          <w:tcPr>
            <w:tcW w:w="4410" w:type="dxa"/>
            <w:vMerge w:val="restart"/>
            <w:tcBorders>
              <w:top w:val="single" w:sz="8" w:space="0" w:color="auto"/>
              <w:left w:val="single" w:sz="8" w:space="0" w:color="auto"/>
              <w:right w:val="single" w:sz="4" w:space="0" w:color="auto"/>
            </w:tcBorders>
            <w:shd w:val="clear" w:color="000000" w:fill="FFFFFF"/>
            <w:noWrap/>
            <w:vAlign w:val="center"/>
            <w:hideMark/>
          </w:tcPr>
          <w:p w14:paraId="74D891F6" w14:textId="609E2D56" w:rsidR="00150A72" w:rsidRPr="00150A72" w:rsidRDefault="00150A72" w:rsidP="00150A72">
            <w:pPr>
              <w:jc w:val="both"/>
              <w:rPr>
                <w:rFonts w:eastAsia="Times New Roman" w:cs="Arial"/>
                <w:szCs w:val="20"/>
                <w:lang w:eastAsia="fr-FR"/>
              </w:rPr>
            </w:pPr>
            <w:r w:rsidRPr="00150A72">
              <w:rPr>
                <w:rFonts w:eastAsia="Times New Roman" w:cs="Arial"/>
                <w:b/>
                <w:szCs w:val="20"/>
                <w:lang w:eastAsia="fr-FR"/>
              </w:rPr>
              <w:t>VAN « stressée »</w:t>
            </w:r>
            <w:r w:rsidRPr="00150A72">
              <w:rPr>
                <w:rFonts w:eastAsia="Times New Roman" w:cs="Arial"/>
                <w:szCs w:val="20"/>
                <w:lang w:eastAsia="fr-FR"/>
              </w:rPr>
              <w:t xml:space="preserve"> (Md€ 201</w:t>
            </w:r>
            <w:r w:rsidR="00AD14B4">
              <w:rPr>
                <w:rFonts w:eastAsia="Times New Roman" w:cs="Arial"/>
                <w:szCs w:val="20"/>
                <w:lang w:eastAsia="fr-FR"/>
              </w:rPr>
              <w:t>5</w:t>
            </w:r>
            <w:r w:rsidRPr="00150A72">
              <w:rPr>
                <w:rFonts w:eastAsia="Times New Roman" w:cs="Arial"/>
                <w:szCs w:val="20"/>
                <w:lang w:eastAsia="fr-FR"/>
              </w:rPr>
              <w:t>)</w:t>
            </w:r>
          </w:p>
          <w:p w14:paraId="3364790A" w14:textId="77777777" w:rsidR="00150A72" w:rsidRPr="00150A72" w:rsidRDefault="00150A72" w:rsidP="00150A72">
            <w:pPr>
              <w:jc w:val="both"/>
              <w:rPr>
                <w:rFonts w:eastAsia="Times New Roman" w:cs="Arial"/>
                <w:i/>
                <w:szCs w:val="20"/>
                <w:lang w:eastAsia="fr-FR"/>
              </w:rPr>
            </w:pPr>
            <w:r w:rsidRPr="00150A72">
              <w:rPr>
                <w:rFonts w:eastAsia="Times New Roman" w:cs="Arial"/>
                <w:i/>
                <w:szCs w:val="20"/>
                <w:lang w:eastAsia="fr-FR"/>
              </w:rPr>
              <w:t>(actualisation à 4%)</w:t>
            </w:r>
          </w:p>
        </w:tc>
        <w:tc>
          <w:tcPr>
            <w:tcW w:w="2976" w:type="dxa"/>
            <w:gridSpan w:val="2"/>
            <w:tcBorders>
              <w:top w:val="single" w:sz="8" w:space="0" w:color="auto"/>
              <w:left w:val="nil"/>
              <w:bottom w:val="single" w:sz="4" w:space="0" w:color="auto"/>
              <w:right w:val="single" w:sz="4" w:space="0" w:color="auto"/>
            </w:tcBorders>
            <w:shd w:val="clear" w:color="000000" w:fill="FFFFFF"/>
            <w:noWrap/>
            <w:vAlign w:val="center"/>
            <w:hideMark/>
          </w:tcPr>
          <w:p w14:paraId="3084330D" w14:textId="2F3E28D1" w:rsidR="00150A72" w:rsidRPr="00150A72" w:rsidRDefault="00150A72" w:rsidP="00150A72">
            <w:pPr>
              <w:jc w:val="center"/>
              <w:rPr>
                <w:rFonts w:eastAsia="Times New Roman" w:cs="Arial"/>
                <w:szCs w:val="20"/>
                <w:lang w:eastAsia="fr-FR"/>
              </w:rPr>
            </w:pPr>
          </w:p>
        </w:tc>
      </w:tr>
      <w:tr w:rsidR="00150A72" w:rsidRPr="00150A72" w14:paraId="7E83CF43" w14:textId="77777777" w:rsidTr="0084080B">
        <w:trPr>
          <w:trHeight w:val="20"/>
          <w:jc w:val="center"/>
        </w:trPr>
        <w:tc>
          <w:tcPr>
            <w:tcW w:w="4410" w:type="dxa"/>
            <w:vMerge/>
            <w:tcBorders>
              <w:left w:val="single" w:sz="8" w:space="0" w:color="auto"/>
              <w:bottom w:val="single" w:sz="4" w:space="0" w:color="auto"/>
              <w:right w:val="single" w:sz="4" w:space="0" w:color="auto"/>
            </w:tcBorders>
            <w:shd w:val="clear" w:color="000000" w:fill="FFFFFF"/>
            <w:noWrap/>
            <w:vAlign w:val="center"/>
            <w:hideMark/>
          </w:tcPr>
          <w:p w14:paraId="5C411AE5" w14:textId="77777777" w:rsidR="00150A72" w:rsidRPr="00150A72" w:rsidRDefault="00150A72" w:rsidP="00150A72">
            <w:pPr>
              <w:jc w:val="both"/>
              <w:rPr>
                <w:rFonts w:eastAsia="Times New Roman" w:cs="Arial"/>
                <w:szCs w:val="20"/>
                <w:lang w:eastAsia="fr-FR"/>
              </w:rPr>
            </w:pPr>
          </w:p>
        </w:tc>
        <w:tc>
          <w:tcPr>
            <w:tcW w:w="1488" w:type="dxa"/>
            <w:tcBorders>
              <w:top w:val="nil"/>
              <w:left w:val="nil"/>
              <w:bottom w:val="single" w:sz="4" w:space="0" w:color="auto"/>
              <w:right w:val="single" w:sz="4" w:space="0" w:color="auto"/>
            </w:tcBorders>
            <w:shd w:val="clear" w:color="000000" w:fill="FFFFFF"/>
            <w:noWrap/>
            <w:vAlign w:val="center"/>
            <w:hideMark/>
          </w:tcPr>
          <w:p w14:paraId="48B1A1C0" w14:textId="77777777" w:rsidR="00150A72" w:rsidRPr="00150A72" w:rsidRDefault="00150A72" w:rsidP="00150A72">
            <w:pPr>
              <w:jc w:val="center"/>
              <w:rPr>
                <w:rFonts w:eastAsia="Times New Roman" w:cs="Arial"/>
                <w:i/>
                <w:szCs w:val="20"/>
                <w:lang w:eastAsia="fr-FR"/>
              </w:rPr>
            </w:pPr>
            <w:r w:rsidRPr="00150A72">
              <w:rPr>
                <w:rFonts w:eastAsia="Times New Roman" w:cs="Arial"/>
                <w:i/>
                <w:szCs w:val="20"/>
                <w:lang w:eastAsia="fr-FR"/>
              </w:rPr>
              <w:t>sans COFP</w:t>
            </w:r>
          </w:p>
        </w:tc>
        <w:tc>
          <w:tcPr>
            <w:tcW w:w="1488" w:type="dxa"/>
            <w:tcBorders>
              <w:top w:val="nil"/>
              <w:left w:val="nil"/>
              <w:bottom w:val="single" w:sz="4" w:space="0" w:color="auto"/>
              <w:right w:val="single" w:sz="4" w:space="0" w:color="auto"/>
            </w:tcBorders>
            <w:shd w:val="clear" w:color="000000" w:fill="FFFFFF"/>
            <w:noWrap/>
            <w:vAlign w:val="center"/>
            <w:hideMark/>
          </w:tcPr>
          <w:p w14:paraId="6197256E" w14:textId="77777777" w:rsidR="00150A72" w:rsidRPr="00150A72" w:rsidRDefault="00150A72" w:rsidP="00150A72">
            <w:pPr>
              <w:jc w:val="center"/>
              <w:rPr>
                <w:rFonts w:eastAsia="Times New Roman" w:cs="Arial"/>
                <w:i/>
                <w:szCs w:val="20"/>
                <w:lang w:eastAsia="fr-FR"/>
              </w:rPr>
            </w:pPr>
            <w:r w:rsidRPr="00150A72">
              <w:rPr>
                <w:rFonts w:eastAsia="Times New Roman" w:cs="Arial"/>
                <w:i/>
                <w:szCs w:val="20"/>
                <w:lang w:eastAsia="fr-FR"/>
              </w:rPr>
              <w:t>avec COFP</w:t>
            </w:r>
          </w:p>
        </w:tc>
      </w:tr>
      <w:tr w:rsidR="00460CC8" w:rsidRPr="00150A72" w14:paraId="2DB98C64"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hideMark/>
          </w:tcPr>
          <w:p w14:paraId="21B34988" w14:textId="77777777" w:rsidR="00460CC8" w:rsidRPr="00150A72" w:rsidRDefault="00460CC8" w:rsidP="00460CC8">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 xml:space="preserve">Avantages </w:t>
            </w:r>
          </w:p>
        </w:tc>
        <w:tc>
          <w:tcPr>
            <w:tcW w:w="2976" w:type="dxa"/>
            <w:gridSpan w:val="2"/>
            <w:tcBorders>
              <w:top w:val="single" w:sz="4" w:space="0" w:color="auto"/>
              <w:left w:val="nil"/>
              <w:bottom w:val="single" w:sz="4" w:space="0" w:color="auto"/>
              <w:right w:val="single" w:sz="4" w:space="0" w:color="auto"/>
            </w:tcBorders>
            <w:shd w:val="clear" w:color="000000" w:fill="FFFFFF"/>
            <w:noWrap/>
          </w:tcPr>
          <w:p w14:paraId="7618BA8C" w14:textId="3ED1E958" w:rsidR="00460CC8" w:rsidRPr="00460CC8" w:rsidRDefault="00460CC8" w:rsidP="00460CC8">
            <w:pPr>
              <w:jc w:val="center"/>
              <w:rPr>
                <w:rFonts w:eastAsia="Times New Roman" w:cs="Arial"/>
                <w:color w:val="00B050"/>
                <w:szCs w:val="20"/>
                <w:lang w:eastAsia="fr-FR"/>
              </w:rPr>
            </w:pPr>
            <w:r w:rsidRPr="00460CC8">
              <w:rPr>
                <w:color w:val="00B050"/>
              </w:rPr>
              <w:t>65,79</w:t>
            </w:r>
          </w:p>
        </w:tc>
      </w:tr>
      <w:tr w:rsidR="00460CC8" w:rsidRPr="00150A72" w14:paraId="1182F6D9"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hideMark/>
          </w:tcPr>
          <w:p w14:paraId="424B91CC" w14:textId="77777777" w:rsidR="00460CC8" w:rsidRPr="00150A72" w:rsidRDefault="00460CC8" w:rsidP="00460CC8">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Divers (voirie et taxes sur essence)</w:t>
            </w:r>
          </w:p>
        </w:tc>
        <w:tc>
          <w:tcPr>
            <w:tcW w:w="1488" w:type="dxa"/>
            <w:tcBorders>
              <w:top w:val="nil"/>
              <w:left w:val="nil"/>
              <w:bottom w:val="single" w:sz="4" w:space="0" w:color="auto"/>
              <w:right w:val="single" w:sz="4" w:space="0" w:color="auto"/>
            </w:tcBorders>
            <w:shd w:val="clear" w:color="000000" w:fill="FFFFFF"/>
            <w:noWrap/>
          </w:tcPr>
          <w:p w14:paraId="68252529" w14:textId="73B22E08" w:rsidR="00460CC8" w:rsidRPr="00460CC8" w:rsidRDefault="00460CC8" w:rsidP="00460CC8">
            <w:pPr>
              <w:jc w:val="center"/>
              <w:rPr>
                <w:color w:val="00B050"/>
              </w:rPr>
            </w:pPr>
            <w:r w:rsidRPr="00460CC8">
              <w:rPr>
                <w:color w:val="00B050"/>
              </w:rPr>
              <w:t>-0,15</w:t>
            </w:r>
          </w:p>
        </w:tc>
        <w:tc>
          <w:tcPr>
            <w:tcW w:w="1488" w:type="dxa"/>
            <w:tcBorders>
              <w:top w:val="nil"/>
              <w:left w:val="nil"/>
              <w:bottom w:val="single" w:sz="4" w:space="0" w:color="auto"/>
              <w:right w:val="single" w:sz="4" w:space="0" w:color="auto"/>
            </w:tcBorders>
            <w:shd w:val="clear" w:color="000000" w:fill="FFFFFF"/>
            <w:noWrap/>
          </w:tcPr>
          <w:p w14:paraId="740F7EDE" w14:textId="3F658BD2" w:rsidR="00460CC8" w:rsidRPr="00460CC8" w:rsidRDefault="00460CC8" w:rsidP="00460CC8">
            <w:pPr>
              <w:jc w:val="center"/>
              <w:rPr>
                <w:color w:val="00B050"/>
              </w:rPr>
            </w:pPr>
            <w:r w:rsidRPr="00460CC8">
              <w:rPr>
                <w:color w:val="00B050"/>
              </w:rPr>
              <w:t>-0,18</w:t>
            </w:r>
          </w:p>
        </w:tc>
      </w:tr>
      <w:tr w:rsidR="00460CC8" w:rsidRPr="00150A72" w14:paraId="742D4126"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hideMark/>
          </w:tcPr>
          <w:p w14:paraId="6844A165" w14:textId="77777777" w:rsidR="00460CC8" w:rsidRPr="00150A72" w:rsidRDefault="00460CC8" w:rsidP="00460CC8">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 xml:space="preserve">Coûts d’exploitation et d’investissement </w:t>
            </w:r>
          </w:p>
        </w:tc>
        <w:tc>
          <w:tcPr>
            <w:tcW w:w="1488" w:type="dxa"/>
            <w:tcBorders>
              <w:top w:val="nil"/>
              <w:left w:val="nil"/>
              <w:bottom w:val="single" w:sz="4" w:space="0" w:color="auto"/>
              <w:right w:val="single" w:sz="4" w:space="0" w:color="auto"/>
            </w:tcBorders>
            <w:shd w:val="clear" w:color="000000" w:fill="FFFFFF"/>
            <w:noWrap/>
          </w:tcPr>
          <w:p w14:paraId="2BF0933B" w14:textId="7E94747B" w:rsidR="00460CC8" w:rsidRPr="00460CC8" w:rsidRDefault="00460CC8" w:rsidP="00460CC8">
            <w:pPr>
              <w:jc w:val="center"/>
              <w:rPr>
                <w:color w:val="00B050"/>
              </w:rPr>
            </w:pPr>
            <w:r w:rsidRPr="00460CC8">
              <w:rPr>
                <w:color w:val="00B050"/>
              </w:rPr>
              <w:t>-38,06</w:t>
            </w:r>
          </w:p>
        </w:tc>
        <w:tc>
          <w:tcPr>
            <w:tcW w:w="1488" w:type="dxa"/>
            <w:tcBorders>
              <w:top w:val="nil"/>
              <w:left w:val="nil"/>
              <w:bottom w:val="single" w:sz="4" w:space="0" w:color="auto"/>
              <w:right w:val="single" w:sz="4" w:space="0" w:color="auto"/>
            </w:tcBorders>
            <w:shd w:val="clear" w:color="000000" w:fill="FFFFFF"/>
            <w:noWrap/>
          </w:tcPr>
          <w:p w14:paraId="474D1BB8" w14:textId="26A85115" w:rsidR="00460CC8" w:rsidRPr="00460CC8" w:rsidRDefault="00460CC8" w:rsidP="00460CC8">
            <w:pPr>
              <w:jc w:val="center"/>
              <w:rPr>
                <w:color w:val="00B050"/>
              </w:rPr>
            </w:pPr>
            <w:r w:rsidRPr="00460CC8">
              <w:rPr>
                <w:color w:val="00B050"/>
              </w:rPr>
              <w:t>-48,34</w:t>
            </w:r>
          </w:p>
        </w:tc>
      </w:tr>
      <w:tr w:rsidR="00460CC8" w:rsidRPr="00150A72" w14:paraId="33C94566"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vAlign w:val="center"/>
            <w:hideMark/>
          </w:tcPr>
          <w:p w14:paraId="072950CF" w14:textId="3211C7E8" w:rsidR="00460CC8" w:rsidRPr="00150A72" w:rsidRDefault="00460CC8" w:rsidP="00460CC8">
            <w:pPr>
              <w:jc w:val="both"/>
              <w:rPr>
                <w:rFonts w:eastAsia="Times New Roman" w:cs="Arial"/>
                <w:b/>
                <w:bCs/>
                <w:i/>
                <w:iCs/>
                <w:szCs w:val="20"/>
                <w:lang w:eastAsia="fr-FR"/>
              </w:rPr>
            </w:pPr>
            <w:r w:rsidRPr="00C15A3F">
              <w:rPr>
                <w:rFonts w:eastAsia="Calibri" w:cs="Cambria"/>
                <w:b/>
                <w:i/>
                <w:color w:val="931638"/>
                <w:szCs w:val="20"/>
                <w:lang w:eastAsia="ar-SA"/>
              </w:rPr>
              <w:t>Valeur actualisée nette (VAN)</w:t>
            </w:r>
          </w:p>
        </w:tc>
        <w:tc>
          <w:tcPr>
            <w:tcW w:w="1488" w:type="dxa"/>
            <w:tcBorders>
              <w:top w:val="nil"/>
              <w:left w:val="nil"/>
              <w:bottom w:val="single" w:sz="4" w:space="0" w:color="auto"/>
              <w:right w:val="single" w:sz="4" w:space="0" w:color="auto"/>
            </w:tcBorders>
            <w:shd w:val="clear" w:color="000000" w:fill="FFFFFF"/>
            <w:noWrap/>
          </w:tcPr>
          <w:p w14:paraId="570DCE5E" w14:textId="57566778" w:rsidR="00460CC8" w:rsidRPr="00460CC8" w:rsidRDefault="00460CC8" w:rsidP="00460CC8">
            <w:pPr>
              <w:jc w:val="center"/>
              <w:rPr>
                <w:b/>
                <w:i/>
                <w:color w:val="00B050"/>
              </w:rPr>
            </w:pPr>
            <w:r w:rsidRPr="00460CC8">
              <w:rPr>
                <w:color w:val="00B050"/>
              </w:rPr>
              <w:t>27,58</w:t>
            </w:r>
          </w:p>
        </w:tc>
        <w:tc>
          <w:tcPr>
            <w:tcW w:w="1488" w:type="dxa"/>
            <w:tcBorders>
              <w:top w:val="nil"/>
              <w:left w:val="nil"/>
              <w:bottom w:val="single" w:sz="4" w:space="0" w:color="auto"/>
              <w:right w:val="single" w:sz="4" w:space="0" w:color="auto"/>
            </w:tcBorders>
            <w:shd w:val="clear" w:color="000000" w:fill="FFFFFF"/>
            <w:noWrap/>
          </w:tcPr>
          <w:p w14:paraId="47B2DCB1" w14:textId="4299686A" w:rsidR="00460CC8" w:rsidRPr="00460CC8" w:rsidRDefault="00460CC8" w:rsidP="00460CC8">
            <w:pPr>
              <w:jc w:val="center"/>
              <w:rPr>
                <w:b/>
                <w:i/>
                <w:color w:val="00B050"/>
              </w:rPr>
            </w:pPr>
            <w:r w:rsidRPr="00460CC8">
              <w:rPr>
                <w:color w:val="00B050"/>
              </w:rPr>
              <w:t>17,27</w:t>
            </w:r>
          </w:p>
        </w:tc>
      </w:tr>
      <w:tr w:rsidR="00460CC8" w:rsidRPr="00150A72" w14:paraId="07423CE2"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hideMark/>
          </w:tcPr>
          <w:p w14:paraId="4B781E64" w14:textId="77777777" w:rsidR="00460CC8" w:rsidRPr="00150A72" w:rsidRDefault="00460CC8" w:rsidP="00460CC8">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VAN / euro investi</w:t>
            </w:r>
          </w:p>
        </w:tc>
        <w:tc>
          <w:tcPr>
            <w:tcW w:w="1488" w:type="dxa"/>
            <w:tcBorders>
              <w:top w:val="nil"/>
              <w:left w:val="nil"/>
              <w:bottom w:val="single" w:sz="4" w:space="0" w:color="auto"/>
              <w:right w:val="single" w:sz="4" w:space="0" w:color="auto"/>
            </w:tcBorders>
            <w:shd w:val="clear" w:color="000000" w:fill="FFFFFF"/>
            <w:noWrap/>
          </w:tcPr>
          <w:p w14:paraId="5A32AEFA" w14:textId="5B73CA19" w:rsidR="00460CC8" w:rsidRPr="00460CC8" w:rsidRDefault="00460CC8" w:rsidP="00460CC8">
            <w:pPr>
              <w:jc w:val="center"/>
              <w:rPr>
                <w:color w:val="00B050"/>
              </w:rPr>
            </w:pPr>
            <w:r w:rsidRPr="00460CC8">
              <w:rPr>
                <w:color w:val="00B050"/>
              </w:rPr>
              <w:t>0,91</w:t>
            </w:r>
          </w:p>
        </w:tc>
        <w:tc>
          <w:tcPr>
            <w:tcW w:w="1488" w:type="dxa"/>
            <w:tcBorders>
              <w:top w:val="nil"/>
              <w:left w:val="nil"/>
              <w:bottom w:val="single" w:sz="4" w:space="0" w:color="auto"/>
              <w:right w:val="single" w:sz="4" w:space="0" w:color="auto"/>
            </w:tcBorders>
            <w:shd w:val="clear" w:color="000000" w:fill="FFFFFF"/>
            <w:noWrap/>
          </w:tcPr>
          <w:p w14:paraId="656FA60D" w14:textId="6AD5333C" w:rsidR="00460CC8" w:rsidRPr="00460CC8" w:rsidRDefault="00460CC8" w:rsidP="00460CC8">
            <w:pPr>
              <w:jc w:val="center"/>
              <w:rPr>
                <w:color w:val="00B050"/>
              </w:rPr>
            </w:pPr>
            <w:r w:rsidRPr="00460CC8">
              <w:rPr>
                <w:color w:val="00B050"/>
              </w:rPr>
              <w:t>0,45</w:t>
            </w:r>
          </w:p>
        </w:tc>
      </w:tr>
      <w:tr w:rsidR="00460CC8" w:rsidRPr="00150A72" w14:paraId="1BBD3D43" w14:textId="77777777" w:rsidTr="0084080B">
        <w:trPr>
          <w:trHeight w:val="20"/>
          <w:jc w:val="center"/>
        </w:trPr>
        <w:tc>
          <w:tcPr>
            <w:tcW w:w="4410" w:type="dxa"/>
            <w:tcBorders>
              <w:top w:val="nil"/>
              <w:left w:val="single" w:sz="8" w:space="0" w:color="auto"/>
              <w:bottom w:val="single" w:sz="4" w:space="0" w:color="auto"/>
              <w:right w:val="single" w:sz="4" w:space="0" w:color="auto"/>
            </w:tcBorders>
            <w:shd w:val="clear" w:color="000000" w:fill="FFFFFF"/>
            <w:noWrap/>
            <w:hideMark/>
          </w:tcPr>
          <w:p w14:paraId="13265CC2" w14:textId="77777777" w:rsidR="00460CC8" w:rsidRPr="00150A72" w:rsidRDefault="00460CC8" w:rsidP="00460CC8">
            <w:pPr>
              <w:widowControl w:val="0"/>
              <w:suppressAutoHyphens/>
              <w:snapToGrid w:val="0"/>
              <w:jc w:val="both"/>
              <w:rPr>
                <w:rFonts w:eastAsia="Calibri" w:cs="Cambria"/>
                <w:color w:val="931638"/>
                <w:szCs w:val="20"/>
                <w:lang w:eastAsia="ar-SA"/>
              </w:rPr>
            </w:pPr>
            <w:r w:rsidRPr="00150A72">
              <w:rPr>
                <w:rFonts w:eastAsia="Calibri" w:cs="Cambria"/>
                <w:color w:val="931638"/>
                <w:szCs w:val="20"/>
                <w:lang w:eastAsia="ar-SA"/>
              </w:rPr>
              <w:t>VAN / euro dépensé</w:t>
            </w:r>
          </w:p>
        </w:tc>
        <w:tc>
          <w:tcPr>
            <w:tcW w:w="1488" w:type="dxa"/>
            <w:tcBorders>
              <w:top w:val="nil"/>
              <w:left w:val="nil"/>
              <w:bottom w:val="single" w:sz="4" w:space="0" w:color="auto"/>
              <w:right w:val="single" w:sz="4" w:space="0" w:color="auto"/>
            </w:tcBorders>
            <w:shd w:val="clear" w:color="000000" w:fill="FFFFFF"/>
            <w:noWrap/>
          </w:tcPr>
          <w:p w14:paraId="41C129DC" w14:textId="08B65AC0" w:rsidR="00460CC8" w:rsidRPr="00460CC8" w:rsidRDefault="00460CC8" w:rsidP="00460CC8">
            <w:pPr>
              <w:jc w:val="center"/>
              <w:rPr>
                <w:color w:val="00B050"/>
              </w:rPr>
            </w:pPr>
            <w:r w:rsidRPr="00460CC8">
              <w:rPr>
                <w:color w:val="00B050"/>
              </w:rPr>
              <w:t>0,72</w:t>
            </w:r>
          </w:p>
        </w:tc>
        <w:tc>
          <w:tcPr>
            <w:tcW w:w="1488" w:type="dxa"/>
            <w:tcBorders>
              <w:top w:val="nil"/>
              <w:left w:val="nil"/>
              <w:bottom w:val="single" w:sz="4" w:space="0" w:color="auto"/>
              <w:right w:val="single" w:sz="4" w:space="0" w:color="auto"/>
            </w:tcBorders>
            <w:shd w:val="clear" w:color="000000" w:fill="FFFFFF"/>
            <w:noWrap/>
          </w:tcPr>
          <w:p w14:paraId="2A6FBD48" w14:textId="4005B2DF" w:rsidR="00460CC8" w:rsidRPr="00460CC8" w:rsidRDefault="00460CC8" w:rsidP="00460CC8">
            <w:pPr>
              <w:jc w:val="center"/>
              <w:rPr>
                <w:color w:val="00B050"/>
              </w:rPr>
            </w:pPr>
            <w:r w:rsidRPr="00460CC8">
              <w:rPr>
                <w:color w:val="00B050"/>
              </w:rPr>
              <w:t>0,36</w:t>
            </w:r>
          </w:p>
        </w:tc>
      </w:tr>
    </w:tbl>
    <w:p w14:paraId="45E3FF78" w14:textId="77777777" w:rsidR="00150A72" w:rsidRPr="00150A72" w:rsidRDefault="00150A72" w:rsidP="00150A72">
      <w:pPr>
        <w:jc w:val="both"/>
      </w:pPr>
    </w:p>
    <w:p w14:paraId="50A02405" w14:textId="5260AE7C" w:rsidR="00DA1554" w:rsidRDefault="00150A72" w:rsidP="00150A72">
      <w:pPr>
        <w:jc w:val="both"/>
      </w:pPr>
      <w:r w:rsidRPr="00150A72">
        <w:t xml:space="preserve">Dans l’option </w:t>
      </w:r>
      <w:r w:rsidR="00DA1554">
        <w:t>basse</w:t>
      </w:r>
      <w:r w:rsidRPr="00150A72">
        <w:t>, la VAN stressée (avec COFP) représent</w:t>
      </w:r>
      <w:r w:rsidR="00DA1554">
        <w:t>e</w:t>
      </w:r>
      <w:r w:rsidRPr="00150A72">
        <w:t xml:space="preserve"> </w:t>
      </w:r>
      <w:r w:rsidR="00EC23F8">
        <w:t>5</w:t>
      </w:r>
      <w:r w:rsidR="00A33EC3">
        <w:t>4</w:t>
      </w:r>
      <w:r w:rsidRPr="00DA1554">
        <w:t xml:space="preserve">% </w:t>
      </w:r>
      <w:r w:rsidRPr="00150A72">
        <w:t xml:space="preserve">de la VAN sans stress avec référence tendancielle. </w:t>
      </w:r>
      <w:r w:rsidRPr="00150A72">
        <w:rPr>
          <w:b/>
        </w:rPr>
        <w:t xml:space="preserve">Les différents calculs pour la prise en compte des risques systémiques </w:t>
      </w:r>
      <w:r w:rsidR="00AD14B4">
        <w:rPr>
          <w:b/>
        </w:rPr>
        <w:t>sont</w:t>
      </w:r>
      <w:r w:rsidRPr="00150A72">
        <w:rPr>
          <w:b/>
        </w:rPr>
        <w:t xml:space="preserve"> donc requis</w:t>
      </w:r>
      <w:r w:rsidR="00AD14B4">
        <w:rPr>
          <w:b/>
        </w:rPr>
        <w:t xml:space="preserve">. </w:t>
      </w:r>
    </w:p>
    <w:p w14:paraId="59F1629F" w14:textId="77777777" w:rsidR="00DA1554" w:rsidRPr="00150A72" w:rsidRDefault="00DA1554" w:rsidP="00150A72">
      <w:pPr>
        <w:jc w:val="both"/>
      </w:pPr>
    </w:p>
    <w:p w14:paraId="23E7D7AF" w14:textId="77777777" w:rsidR="00150A72" w:rsidRPr="00150A72" w:rsidRDefault="00150A72" w:rsidP="00150A72">
      <w:pPr>
        <w:jc w:val="both"/>
      </w:pPr>
      <w:r w:rsidRPr="00150A72">
        <w:t xml:space="preserve">a) </w:t>
      </w:r>
      <w:r w:rsidRPr="00150A72">
        <w:rPr>
          <w:b/>
        </w:rPr>
        <w:t>Calcul de risque « élémentaire » (obligatoire) :</w:t>
      </w:r>
      <w:r w:rsidRPr="00150A72">
        <w:t xml:space="preserve"> </w:t>
      </w:r>
    </w:p>
    <w:p w14:paraId="104A29FF" w14:textId="77777777" w:rsidR="00150A72" w:rsidRPr="00150A72" w:rsidRDefault="00150A72" w:rsidP="00150A72">
      <w:pPr>
        <w:jc w:val="both"/>
      </w:pPr>
    </w:p>
    <w:p w14:paraId="0839D1D0" w14:textId="77777777" w:rsidR="00150A72" w:rsidRPr="00150A72" w:rsidRDefault="00150A72" w:rsidP="00150A72">
      <w:pPr>
        <w:jc w:val="both"/>
      </w:pPr>
      <w:r w:rsidRPr="00150A72">
        <w:t xml:space="preserve">Ce calcul est effectué avec un taux d’actualisation de 4,5%. </w:t>
      </w:r>
    </w:p>
    <w:p w14:paraId="2D32D88E" w14:textId="77777777" w:rsidR="00150A72" w:rsidRPr="00150A72" w:rsidRDefault="00150A72" w:rsidP="00150A72">
      <w:pPr>
        <w:jc w:val="both"/>
      </w:pPr>
    </w:p>
    <w:p w14:paraId="12AA77B6" w14:textId="6A3F34D4" w:rsidR="00150A72" w:rsidRPr="00150A72" w:rsidRDefault="00150A72" w:rsidP="00150A72">
      <w:pPr>
        <w:jc w:val="both"/>
      </w:pPr>
      <w:r w:rsidRPr="00150A72">
        <w:t xml:space="preserve">Il correspond aux résultats précédemment exposés au </w:t>
      </w:r>
      <w:r w:rsidR="00680E13">
        <w:t xml:space="preserve">point </w:t>
      </w:r>
      <w:r w:rsidRPr="00150A72">
        <w:t xml:space="preserve">4 du présent chapitre, </w:t>
      </w:r>
      <w:r w:rsidRPr="00150A72">
        <w:rPr>
          <w:b/>
          <w:i/>
          <w:iCs/>
        </w:rPr>
        <w:t>qui ont montré, sous ces hypothèses et avec la méthode élémentaire de prise en compte du risque, que le Grand Paris Express présentait une très bonne rentabilité socio-économique</w:t>
      </w:r>
      <w:r w:rsidRPr="00150A72">
        <w:rPr>
          <w:i/>
          <w:iCs/>
        </w:rPr>
        <w:t>.</w:t>
      </w:r>
    </w:p>
    <w:p w14:paraId="30BF3678" w14:textId="7713C54E" w:rsidR="00150A72" w:rsidRDefault="00150A72" w:rsidP="00150A72">
      <w:pPr>
        <w:jc w:val="both"/>
      </w:pPr>
    </w:p>
    <w:p w14:paraId="329959A9" w14:textId="05E288B0" w:rsidR="00150A72" w:rsidRDefault="00150A72" w:rsidP="00150A72">
      <w:pPr>
        <w:jc w:val="both"/>
        <w:rPr>
          <w:b/>
        </w:rPr>
      </w:pPr>
      <w:r w:rsidRPr="00150A72">
        <w:t xml:space="preserve">b) </w:t>
      </w:r>
      <w:r w:rsidRPr="00150A72">
        <w:rPr>
          <w:b/>
        </w:rPr>
        <w:t>Calcul de risque spéc</w:t>
      </w:r>
      <w:r w:rsidR="007C7CDD">
        <w:rPr>
          <w:b/>
        </w:rPr>
        <w:t>ifique au projet (recommandé) :</w:t>
      </w:r>
    </w:p>
    <w:p w14:paraId="4011677C" w14:textId="77777777" w:rsidR="00150A72" w:rsidRPr="00CB4E95" w:rsidRDefault="00150A72" w:rsidP="00150A72">
      <w:pPr>
        <w:jc w:val="both"/>
        <w:rPr>
          <w:b/>
        </w:rPr>
      </w:pPr>
    </w:p>
    <w:p w14:paraId="76BBD7A3" w14:textId="327C38A2" w:rsidR="00150A72" w:rsidRPr="00CB4E95" w:rsidRDefault="00150A72" w:rsidP="00150A72">
      <w:pPr>
        <w:jc w:val="both"/>
      </w:pPr>
      <w:r w:rsidRPr="00CB4E95">
        <w:t>Ce calcul, destiné à refléter le lien entre chacun des avantages et le PIB, s’appuie sur des options probabilisé</w:t>
      </w:r>
      <w:r w:rsidR="001D2D1C" w:rsidRPr="00CB4E95">
        <w:t>e</w:t>
      </w:r>
      <w:r w:rsidRPr="00CB4E95">
        <w:t xml:space="preserve">s de PIB (a minima trois). L’approche pour la prise en compte d’un risque systémique présumé significatif consiste à calculer l’espérance de l’utilité collective du projet à partir des options macro-économiques probabilisées. Ces options sont caractérisées et différenciées les unes des autres par les tendances de long terme portant sur le PIB. D’autres facteurs de risque systémique, jouant significativement à la fois sur les effets du projet et le PIB, peuvent également être utilisés dans ces options (c’est notamment le cas du prix de l’énergie). </w:t>
      </w:r>
    </w:p>
    <w:p w14:paraId="1F4C6F05" w14:textId="77777777" w:rsidR="00150A72" w:rsidRPr="00150A72" w:rsidRDefault="00150A72" w:rsidP="00150A72">
      <w:pPr>
        <w:jc w:val="both"/>
      </w:pPr>
    </w:p>
    <w:p w14:paraId="720273B4" w14:textId="132C847B" w:rsidR="00150A72" w:rsidRPr="00150A72" w:rsidRDefault="00150A72" w:rsidP="00150A72">
      <w:pPr>
        <w:jc w:val="both"/>
      </w:pPr>
      <w:r w:rsidRPr="00150A72">
        <w:t xml:space="preserve">De façon générale, seuls les avantages sont présumés sensibles aux risques macro-économiques. Les coûts d’investissement sont présumés non sensibles, en première approximation, aux risques macro-économiques. Les résultats sont les suivants et montrent la résilience de la VAN : </w:t>
      </w:r>
    </w:p>
    <w:p w14:paraId="4396161F" w14:textId="77777777" w:rsidR="00405795" w:rsidRDefault="00405795" w:rsidP="00150A72">
      <w:pPr>
        <w:jc w:val="both"/>
        <w:rPr>
          <w:b/>
          <w:bCs/>
          <w:i/>
          <w:iCs/>
        </w:rPr>
      </w:pPr>
    </w:p>
    <w:tbl>
      <w:tblPr>
        <w:tblStyle w:val="Grilledutableau"/>
        <w:tblW w:w="0" w:type="auto"/>
        <w:jc w:val="center"/>
        <w:tblLook w:val="04A0" w:firstRow="1" w:lastRow="0" w:firstColumn="1" w:lastColumn="0" w:noHBand="0" w:noVBand="1"/>
      </w:tblPr>
      <w:tblGrid>
        <w:gridCol w:w="4106"/>
        <w:gridCol w:w="1418"/>
        <w:gridCol w:w="1417"/>
      </w:tblGrid>
      <w:tr w:rsidR="00405795" w14:paraId="2DACDDB0" w14:textId="77777777" w:rsidTr="0084080B">
        <w:trPr>
          <w:jc w:val="center"/>
        </w:trPr>
        <w:tc>
          <w:tcPr>
            <w:tcW w:w="4106" w:type="dxa"/>
          </w:tcPr>
          <w:p w14:paraId="56D1C480" w14:textId="02BC74A6" w:rsidR="00405795" w:rsidRDefault="00405795" w:rsidP="00405795">
            <w:pPr>
              <w:jc w:val="both"/>
              <w:rPr>
                <w:b/>
                <w:bCs/>
                <w:i/>
                <w:iCs/>
              </w:rPr>
            </w:pPr>
            <w:r w:rsidRPr="00150A72">
              <w:rPr>
                <w:rFonts w:eastAsia="Times New Roman" w:cs="Calibri"/>
                <w:b/>
                <w:bCs/>
                <w:szCs w:val="20"/>
                <w:lang w:eastAsia="fr-FR"/>
              </w:rPr>
              <w:t>VAN selon options probabilisées</w:t>
            </w:r>
          </w:p>
        </w:tc>
        <w:tc>
          <w:tcPr>
            <w:tcW w:w="1418" w:type="dxa"/>
            <w:vAlign w:val="center"/>
          </w:tcPr>
          <w:p w14:paraId="486C4388" w14:textId="4D2DFDBE" w:rsidR="00405795" w:rsidRDefault="00405795" w:rsidP="00405795">
            <w:pPr>
              <w:jc w:val="center"/>
              <w:rPr>
                <w:b/>
                <w:bCs/>
                <w:i/>
                <w:iCs/>
              </w:rPr>
            </w:pPr>
            <w:r w:rsidRPr="00150A72">
              <w:t>sans COFP</w:t>
            </w:r>
          </w:p>
        </w:tc>
        <w:tc>
          <w:tcPr>
            <w:tcW w:w="1417" w:type="dxa"/>
            <w:vAlign w:val="center"/>
          </w:tcPr>
          <w:p w14:paraId="7C679ADC" w14:textId="786C4C0B" w:rsidR="00405795" w:rsidRDefault="00405795" w:rsidP="00405795">
            <w:pPr>
              <w:jc w:val="center"/>
              <w:rPr>
                <w:b/>
                <w:bCs/>
                <w:i/>
                <w:iCs/>
              </w:rPr>
            </w:pPr>
            <w:r w:rsidRPr="00150A72">
              <w:t>avec COFP</w:t>
            </w:r>
          </w:p>
        </w:tc>
      </w:tr>
      <w:tr w:rsidR="00460CC8" w14:paraId="07B2FBC7" w14:textId="77777777" w:rsidTr="0084080B">
        <w:trPr>
          <w:jc w:val="center"/>
        </w:trPr>
        <w:tc>
          <w:tcPr>
            <w:tcW w:w="4106" w:type="dxa"/>
          </w:tcPr>
          <w:p w14:paraId="5BC174D7" w14:textId="2EDA32DB" w:rsidR="00460CC8" w:rsidRDefault="00460CC8" w:rsidP="00460CC8">
            <w:pPr>
              <w:jc w:val="both"/>
              <w:rPr>
                <w:b/>
                <w:bCs/>
                <w:i/>
                <w:iCs/>
              </w:rPr>
            </w:pPr>
            <w:r w:rsidRPr="00150A72">
              <w:rPr>
                <w:rFonts w:eastAsia="Times New Roman" w:cs="Calibri"/>
                <w:b/>
                <w:bCs/>
                <w:color w:val="931638"/>
                <w:szCs w:val="20"/>
                <w:lang w:eastAsia="fr-FR"/>
              </w:rPr>
              <w:t>VAN probable</w:t>
            </w:r>
          </w:p>
        </w:tc>
        <w:tc>
          <w:tcPr>
            <w:tcW w:w="1418" w:type="dxa"/>
          </w:tcPr>
          <w:p w14:paraId="27AC3605" w14:textId="1CCCE673" w:rsidR="00460CC8" w:rsidRPr="00460CC8" w:rsidRDefault="00460CC8" w:rsidP="00460CC8">
            <w:pPr>
              <w:jc w:val="center"/>
              <w:rPr>
                <w:b/>
                <w:bCs/>
                <w:i/>
                <w:iCs/>
                <w:color w:val="00B050"/>
              </w:rPr>
            </w:pPr>
            <w:r w:rsidRPr="00460CC8">
              <w:rPr>
                <w:color w:val="00B050"/>
              </w:rPr>
              <w:t>49,28</w:t>
            </w:r>
          </w:p>
        </w:tc>
        <w:tc>
          <w:tcPr>
            <w:tcW w:w="1417" w:type="dxa"/>
          </w:tcPr>
          <w:p w14:paraId="14A13676" w14:textId="6549BF53" w:rsidR="00460CC8" w:rsidRPr="00460CC8" w:rsidRDefault="00460CC8" w:rsidP="00460CC8">
            <w:pPr>
              <w:jc w:val="center"/>
              <w:rPr>
                <w:b/>
                <w:bCs/>
                <w:i/>
                <w:iCs/>
                <w:color w:val="00B050"/>
              </w:rPr>
            </w:pPr>
            <w:r w:rsidRPr="00460CC8">
              <w:rPr>
                <w:color w:val="00B050"/>
              </w:rPr>
              <w:t>38,78</w:t>
            </w:r>
          </w:p>
        </w:tc>
      </w:tr>
      <w:tr w:rsidR="00460CC8" w14:paraId="5147AD08" w14:textId="77777777" w:rsidTr="0084080B">
        <w:trPr>
          <w:jc w:val="center"/>
        </w:trPr>
        <w:tc>
          <w:tcPr>
            <w:tcW w:w="4106" w:type="dxa"/>
          </w:tcPr>
          <w:p w14:paraId="7871A987" w14:textId="1ACEC2C1" w:rsidR="00460CC8" w:rsidRDefault="00460CC8" w:rsidP="00460CC8">
            <w:pPr>
              <w:jc w:val="both"/>
              <w:rPr>
                <w:b/>
                <w:bCs/>
                <w:i/>
                <w:iCs/>
              </w:rPr>
            </w:pPr>
            <w:r w:rsidRPr="00150A72">
              <w:rPr>
                <w:rFonts w:eastAsia="Times New Roman" w:cs="Calibri"/>
                <w:b/>
                <w:bCs/>
                <w:i/>
                <w:iCs/>
                <w:color w:val="931638"/>
                <w:szCs w:val="20"/>
                <w:lang w:eastAsia="fr-FR"/>
              </w:rPr>
              <w:t>Rappel : VAN calcul élémentaire</w:t>
            </w:r>
          </w:p>
        </w:tc>
        <w:tc>
          <w:tcPr>
            <w:tcW w:w="1418" w:type="dxa"/>
          </w:tcPr>
          <w:p w14:paraId="3B818EA3" w14:textId="2F9DCCE0" w:rsidR="00460CC8" w:rsidRPr="00460CC8" w:rsidRDefault="00460CC8" w:rsidP="00460CC8">
            <w:pPr>
              <w:jc w:val="center"/>
              <w:rPr>
                <w:b/>
                <w:bCs/>
                <w:i/>
                <w:iCs/>
                <w:color w:val="00B050"/>
              </w:rPr>
            </w:pPr>
            <w:r w:rsidRPr="00460CC8">
              <w:rPr>
                <w:color w:val="00B050"/>
              </w:rPr>
              <w:t>34,94</w:t>
            </w:r>
          </w:p>
        </w:tc>
        <w:tc>
          <w:tcPr>
            <w:tcW w:w="1417" w:type="dxa"/>
          </w:tcPr>
          <w:p w14:paraId="7449E0F3" w14:textId="743B6753" w:rsidR="00460CC8" w:rsidRPr="00460CC8" w:rsidRDefault="00460CC8" w:rsidP="00460CC8">
            <w:pPr>
              <w:jc w:val="center"/>
              <w:rPr>
                <w:b/>
                <w:bCs/>
                <w:i/>
                <w:iCs/>
                <w:color w:val="00B050"/>
              </w:rPr>
            </w:pPr>
            <w:r w:rsidRPr="00460CC8">
              <w:rPr>
                <w:color w:val="00B050"/>
              </w:rPr>
              <w:t>25,64</w:t>
            </w:r>
          </w:p>
        </w:tc>
      </w:tr>
    </w:tbl>
    <w:p w14:paraId="539A31C3" w14:textId="77777777" w:rsidR="00405795" w:rsidRDefault="00405795" w:rsidP="00150A72">
      <w:pPr>
        <w:jc w:val="both"/>
        <w:rPr>
          <w:b/>
          <w:bCs/>
          <w:i/>
          <w:iCs/>
        </w:rPr>
      </w:pPr>
    </w:p>
    <w:p w14:paraId="512BA1B5" w14:textId="6FDB856A" w:rsidR="00150A72" w:rsidRPr="00150A72" w:rsidRDefault="00150A72" w:rsidP="00150A72">
      <w:pPr>
        <w:jc w:val="both"/>
      </w:pPr>
      <w:r w:rsidRPr="00150A72">
        <w:rPr>
          <w:b/>
          <w:bCs/>
          <w:i/>
          <w:iCs/>
        </w:rPr>
        <w:t>La VAN reste positive en toute hypothèse. La VAN probable calculée dans cette approche du risque est par ailleurs supérieure à la VAN issue du calcul de risque élémentaire.</w:t>
      </w:r>
    </w:p>
    <w:p w14:paraId="11E78FD9" w14:textId="77777777" w:rsidR="00150A72" w:rsidRPr="00150A72" w:rsidRDefault="00150A72" w:rsidP="00150A72">
      <w:pPr>
        <w:jc w:val="both"/>
      </w:pPr>
    </w:p>
    <w:p w14:paraId="7B862B4E" w14:textId="77777777" w:rsidR="00150A72" w:rsidRPr="00150A72" w:rsidRDefault="00150A72" w:rsidP="00150A72">
      <w:pPr>
        <w:jc w:val="both"/>
        <w:rPr>
          <w:b/>
        </w:rPr>
      </w:pPr>
      <w:r w:rsidRPr="00150A72">
        <w:t xml:space="preserve">c) </w:t>
      </w:r>
      <w:r w:rsidRPr="00150A72">
        <w:rPr>
          <w:b/>
        </w:rPr>
        <w:t xml:space="preserve">Calcul paramétré (destiné à illustrer un risque systémique extrême, non paramétrable dans des options de PIB) : </w:t>
      </w:r>
    </w:p>
    <w:p w14:paraId="6538475E" w14:textId="77777777" w:rsidR="00150A72" w:rsidRPr="00150A72" w:rsidRDefault="00150A72" w:rsidP="00150A72">
      <w:pPr>
        <w:jc w:val="both"/>
      </w:pPr>
    </w:p>
    <w:p w14:paraId="3B16E10D" w14:textId="3ABB0D41" w:rsidR="00150A72" w:rsidRDefault="00150A72" w:rsidP="00150A72">
      <w:pPr>
        <w:jc w:val="both"/>
      </w:pPr>
      <w:r w:rsidRPr="00854115">
        <w:t>Les paramètres du calcul dépendent du β du mode de transport en question (</w:t>
      </w:r>
      <w:r w:rsidR="001D2D1C" w:rsidRPr="00854115">
        <w:t>le β</w:t>
      </w:r>
      <w:r w:rsidRPr="00854115">
        <w:t xml:space="preserve"> représente l’élasticité de demande par rapport au PIB et est plus faible pour les transports en commun intra</w:t>
      </w:r>
      <w:r w:rsidR="00A87CC4" w:rsidRPr="00854115">
        <w:t>-</w:t>
      </w:r>
      <w:r w:rsidRPr="00854115">
        <w:t>urbains). La formule de calcul du taux d’actualisation à retenir dans ce paramétrage est a</w:t>
      </w:r>
      <w:r w:rsidR="001D2D1C" w:rsidRPr="00854115">
        <w:t xml:space="preserve"> </w:t>
      </w:r>
      <w:r w:rsidRPr="00854115">
        <w:t>=</w:t>
      </w:r>
      <w:r w:rsidR="001D2D1C" w:rsidRPr="00854115">
        <w:t xml:space="preserve"> </w:t>
      </w:r>
      <w:r w:rsidRPr="00854115">
        <w:t>2,5% + 2% x β (la valeur de β est donnée dans le tableau récapitulant les valeurs tutélaires utilisées, présenté plus bas) :</w:t>
      </w:r>
    </w:p>
    <w:p w14:paraId="34F83A46" w14:textId="6B5792A9" w:rsidR="00EC2F3D" w:rsidRDefault="00EC2F3D" w:rsidP="00150A72">
      <w:pPr>
        <w:jc w:val="both"/>
      </w:pPr>
    </w:p>
    <w:p w14:paraId="19A25821" w14:textId="6750F4B7" w:rsidR="008F1819" w:rsidRDefault="008F1819" w:rsidP="00150A72">
      <w:pPr>
        <w:jc w:val="both"/>
      </w:pPr>
    </w:p>
    <w:p w14:paraId="27C8F1E4" w14:textId="62F47066" w:rsidR="008C1FB7" w:rsidRDefault="008C1FB7" w:rsidP="00150A72">
      <w:pPr>
        <w:jc w:val="both"/>
      </w:pPr>
    </w:p>
    <w:p w14:paraId="5688D836" w14:textId="77777777" w:rsidR="008C1FB7" w:rsidRDefault="008C1FB7" w:rsidP="00150A72">
      <w:pPr>
        <w:jc w:val="both"/>
      </w:pPr>
    </w:p>
    <w:p w14:paraId="35828CBA" w14:textId="77777777" w:rsidR="008F1819" w:rsidRPr="00854115" w:rsidRDefault="008F1819" w:rsidP="00150A72">
      <w:pPr>
        <w:jc w:val="both"/>
      </w:pPr>
    </w:p>
    <w:tbl>
      <w:tblPr>
        <w:tblW w:w="7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00"/>
        <w:gridCol w:w="1505"/>
        <w:gridCol w:w="1506"/>
      </w:tblGrid>
      <w:tr w:rsidR="00EC2F3D" w:rsidRPr="00150A72" w14:paraId="15851B1B" w14:textId="77777777" w:rsidTr="0084080B">
        <w:trPr>
          <w:trHeight w:val="170"/>
          <w:jc w:val="center"/>
        </w:trPr>
        <w:tc>
          <w:tcPr>
            <w:tcW w:w="4200" w:type="dxa"/>
            <w:shd w:val="clear" w:color="000000" w:fill="FFFFFF"/>
            <w:noWrap/>
          </w:tcPr>
          <w:p w14:paraId="738C2263" w14:textId="77777777" w:rsidR="00EC2F3D" w:rsidRPr="00594E99" w:rsidRDefault="00EC2F3D" w:rsidP="007B5B3B">
            <w:pPr>
              <w:widowControl w:val="0"/>
              <w:suppressAutoHyphens/>
              <w:snapToGrid w:val="0"/>
              <w:jc w:val="both"/>
              <w:rPr>
                <w:rFonts w:eastAsia="Calibri" w:cs="Cambria"/>
                <w:szCs w:val="20"/>
                <w:lang w:eastAsia="ar-SA"/>
              </w:rPr>
            </w:pPr>
            <w:r w:rsidRPr="00594E99">
              <w:rPr>
                <w:rFonts w:eastAsia="Times New Roman" w:cs="Calibri"/>
                <w:b/>
                <w:szCs w:val="20"/>
                <w:lang w:eastAsia="fr-FR"/>
              </w:rPr>
              <w:lastRenderedPageBreak/>
              <w:t xml:space="preserve">VAN </w:t>
            </w:r>
            <w:r w:rsidRPr="00594E99">
              <w:rPr>
                <w:rFonts w:eastAsia="Times New Roman" w:cs="Calibri"/>
                <w:b/>
                <w:bCs/>
                <w:szCs w:val="20"/>
                <w:lang w:eastAsia="fr-FR"/>
              </w:rPr>
              <w:t>(Md€ 2015)</w:t>
            </w:r>
          </w:p>
        </w:tc>
        <w:tc>
          <w:tcPr>
            <w:tcW w:w="1505" w:type="dxa"/>
            <w:shd w:val="clear" w:color="000000" w:fill="FFFFFF"/>
            <w:noWrap/>
            <w:vAlign w:val="center"/>
          </w:tcPr>
          <w:p w14:paraId="62101FE8" w14:textId="77777777" w:rsidR="00EC2F3D" w:rsidRPr="00150A72" w:rsidRDefault="00EC2F3D" w:rsidP="007B5B3B">
            <w:pPr>
              <w:jc w:val="center"/>
              <w:rPr>
                <w:rFonts w:eastAsia="Times New Roman" w:cs="Calibri"/>
                <w:szCs w:val="20"/>
                <w:lang w:eastAsia="fr-FR"/>
              </w:rPr>
            </w:pPr>
            <w:r w:rsidRPr="00150A72">
              <w:rPr>
                <w:rFonts w:eastAsia="Times New Roman" w:cs="Calibri"/>
                <w:i/>
                <w:szCs w:val="20"/>
                <w:lang w:eastAsia="fr-FR"/>
              </w:rPr>
              <w:t>sans COFP</w:t>
            </w:r>
          </w:p>
        </w:tc>
        <w:tc>
          <w:tcPr>
            <w:tcW w:w="1506" w:type="dxa"/>
            <w:shd w:val="clear" w:color="000000" w:fill="FFFFFF"/>
            <w:vAlign w:val="center"/>
          </w:tcPr>
          <w:p w14:paraId="1FA4EF82" w14:textId="77777777" w:rsidR="00EC2F3D" w:rsidRPr="00150A72" w:rsidRDefault="00EC2F3D" w:rsidP="007B5B3B">
            <w:pPr>
              <w:jc w:val="center"/>
              <w:rPr>
                <w:rFonts w:eastAsia="Times New Roman" w:cs="Calibri"/>
                <w:szCs w:val="20"/>
                <w:lang w:eastAsia="fr-FR"/>
              </w:rPr>
            </w:pPr>
            <w:r w:rsidRPr="00150A72">
              <w:rPr>
                <w:rFonts w:eastAsia="Times New Roman" w:cs="Calibri"/>
                <w:i/>
                <w:szCs w:val="20"/>
                <w:lang w:eastAsia="fr-FR"/>
              </w:rPr>
              <w:t>avec COFP</w:t>
            </w:r>
          </w:p>
        </w:tc>
      </w:tr>
      <w:tr w:rsidR="00460CC8" w:rsidRPr="00150A72" w14:paraId="608518DA" w14:textId="77777777" w:rsidTr="0084080B">
        <w:trPr>
          <w:trHeight w:val="170"/>
          <w:jc w:val="center"/>
        </w:trPr>
        <w:tc>
          <w:tcPr>
            <w:tcW w:w="4200" w:type="dxa"/>
            <w:shd w:val="clear" w:color="000000" w:fill="FFFFFF"/>
            <w:noWrap/>
            <w:hideMark/>
          </w:tcPr>
          <w:p w14:paraId="2E6D9C39" w14:textId="77777777" w:rsidR="00460CC8" w:rsidRPr="00594E99" w:rsidRDefault="00460CC8" w:rsidP="00460CC8">
            <w:pPr>
              <w:widowControl w:val="0"/>
              <w:suppressAutoHyphens/>
              <w:snapToGrid w:val="0"/>
              <w:jc w:val="both"/>
              <w:rPr>
                <w:rFonts w:eastAsia="Calibri" w:cs="Cambria"/>
                <w:color w:val="931638"/>
                <w:szCs w:val="20"/>
                <w:lang w:eastAsia="ar-SA"/>
              </w:rPr>
            </w:pPr>
            <w:r w:rsidRPr="00594E99">
              <w:rPr>
                <w:rFonts w:eastAsia="Calibri" w:cs="Cambria"/>
                <w:color w:val="931638"/>
                <w:szCs w:val="20"/>
                <w:lang w:eastAsia="ar-SA"/>
              </w:rPr>
              <w:t xml:space="preserve">Avantages </w:t>
            </w:r>
          </w:p>
        </w:tc>
        <w:tc>
          <w:tcPr>
            <w:tcW w:w="3011" w:type="dxa"/>
            <w:gridSpan w:val="2"/>
            <w:shd w:val="clear" w:color="000000" w:fill="FFFFFF"/>
            <w:noWrap/>
          </w:tcPr>
          <w:p w14:paraId="3E0F0023" w14:textId="474AE786" w:rsidR="00460CC8" w:rsidRPr="00460CC8" w:rsidRDefault="00460CC8" w:rsidP="00460CC8">
            <w:pPr>
              <w:jc w:val="center"/>
              <w:rPr>
                <w:rFonts w:eastAsia="Times New Roman" w:cs="Calibri"/>
                <w:color w:val="00B050"/>
                <w:szCs w:val="20"/>
                <w:lang w:eastAsia="fr-FR"/>
              </w:rPr>
            </w:pPr>
            <w:r w:rsidRPr="00460CC8">
              <w:rPr>
                <w:color w:val="00B050"/>
              </w:rPr>
              <w:t>64,23</w:t>
            </w:r>
          </w:p>
        </w:tc>
      </w:tr>
      <w:tr w:rsidR="00460CC8" w:rsidRPr="00150A72" w14:paraId="3D24B9FA" w14:textId="77777777" w:rsidTr="0084080B">
        <w:trPr>
          <w:trHeight w:val="170"/>
          <w:jc w:val="center"/>
        </w:trPr>
        <w:tc>
          <w:tcPr>
            <w:tcW w:w="4200" w:type="dxa"/>
            <w:shd w:val="clear" w:color="000000" w:fill="FFFFFF"/>
            <w:noWrap/>
            <w:hideMark/>
          </w:tcPr>
          <w:p w14:paraId="6D1750BD" w14:textId="77777777" w:rsidR="00460CC8" w:rsidRPr="00594E99" w:rsidRDefault="00460CC8" w:rsidP="00460CC8">
            <w:pPr>
              <w:widowControl w:val="0"/>
              <w:suppressAutoHyphens/>
              <w:snapToGrid w:val="0"/>
              <w:jc w:val="both"/>
              <w:rPr>
                <w:rFonts w:eastAsia="Calibri" w:cs="Cambria"/>
                <w:color w:val="931638"/>
                <w:szCs w:val="20"/>
                <w:lang w:eastAsia="ar-SA"/>
              </w:rPr>
            </w:pPr>
            <w:r w:rsidRPr="00594E99">
              <w:rPr>
                <w:rFonts w:eastAsia="Calibri" w:cs="Cambria"/>
                <w:color w:val="931638"/>
                <w:szCs w:val="20"/>
                <w:lang w:eastAsia="ar-SA"/>
              </w:rPr>
              <w:t>Divers (voirie et taxes sur essence)</w:t>
            </w:r>
          </w:p>
        </w:tc>
        <w:tc>
          <w:tcPr>
            <w:tcW w:w="1505" w:type="dxa"/>
            <w:shd w:val="clear" w:color="000000" w:fill="FFFFFF"/>
            <w:noWrap/>
          </w:tcPr>
          <w:p w14:paraId="328151EE" w14:textId="78DC93F3" w:rsidR="00460CC8" w:rsidRPr="00460CC8" w:rsidRDefault="00460CC8" w:rsidP="00460CC8">
            <w:pPr>
              <w:jc w:val="center"/>
              <w:rPr>
                <w:rFonts w:eastAsia="Times New Roman" w:cs="Calibri"/>
                <w:color w:val="00B050"/>
                <w:szCs w:val="20"/>
                <w:lang w:eastAsia="fr-FR"/>
              </w:rPr>
            </w:pPr>
            <w:r w:rsidRPr="00460CC8">
              <w:rPr>
                <w:color w:val="00B050"/>
              </w:rPr>
              <w:t>-0,06</w:t>
            </w:r>
          </w:p>
        </w:tc>
        <w:tc>
          <w:tcPr>
            <w:tcW w:w="1506" w:type="dxa"/>
            <w:shd w:val="clear" w:color="000000" w:fill="FFFFFF"/>
            <w:noWrap/>
          </w:tcPr>
          <w:p w14:paraId="2630E743" w14:textId="3D42E4E5" w:rsidR="00460CC8" w:rsidRPr="00460CC8" w:rsidRDefault="00460CC8" w:rsidP="00460CC8">
            <w:pPr>
              <w:jc w:val="center"/>
              <w:rPr>
                <w:rFonts w:eastAsia="Times New Roman" w:cs="Calibri"/>
                <w:color w:val="00B050"/>
                <w:szCs w:val="20"/>
                <w:lang w:eastAsia="fr-FR"/>
              </w:rPr>
            </w:pPr>
            <w:r w:rsidRPr="00460CC8">
              <w:rPr>
                <w:color w:val="00B050"/>
              </w:rPr>
              <w:t>-0,08</w:t>
            </w:r>
          </w:p>
        </w:tc>
      </w:tr>
      <w:tr w:rsidR="00460CC8" w:rsidRPr="00150A72" w14:paraId="53AEDFD3" w14:textId="77777777" w:rsidTr="0084080B">
        <w:trPr>
          <w:trHeight w:val="170"/>
          <w:jc w:val="center"/>
        </w:trPr>
        <w:tc>
          <w:tcPr>
            <w:tcW w:w="4200" w:type="dxa"/>
            <w:shd w:val="clear" w:color="000000" w:fill="FFFFFF"/>
            <w:noWrap/>
            <w:hideMark/>
          </w:tcPr>
          <w:p w14:paraId="44FF6DFB" w14:textId="77777777" w:rsidR="00460CC8" w:rsidRPr="00594E99" w:rsidRDefault="00460CC8" w:rsidP="00460CC8">
            <w:pPr>
              <w:widowControl w:val="0"/>
              <w:suppressAutoHyphens/>
              <w:snapToGrid w:val="0"/>
              <w:jc w:val="both"/>
              <w:rPr>
                <w:rFonts w:eastAsia="Calibri" w:cs="Cambria"/>
                <w:color w:val="931638"/>
                <w:szCs w:val="20"/>
                <w:lang w:eastAsia="ar-SA"/>
              </w:rPr>
            </w:pPr>
            <w:r w:rsidRPr="00594E99">
              <w:rPr>
                <w:rFonts w:eastAsia="Calibri" w:cs="Cambria"/>
                <w:color w:val="931638"/>
                <w:szCs w:val="20"/>
                <w:lang w:eastAsia="ar-SA"/>
              </w:rPr>
              <w:t xml:space="preserve">Coûts d’exploitation et d’investissement </w:t>
            </w:r>
          </w:p>
        </w:tc>
        <w:tc>
          <w:tcPr>
            <w:tcW w:w="1505" w:type="dxa"/>
            <w:shd w:val="clear" w:color="000000" w:fill="FFFFFF"/>
            <w:noWrap/>
          </w:tcPr>
          <w:p w14:paraId="162B1EF0" w14:textId="13E18247" w:rsidR="00460CC8" w:rsidRPr="00460CC8" w:rsidRDefault="00460CC8" w:rsidP="00460CC8">
            <w:pPr>
              <w:jc w:val="center"/>
              <w:rPr>
                <w:rFonts w:eastAsia="Times New Roman" w:cs="Calibri"/>
                <w:color w:val="00B050"/>
                <w:szCs w:val="20"/>
                <w:lang w:eastAsia="fr-FR"/>
              </w:rPr>
            </w:pPr>
            <w:r w:rsidRPr="00460CC8">
              <w:rPr>
                <w:color w:val="00B050"/>
              </w:rPr>
              <w:t>-42,52</w:t>
            </w:r>
          </w:p>
        </w:tc>
        <w:tc>
          <w:tcPr>
            <w:tcW w:w="1506" w:type="dxa"/>
            <w:shd w:val="clear" w:color="000000" w:fill="FFFFFF"/>
            <w:noWrap/>
          </w:tcPr>
          <w:p w14:paraId="0F4E8E1E" w14:textId="03E04F13" w:rsidR="00460CC8" w:rsidRPr="00460CC8" w:rsidRDefault="00460CC8" w:rsidP="00460CC8">
            <w:pPr>
              <w:jc w:val="center"/>
              <w:rPr>
                <w:rFonts w:eastAsia="Times New Roman" w:cs="Calibri"/>
                <w:color w:val="00B050"/>
                <w:szCs w:val="20"/>
                <w:lang w:eastAsia="fr-FR"/>
              </w:rPr>
            </w:pPr>
            <w:r w:rsidRPr="00460CC8">
              <w:rPr>
                <w:color w:val="00B050"/>
              </w:rPr>
              <w:t>-54,00</w:t>
            </w:r>
          </w:p>
        </w:tc>
      </w:tr>
      <w:tr w:rsidR="00460CC8" w:rsidRPr="00150A72" w14:paraId="1B519750" w14:textId="77777777" w:rsidTr="0084080B">
        <w:trPr>
          <w:trHeight w:val="170"/>
          <w:jc w:val="center"/>
        </w:trPr>
        <w:tc>
          <w:tcPr>
            <w:tcW w:w="4200" w:type="dxa"/>
            <w:shd w:val="clear" w:color="000000" w:fill="FFFFFF"/>
            <w:noWrap/>
            <w:vAlign w:val="center"/>
            <w:hideMark/>
          </w:tcPr>
          <w:p w14:paraId="76CD9411" w14:textId="77777777" w:rsidR="00460CC8" w:rsidRPr="00594E99" w:rsidRDefault="00460CC8" w:rsidP="00460CC8">
            <w:pPr>
              <w:jc w:val="both"/>
              <w:rPr>
                <w:rFonts w:eastAsia="Times New Roman" w:cs="Arial"/>
                <w:b/>
                <w:bCs/>
                <w:i/>
                <w:iCs/>
                <w:color w:val="931638"/>
                <w:szCs w:val="20"/>
                <w:lang w:eastAsia="fr-FR"/>
              </w:rPr>
            </w:pPr>
            <w:r w:rsidRPr="00594E99">
              <w:rPr>
                <w:rFonts w:eastAsia="Calibri" w:cs="Cambria"/>
                <w:b/>
                <w:i/>
                <w:color w:val="931638"/>
                <w:szCs w:val="20"/>
                <w:lang w:eastAsia="ar-SA"/>
              </w:rPr>
              <w:t>VAN</w:t>
            </w:r>
          </w:p>
        </w:tc>
        <w:tc>
          <w:tcPr>
            <w:tcW w:w="1505" w:type="dxa"/>
            <w:shd w:val="clear" w:color="000000" w:fill="FFFFFF"/>
            <w:noWrap/>
          </w:tcPr>
          <w:p w14:paraId="47B63807" w14:textId="5439A693" w:rsidR="00460CC8" w:rsidRPr="00460CC8" w:rsidRDefault="00460CC8" w:rsidP="00460CC8">
            <w:pPr>
              <w:jc w:val="center"/>
              <w:rPr>
                <w:rFonts w:eastAsia="Times New Roman" w:cs="Calibri"/>
                <w:b/>
                <w:color w:val="00B050"/>
                <w:szCs w:val="20"/>
                <w:lang w:eastAsia="fr-FR"/>
              </w:rPr>
            </w:pPr>
            <w:r w:rsidRPr="00460CC8">
              <w:rPr>
                <w:color w:val="00B050"/>
              </w:rPr>
              <w:t>21,65</w:t>
            </w:r>
          </w:p>
        </w:tc>
        <w:tc>
          <w:tcPr>
            <w:tcW w:w="1506" w:type="dxa"/>
            <w:shd w:val="clear" w:color="000000" w:fill="FFFFFF"/>
            <w:noWrap/>
          </w:tcPr>
          <w:p w14:paraId="34903518" w14:textId="300A42E9" w:rsidR="00460CC8" w:rsidRPr="00460CC8" w:rsidRDefault="00460CC8" w:rsidP="00460CC8">
            <w:pPr>
              <w:jc w:val="center"/>
              <w:rPr>
                <w:rFonts w:eastAsia="Times New Roman" w:cs="Calibri"/>
                <w:b/>
                <w:color w:val="00B050"/>
                <w:szCs w:val="20"/>
                <w:lang w:eastAsia="fr-FR"/>
              </w:rPr>
            </w:pPr>
            <w:r w:rsidRPr="00460CC8">
              <w:rPr>
                <w:color w:val="00B050"/>
              </w:rPr>
              <w:t>10,15</w:t>
            </w:r>
          </w:p>
        </w:tc>
      </w:tr>
      <w:tr w:rsidR="00460CC8" w:rsidRPr="00150A72" w14:paraId="2BC94569" w14:textId="77777777" w:rsidTr="0084080B">
        <w:trPr>
          <w:trHeight w:val="170"/>
          <w:jc w:val="center"/>
        </w:trPr>
        <w:tc>
          <w:tcPr>
            <w:tcW w:w="4200" w:type="dxa"/>
            <w:shd w:val="clear" w:color="000000" w:fill="FFFFFF"/>
            <w:noWrap/>
            <w:hideMark/>
          </w:tcPr>
          <w:p w14:paraId="24269761" w14:textId="77777777" w:rsidR="00460CC8" w:rsidRPr="00594E99" w:rsidRDefault="00460CC8" w:rsidP="00460CC8">
            <w:pPr>
              <w:widowControl w:val="0"/>
              <w:suppressAutoHyphens/>
              <w:snapToGrid w:val="0"/>
              <w:jc w:val="both"/>
              <w:rPr>
                <w:rFonts w:eastAsia="Calibri" w:cs="Cambria"/>
                <w:color w:val="931638"/>
                <w:szCs w:val="20"/>
                <w:lang w:eastAsia="ar-SA"/>
              </w:rPr>
            </w:pPr>
            <w:r w:rsidRPr="00594E99">
              <w:rPr>
                <w:rFonts w:eastAsia="Calibri" w:cs="Cambria"/>
                <w:color w:val="931638"/>
                <w:szCs w:val="20"/>
                <w:lang w:eastAsia="ar-SA"/>
              </w:rPr>
              <w:t>VAN / euro investi</w:t>
            </w:r>
          </w:p>
        </w:tc>
        <w:tc>
          <w:tcPr>
            <w:tcW w:w="1505" w:type="dxa"/>
            <w:shd w:val="clear" w:color="000000" w:fill="FFFFFF"/>
            <w:noWrap/>
          </w:tcPr>
          <w:p w14:paraId="778A2A5E" w14:textId="1A1A5B14" w:rsidR="00460CC8" w:rsidRPr="00460CC8" w:rsidRDefault="00460CC8" w:rsidP="00460CC8">
            <w:pPr>
              <w:jc w:val="center"/>
              <w:rPr>
                <w:rFonts w:eastAsia="Times New Roman" w:cs="Calibri"/>
                <w:color w:val="00B050"/>
                <w:szCs w:val="20"/>
                <w:lang w:eastAsia="fr-FR"/>
              </w:rPr>
            </w:pPr>
            <w:r w:rsidRPr="00460CC8">
              <w:rPr>
                <w:color w:val="00B050"/>
              </w:rPr>
              <w:t>0,65</w:t>
            </w:r>
          </w:p>
        </w:tc>
        <w:tc>
          <w:tcPr>
            <w:tcW w:w="1506" w:type="dxa"/>
            <w:shd w:val="clear" w:color="000000" w:fill="FFFFFF"/>
            <w:noWrap/>
          </w:tcPr>
          <w:p w14:paraId="0A8858F4" w14:textId="1CA80D84" w:rsidR="00460CC8" w:rsidRPr="00460CC8" w:rsidRDefault="00460CC8" w:rsidP="00460CC8">
            <w:pPr>
              <w:jc w:val="center"/>
              <w:rPr>
                <w:rFonts w:eastAsia="Times New Roman" w:cs="Calibri"/>
                <w:color w:val="00B050"/>
                <w:szCs w:val="20"/>
                <w:lang w:eastAsia="fr-FR"/>
              </w:rPr>
            </w:pPr>
            <w:r w:rsidRPr="00460CC8">
              <w:rPr>
                <w:color w:val="00B050"/>
              </w:rPr>
              <w:t>0,24</w:t>
            </w:r>
          </w:p>
        </w:tc>
      </w:tr>
      <w:tr w:rsidR="00460CC8" w:rsidRPr="00150A72" w14:paraId="6F76C6F1" w14:textId="77777777" w:rsidTr="0084080B">
        <w:trPr>
          <w:trHeight w:val="170"/>
          <w:jc w:val="center"/>
        </w:trPr>
        <w:tc>
          <w:tcPr>
            <w:tcW w:w="4200" w:type="dxa"/>
            <w:shd w:val="clear" w:color="000000" w:fill="FFFFFF"/>
            <w:noWrap/>
            <w:hideMark/>
          </w:tcPr>
          <w:p w14:paraId="63788C88" w14:textId="77777777" w:rsidR="00460CC8" w:rsidRPr="00594E99" w:rsidRDefault="00460CC8" w:rsidP="00460CC8">
            <w:pPr>
              <w:widowControl w:val="0"/>
              <w:suppressAutoHyphens/>
              <w:snapToGrid w:val="0"/>
              <w:jc w:val="both"/>
              <w:rPr>
                <w:rFonts w:eastAsia="Calibri" w:cs="Cambria"/>
                <w:color w:val="931638"/>
                <w:szCs w:val="20"/>
                <w:lang w:eastAsia="ar-SA"/>
              </w:rPr>
            </w:pPr>
            <w:r w:rsidRPr="00594E99">
              <w:rPr>
                <w:rFonts w:eastAsia="Calibri" w:cs="Cambria"/>
                <w:color w:val="931638"/>
                <w:szCs w:val="20"/>
                <w:lang w:eastAsia="ar-SA"/>
              </w:rPr>
              <w:t>VAN / euro dépensé</w:t>
            </w:r>
          </w:p>
        </w:tc>
        <w:tc>
          <w:tcPr>
            <w:tcW w:w="1505" w:type="dxa"/>
            <w:shd w:val="clear" w:color="000000" w:fill="FFFFFF"/>
            <w:noWrap/>
          </w:tcPr>
          <w:p w14:paraId="22B430DF" w14:textId="11716993" w:rsidR="00460CC8" w:rsidRPr="00460CC8" w:rsidRDefault="00460CC8" w:rsidP="00460CC8">
            <w:pPr>
              <w:jc w:val="center"/>
              <w:rPr>
                <w:rFonts w:eastAsia="Times New Roman" w:cs="Calibri"/>
                <w:color w:val="00B050"/>
                <w:szCs w:val="20"/>
                <w:lang w:eastAsia="fr-FR"/>
              </w:rPr>
            </w:pPr>
            <w:r w:rsidRPr="00460CC8">
              <w:rPr>
                <w:color w:val="00B050"/>
              </w:rPr>
              <w:t>0,51</w:t>
            </w:r>
          </w:p>
        </w:tc>
        <w:tc>
          <w:tcPr>
            <w:tcW w:w="1506" w:type="dxa"/>
            <w:shd w:val="clear" w:color="000000" w:fill="FFFFFF"/>
            <w:noWrap/>
          </w:tcPr>
          <w:p w14:paraId="75C3B153" w14:textId="65A761FD" w:rsidR="00460CC8" w:rsidRPr="00460CC8" w:rsidRDefault="00460CC8" w:rsidP="00460CC8">
            <w:pPr>
              <w:jc w:val="center"/>
              <w:rPr>
                <w:rFonts w:eastAsia="Times New Roman" w:cs="Calibri"/>
                <w:color w:val="00B050"/>
                <w:szCs w:val="20"/>
                <w:lang w:eastAsia="fr-FR"/>
              </w:rPr>
            </w:pPr>
            <w:r w:rsidRPr="00460CC8">
              <w:rPr>
                <w:color w:val="00B050"/>
              </w:rPr>
              <w:t>0,19</w:t>
            </w:r>
          </w:p>
        </w:tc>
      </w:tr>
    </w:tbl>
    <w:p w14:paraId="4D172D9E" w14:textId="77777777" w:rsidR="00460CC8" w:rsidRPr="00150A72" w:rsidRDefault="00460CC8" w:rsidP="00150A72">
      <w:pPr>
        <w:jc w:val="both"/>
      </w:pPr>
    </w:p>
    <w:p w14:paraId="259DF671" w14:textId="2AA4D894" w:rsidR="00150A72" w:rsidRPr="00150A72" w:rsidRDefault="00150A72" w:rsidP="00150A72">
      <w:pPr>
        <w:jc w:val="both"/>
        <w:rPr>
          <w:b/>
          <w:bCs/>
          <w:i/>
          <w:iCs/>
        </w:rPr>
      </w:pPr>
      <w:r w:rsidRPr="00150A72">
        <w:rPr>
          <w:b/>
          <w:bCs/>
          <w:i/>
          <w:iCs/>
        </w:rPr>
        <w:t>L</w:t>
      </w:r>
      <w:r w:rsidRPr="00CB4E95">
        <w:rPr>
          <w:b/>
          <w:bCs/>
          <w:i/>
          <w:iCs/>
        </w:rPr>
        <w:t>a VAN de l’option centrale, reste positive en toute hypothèse, même en utilisant les taux d’actualisation très défavorables associés à ce calcul</w:t>
      </w:r>
      <w:r w:rsidR="00AD14B4">
        <w:rPr>
          <w:b/>
          <w:bCs/>
          <w:i/>
          <w:iCs/>
        </w:rPr>
        <w:t>.</w:t>
      </w:r>
    </w:p>
    <w:p w14:paraId="38040F83" w14:textId="77777777" w:rsidR="00150A72" w:rsidRPr="00150A72" w:rsidRDefault="00150A72" w:rsidP="00150A72">
      <w:pPr>
        <w:jc w:val="both"/>
      </w:pPr>
    </w:p>
    <w:p w14:paraId="0ED3F2DA" w14:textId="2A7FB840" w:rsidR="00150A72" w:rsidRPr="00150A72" w:rsidRDefault="00150A72" w:rsidP="00150A72">
      <w:pPr>
        <w:jc w:val="both"/>
        <w:rPr>
          <w:b/>
          <w:bCs/>
          <w:i/>
          <w:iCs/>
        </w:rPr>
      </w:pPr>
      <w:r w:rsidRPr="00150A72">
        <w:rPr>
          <w:b/>
          <w:bCs/>
          <w:i/>
          <w:iCs/>
        </w:rPr>
        <w:t>Bilan de l’analyse de risque :</w:t>
      </w:r>
    </w:p>
    <w:p w14:paraId="74185C00" w14:textId="77777777" w:rsidR="00150A72" w:rsidRPr="00150A72" w:rsidRDefault="00150A72" w:rsidP="00150A72">
      <w:pPr>
        <w:jc w:val="both"/>
      </w:pPr>
    </w:p>
    <w:p w14:paraId="658E5ECA" w14:textId="77777777" w:rsidR="00150A72" w:rsidRPr="00150A72" w:rsidRDefault="00150A72" w:rsidP="00150A72">
      <w:pPr>
        <w:jc w:val="both"/>
      </w:pPr>
      <w:r w:rsidRPr="00150A72">
        <w:t xml:space="preserve">Il convient de souligner que ces différents tests ont été effectués pour l’ensemble des options envisagées en matière de projections socio-démographiques. </w:t>
      </w:r>
    </w:p>
    <w:p w14:paraId="21D74FB7" w14:textId="77777777" w:rsidR="00150A72" w:rsidRPr="00150A72" w:rsidRDefault="00150A72" w:rsidP="00150A72">
      <w:pPr>
        <w:jc w:val="both"/>
      </w:pPr>
    </w:p>
    <w:p w14:paraId="0ED751D5" w14:textId="47FAB349" w:rsidR="00B554B0" w:rsidRPr="00CC77C9" w:rsidRDefault="00150A72" w:rsidP="00150A72">
      <w:pPr>
        <w:jc w:val="both"/>
        <w:rPr>
          <w:b/>
          <w:szCs w:val="20"/>
        </w:rPr>
      </w:pPr>
      <w:r w:rsidRPr="00150A72">
        <w:rPr>
          <w:b/>
          <w:szCs w:val="20"/>
        </w:rPr>
        <w:t>Le projet pass</w:t>
      </w:r>
      <w:r w:rsidR="00AD14B4">
        <w:rPr>
          <w:b/>
          <w:szCs w:val="20"/>
        </w:rPr>
        <w:t xml:space="preserve">e </w:t>
      </w:r>
      <w:r w:rsidRPr="00150A72">
        <w:rPr>
          <w:b/>
          <w:szCs w:val="20"/>
        </w:rPr>
        <w:t>donc correctement les tests de stress prévus par l’instruction de juin 2014</w:t>
      </w:r>
      <w:r w:rsidR="00DA1554">
        <w:rPr>
          <w:b/>
          <w:color w:val="FF0000"/>
          <w:szCs w:val="20"/>
        </w:rPr>
        <w:t>.</w:t>
      </w:r>
    </w:p>
    <w:p w14:paraId="741A85AF" w14:textId="2DDE23E1" w:rsidR="00150A72" w:rsidRPr="00150A72" w:rsidRDefault="00460CC8" w:rsidP="00412C10">
      <w:pPr>
        <w:pStyle w:val="Titre3"/>
        <w:numPr>
          <w:ilvl w:val="3"/>
          <w:numId w:val="33"/>
        </w:numPr>
      </w:pPr>
      <w:bookmarkStart w:id="152" w:name="_Toc46917082"/>
      <w:bookmarkStart w:id="153" w:name="_Toc63352154"/>
      <w:r>
        <w:t>L</w:t>
      </w:r>
      <w:r w:rsidR="00150A72" w:rsidRPr="00150A72">
        <w:t xml:space="preserve">e calcul de la date optimale de </w:t>
      </w:r>
      <w:bookmarkEnd w:id="152"/>
      <w:r w:rsidR="00405795">
        <w:t>mise en service</w:t>
      </w:r>
      <w:bookmarkEnd w:id="153"/>
    </w:p>
    <w:p w14:paraId="38878229" w14:textId="77777777" w:rsidR="00150A72" w:rsidRPr="00150A72" w:rsidRDefault="00150A72" w:rsidP="00150A72">
      <w:pPr>
        <w:jc w:val="both"/>
      </w:pPr>
    </w:p>
    <w:p w14:paraId="419934D6" w14:textId="77777777" w:rsidR="00150A72" w:rsidRPr="00150A72" w:rsidRDefault="00150A72" w:rsidP="00150A72">
      <w:pPr>
        <w:jc w:val="both"/>
      </w:pPr>
      <w:r w:rsidRPr="00150A72">
        <w:t xml:space="preserve">La date optimale de mise en service d’un projet est la date de mise en service pour laquelle la valeur actualisée nette socio-économique est maximale. </w:t>
      </w:r>
    </w:p>
    <w:p w14:paraId="2D8CDCB2" w14:textId="77777777" w:rsidR="00150A72" w:rsidRPr="00150A72" w:rsidRDefault="00150A72" w:rsidP="00150A72">
      <w:pPr>
        <w:jc w:val="both"/>
      </w:pPr>
    </w:p>
    <w:p w14:paraId="111384FF" w14:textId="700441C9" w:rsidR="00150A72" w:rsidRPr="00AD14B4" w:rsidRDefault="00150A72" w:rsidP="00150A72">
      <w:pPr>
        <w:jc w:val="both"/>
      </w:pPr>
      <w:r w:rsidRPr="00150A72">
        <w:t>Dans les cas où l’on peut considérer le projet comme non significativement risqué, ce qui s’applique au réseau Grand Paris Express compte tenu des calculs qui ont été effectués plus haut, la méthode la plus simple proposée consiste à calculer le taux de rentabilité immédiate. La date optimale de mise en service est la date au-delà de laquelle le taux de rentabilité immédiate est supérieur au taux d’actualisation (pris ici à 4,5%). Ce critère n’est valable que si les avantages sont croissants dans le temps ; il est donc nécessaire de montrer que cette condition est bien vérifiée. Si on applique cette méthode au Grand Paris Express, et compte tenu de ses caractéristiques propres, on montre que la date optimale est la date « au plus tôt ».</w:t>
      </w:r>
    </w:p>
    <w:p w14:paraId="34E1F3EB" w14:textId="77777777" w:rsidR="00150A72" w:rsidRPr="00150A72" w:rsidRDefault="00150A72" w:rsidP="00150A72">
      <w:pPr>
        <w:jc w:val="both"/>
      </w:pPr>
    </w:p>
    <w:p w14:paraId="5B574A92" w14:textId="77777777" w:rsidR="00150A72" w:rsidRPr="00150A72" w:rsidRDefault="00150A72" w:rsidP="00150A72">
      <w:pPr>
        <w:ind w:left="709" w:firstLine="709"/>
        <w:jc w:val="both"/>
        <w:rPr>
          <w:b/>
          <w:i/>
          <w:lang w:eastAsia="fr-FR"/>
        </w:rPr>
      </w:pPr>
      <w:r w:rsidRPr="00150A72">
        <w:rPr>
          <w:b/>
          <w:i/>
          <w:lang w:eastAsia="fr-FR"/>
        </w:rPr>
        <w:t>Evolution de la VAN du schéma d’ensemble en fonction du temps</w:t>
      </w:r>
    </w:p>
    <w:tbl>
      <w:tblPr>
        <w:tblW w:w="5815" w:type="dxa"/>
        <w:jc w:val="center"/>
        <w:tblCellMar>
          <w:left w:w="70" w:type="dxa"/>
          <w:right w:w="70" w:type="dxa"/>
        </w:tblCellMar>
        <w:tblLook w:val="04A0" w:firstRow="1" w:lastRow="0" w:firstColumn="1" w:lastColumn="0" w:noHBand="0" w:noVBand="1"/>
      </w:tblPr>
      <w:tblGrid>
        <w:gridCol w:w="3005"/>
        <w:gridCol w:w="1405"/>
        <w:gridCol w:w="1405"/>
      </w:tblGrid>
      <w:tr w:rsidR="00150A72" w:rsidRPr="00150A72" w14:paraId="400D1FC0" w14:textId="77777777" w:rsidTr="00320D6E">
        <w:trPr>
          <w:trHeight w:val="20"/>
          <w:jc w:val="center"/>
        </w:trPr>
        <w:tc>
          <w:tcPr>
            <w:tcW w:w="3005" w:type="dxa"/>
            <w:vMerge w:val="restart"/>
            <w:tcBorders>
              <w:top w:val="single" w:sz="8" w:space="0" w:color="auto"/>
              <w:left w:val="single" w:sz="8" w:space="0" w:color="auto"/>
              <w:right w:val="single" w:sz="4" w:space="0" w:color="auto"/>
            </w:tcBorders>
            <w:shd w:val="clear" w:color="000000" w:fill="FFFFFF"/>
            <w:vAlign w:val="center"/>
            <w:hideMark/>
          </w:tcPr>
          <w:p w14:paraId="3ED4B8D4" w14:textId="77777777" w:rsidR="00150A72" w:rsidRPr="00150A72" w:rsidRDefault="00150A72" w:rsidP="00150A72">
            <w:pPr>
              <w:jc w:val="both"/>
              <w:rPr>
                <w:rFonts w:eastAsia="Times New Roman" w:cs="Calibri"/>
                <w:b/>
                <w:bCs/>
                <w:szCs w:val="20"/>
                <w:lang w:eastAsia="fr-FR"/>
              </w:rPr>
            </w:pPr>
            <w:r w:rsidRPr="00150A72">
              <w:rPr>
                <w:rFonts w:eastAsia="Times New Roman" w:cs="Calibri"/>
                <w:b/>
                <w:bCs/>
                <w:szCs w:val="20"/>
                <w:lang w:eastAsia="fr-FR"/>
              </w:rPr>
              <w:t>Schéma d’ensemble</w:t>
            </w:r>
          </w:p>
        </w:tc>
        <w:tc>
          <w:tcPr>
            <w:tcW w:w="2810" w:type="dxa"/>
            <w:gridSpan w:val="2"/>
            <w:tcBorders>
              <w:top w:val="single" w:sz="8" w:space="0" w:color="auto"/>
              <w:left w:val="nil"/>
              <w:bottom w:val="single" w:sz="4" w:space="0" w:color="auto"/>
              <w:right w:val="single" w:sz="8" w:space="0" w:color="000000"/>
            </w:tcBorders>
            <w:shd w:val="clear" w:color="000000" w:fill="FFFFFF"/>
            <w:vAlign w:val="center"/>
            <w:hideMark/>
          </w:tcPr>
          <w:p w14:paraId="01C3652D" w14:textId="77777777" w:rsidR="00150A72" w:rsidRPr="00150A72" w:rsidRDefault="00150A72" w:rsidP="00150A72">
            <w:pPr>
              <w:jc w:val="center"/>
              <w:rPr>
                <w:rFonts w:eastAsia="Times New Roman" w:cs="Calibri"/>
                <w:b/>
                <w:bCs/>
                <w:szCs w:val="20"/>
                <w:lang w:eastAsia="fr-FR"/>
              </w:rPr>
            </w:pPr>
            <w:r w:rsidRPr="00150A72">
              <w:rPr>
                <w:rFonts w:eastAsia="Times New Roman" w:cs="Calibri"/>
                <w:b/>
                <w:bCs/>
                <w:szCs w:val="20"/>
                <w:lang w:eastAsia="fr-FR"/>
              </w:rPr>
              <w:t>VAN</w:t>
            </w:r>
          </w:p>
        </w:tc>
      </w:tr>
      <w:tr w:rsidR="00150A72" w:rsidRPr="00150A72" w14:paraId="6E9F2043" w14:textId="77777777" w:rsidTr="00320D6E">
        <w:trPr>
          <w:trHeight w:val="20"/>
          <w:jc w:val="center"/>
        </w:trPr>
        <w:tc>
          <w:tcPr>
            <w:tcW w:w="3005" w:type="dxa"/>
            <w:vMerge/>
            <w:tcBorders>
              <w:left w:val="single" w:sz="8" w:space="0" w:color="auto"/>
              <w:bottom w:val="single" w:sz="4" w:space="0" w:color="auto"/>
              <w:right w:val="single" w:sz="4" w:space="0" w:color="auto"/>
            </w:tcBorders>
            <w:shd w:val="clear" w:color="000000" w:fill="FFFFFF"/>
            <w:vAlign w:val="center"/>
            <w:hideMark/>
          </w:tcPr>
          <w:p w14:paraId="5287EFA1" w14:textId="77777777" w:rsidR="00150A72" w:rsidRPr="00150A72" w:rsidRDefault="00150A72" w:rsidP="00150A72">
            <w:pPr>
              <w:jc w:val="both"/>
              <w:rPr>
                <w:rFonts w:eastAsia="Times New Roman" w:cs="Calibri"/>
                <w:i/>
                <w:szCs w:val="20"/>
                <w:lang w:eastAsia="fr-FR"/>
              </w:rPr>
            </w:pPr>
          </w:p>
        </w:tc>
        <w:tc>
          <w:tcPr>
            <w:tcW w:w="1405" w:type="dxa"/>
            <w:tcBorders>
              <w:top w:val="nil"/>
              <w:left w:val="nil"/>
              <w:bottom w:val="single" w:sz="4" w:space="0" w:color="auto"/>
              <w:right w:val="single" w:sz="4" w:space="0" w:color="auto"/>
            </w:tcBorders>
            <w:shd w:val="clear" w:color="000000" w:fill="FFFFFF"/>
            <w:vAlign w:val="center"/>
            <w:hideMark/>
          </w:tcPr>
          <w:p w14:paraId="4400CD07" w14:textId="77777777" w:rsidR="00150A72" w:rsidRPr="00150A72" w:rsidRDefault="00150A72" w:rsidP="00150A72">
            <w:pPr>
              <w:jc w:val="center"/>
              <w:rPr>
                <w:rFonts w:eastAsia="Times New Roman" w:cs="Calibri"/>
                <w:i/>
                <w:szCs w:val="20"/>
                <w:lang w:eastAsia="fr-FR"/>
              </w:rPr>
            </w:pPr>
            <w:r w:rsidRPr="00150A72">
              <w:rPr>
                <w:rFonts w:eastAsia="Times New Roman" w:cs="Calibri"/>
                <w:i/>
                <w:szCs w:val="20"/>
                <w:lang w:eastAsia="fr-FR"/>
              </w:rPr>
              <w:t>sans COFP</w:t>
            </w:r>
          </w:p>
        </w:tc>
        <w:tc>
          <w:tcPr>
            <w:tcW w:w="1405" w:type="dxa"/>
            <w:tcBorders>
              <w:top w:val="nil"/>
              <w:left w:val="nil"/>
              <w:bottom w:val="single" w:sz="4" w:space="0" w:color="auto"/>
              <w:right w:val="single" w:sz="8" w:space="0" w:color="auto"/>
            </w:tcBorders>
            <w:shd w:val="clear" w:color="000000" w:fill="FFFFFF"/>
            <w:vAlign w:val="center"/>
            <w:hideMark/>
          </w:tcPr>
          <w:p w14:paraId="6DC661B4" w14:textId="77777777" w:rsidR="00150A72" w:rsidRPr="00150A72" w:rsidRDefault="00150A72" w:rsidP="00150A72">
            <w:pPr>
              <w:jc w:val="center"/>
              <w:rPr>
                <w:rFonts w:eastAsia="Times New Roman" w:cs="Calibri"/>
                <w:i/>
                <w:szCs w:val="20"/>
                <w:lang w:eastAsia="fr-FR"/>
              </w:rPr>
            </w:pPr>
            <w:r w:rsidRPr="00150A72">
              <w:rPr>
                <w:rFonts w:eastAsia="Times New Roman" w:cs="Calibri"/>
                <w:i/>
                <w:szCs w:val="20"/>
                <w:lang w:eastAsia="fr-FR"/>
              </w:rPr>
              <w:t>avec COFP</w:t>
            </w:r>
          </w:p>
        </w:tc>
      </w:tr>
      <w:tr w:rsidR="00460CC8" w:rsidRPr="00150A72" w14:paraId="189F0EED" w14:textId="77777777" w:rsidTr="00320D6E">
        <w:trPr>
          <w:trHeight w:val="20"/>
          <w:jc w:val="center"/>
        </w:trPr>
        <w:tc>
          <w:tcPr>
            <w:tcW w:w="3005" w:type="dxa"/>
            <w:tcBorders>
              <w:top w:val="nil"/>
              <w:left w:val="single" w:sz="8" w:space="0" w:color="auto"/>
              <w:bottom w:val="single" w:sz="4" w:space="0" w:color="auto"/>
              <w:right w:val="single" w:sz="4" w:space="0" w:color="auto"/>
            </w:tcBorders>
            <w:shd w:val="clear" w:color="000000" w:fill="FFFFFF"/>
            <w:vAlign w:val="center"/>
            <w:hideMark/>
          </w:tcPr>
          <w:p w14:paraId="69A59D81" w14:textId="77777777" w:rsidR="00460CC8" w:rsidRPr="00150A72" w:rsidRDefault="00460CC8" w:rsidP="00460CC8">
            <w:pPr>
              <w:jc w:val="both"/>
              <w:rPr>
                <w:rFonts w:eastAsia="Times New Roman" w:cs="Calibri"/>
                <w:szCs w:val="20"/>
                <w:lang w:eastAsia="fr-FR"/>
              </w:rPr>
            </w:pPr>
            <w:r w:rsidRPr="00150A72">
              <w:rPr>
                <w:rFonts w:eastAsia="Times New Roman" w:cs="Calibri"/>
                <w:szCs w:val="20"/>
                <w:lang w:eastAsia="fr-FR"/>
              </w:rPr>
              <w:t>Mis en service en 2030</w:t>
            </w:r>
          </w:p>
        </w:tc>
        <w:tc>
          <w:tcPr>
            <w:tcW w:w="1405" w:type="dxa"/>
            <w:tcBorders>
              <w:top w:val="nil"/>
              <w:left w:val="nil"/>
              <w:bottom w:val="single" w:sz="4" w:space="0" w:color="auto"/>
              <w:right w:val="single" w:sz="4" w:space="0" w:color="auto"/>
            </w:tcBorders>
            <w:shd w:val="clear" w:color="000000" w:fill="FFFFFF"/>
          </w:tcPr>
          <w:p w14:paraId="11983EC0" w14:textId="4E86BD93" w:rsidR="00460CC8" w:rsidRPr="009A227D" w:rsidRDefault="00460CC8" w:rsidP="00460CC8">
            <w:pPr>
              <w:jc w:val="center"/>
              <w:rPr>
                <w:color w:val="00B050"/>
              </w:rPr>
            </w:pPr>
            <w:r w:rsidRPr="009A227D">
              <w:rPr>
                <w:color w:val="00B050"/>
              </w:rPr>
              <w:t xml:space="preserve"> 34,94   </w:t>
            </w:r>
          </w:p>
        </w:tc>
        <w:tc>
          <w:tcPr>
            <w:tcW w:w="1405" w:type="dxa"/>
            <w:tcBorders>
              <w:top w:val="nil"/>
              <w:left w:val="nil"/>
              <w:bottom w:val="single" w:sz="4" w:space="0" w:color="auto"/>
              <w:right w:val="single" w:sz="8" w:space="0" w:color="auto"/>
            </w:tcBorders>
            <w:shd w:val="clear" w:color="000000" w:fill="FFFFFF"/>
          </w:tcPr>
          <w:p w14:paraId="18ABF9E9" w14:textId="47D76591" w:rsidR="00460CC8" w:rsidRPr="009A227D" w:rsidRDefault="00460CC8" w:rsidP="00460CC8">
            <w:pPr>
              <w:jc w:val="center"/>
              <w:rPr>
                <w:color w:val="00B050"/>
              </w:rPr>
            </w:pPr>
            <w:r w:rsidRPr="009A227D">
              <w:rPr>
                <w:color w:val="00B050"/>
              </w:rPr>
              <w:t xml:space="preserve"> 25,64   </w:t>
            </w:r>
          </w:p>
        </w:tc>
      </w:tr>
      <w:tr w:rsidR="00460CC8" w:rsidRPr="00150A72" w14:paraId="23154758" w14:textId="77777777" w:rsidTr="00320D6E">
        <w:trPr>
          <w:trHeight w:val="20"/>
          <w:jc w:val="center"/>
        </w:trPr>
        <w:tc>
          <w:tcPr>
            <w:tcW w:w="3005" w:type="dxa"/>
            <w:tcBorders>
              <w:top w:val="nil"/>
              <w:left w:val="single" w:sz="8" w:space="0" w:color="auto"/>
              <w:bottom w:val="single" w:sz="4" w:space="0" w:color="auto"/>
              <w:right w:val="single" w:sz="4" w:space="0" w:color="auto"/>
            </w:tcBorders>
            <w:shd w:val="clear" w:color="000000" w:fill="FFFFFF"/>
            <w:vAlign w:val="center"/>
            <w:hideMark/>
          </w:tcPr>
          <w:p w14:paraId="290C652D" w14:textId="33E6930D" w:rsidR="00460CC8" w:rsidRPr="00150A72" w:rsidRDefault="00460CC8" w:rsidP="00460CC8">
            <w:pPr>
              <w:jc w:val="both"/>
              <w:rPr>
                <w:rFonts w:eastAsia="Times New Roman" w:cs="Calibri"/>
                <w:szCs w:val="20"/>
                <w:lang w:eastAsia="fr-FR"/>
              </w:rPr>
            </w:pPr>
            <w:r>
              <w:rPr>
                <w:rFonts w:eastAsia="Times New Roman" w:cs="Calibri"/>
                <w:szCs w:val="20"/>
                <w:lang w:eastAsia="fr-FR"/>
              </w:rPr>
              <w:t>M</w:t>
            </w:r>
            <w:r w:rsidRPr="00150A72">
              <w:rPr>
                <w:rFonts w:eastAsia="Times New Roman" w:cs="Calibri"/>
                <w:szCs w:val="20"/>
                <w:lang w:eastAsia="fr-FR"/>
              </w:rPr>
              <w:t>is en service en 2035</w:t>
            </w:r>
          </w:p>
        </w:tc>
        <w:tc>
          <w:tcPr>
            <w:tcW w:w="1405" w:type="dxa"/>
            <w:tcBorders>
              <w:top w:val="nil"/>
              <w:left w:val="nil"/>
              <w:bottom w:val="single" w:sz="4" w:space="0" w:color="auto"/>
              <w:right w:val="single" w:sz="4" w:space="0" w:color="auto"/>
            </w:tcBorders>
            <w:shd w:val="clear" w:color="000000" w:fill="FFFFFF"/>
          </w:tcPr>
          <w:p w14:paraId="5B924956" w14:textId="61FB8340" w:rsidR="00460CC8" w:rsidRPr="009A227D" w:rsidRDefault="00460CC8" w:rsidP="00460CC8">
            <w:pPr>
              <w:jc w:val="center"/>
              <w:rPr>
                <w:color w:val="00B050"/>
              </w:rPr>
            </w:pPr>
            <w:r w:rsidRPr="009A227D">
              <w:rPr>
                <w:color w:val="00B050"/>
              </w:rPr>
              <w:t xml:space="preserve"> 28,06   </w:t>
            </w:r>
          </w:p>
        </w:tc>
        <w:tc>
          <w:tcPr>
            <w:tcW w:w="1405" w:type="dxa"/>
            <w:tcBorders>
              <w:top w:val="nil"/>
              <w:left w:val="nil"/>
              <w:bottom w:val="single" w:sz="4" w:space="0" w:color="auto"/>
              <w:right w:val="single" w:sz="8" w:space="0" w:color="auto"/>
            </w:tcBorders>
            <w:shd w:val="clear" w:color="000000" w:fill="FFFFFF"/>
          </w:tcPr>
          <w:p w14:paraId="161447DB" w14:textId="272792BD" w:rsidR="00460CC8" w:rsidRPr="009A227D" w:rsidRDefault="00460CC8" w:rsidP="00460CC8">
            <w:pPr>
              <w:jc w:val="center"/>
              <w:rPr>
                <w:color w:val="00B050"/>
              </w:rPr>
            </w:pPr>
            <w:r w:rsidRPr="009A227D">
              <w:rPr>
                <w:color w:val="00B050"/>
              </w:rPr>
              <w:t xml:space="preserve"> 20,62   </w:t>
            </w:r>
          </w:p>
        </w:tc>
      </w:tr>
    </w:tbl>
    <w:p w14:paraId="34ACC53D" w14:textId="5F577D4C" w:rsidR="00150A72" w:rsidRPr="00DA1554" w:rsidRDefault="00B554B0" w:rsidP="00A40082">
      <w:pPr>
        <w:keepNext/>
        <w:jc w:val="both"/>
      </w:pPr>
      <w:bookmarkStart w:id="154" w:name="_Toc47100970"/>
      <w:bookmarkStart w:id="155" w:name="_Toc47101659"/>
      <w:bookmarkStart w:id="156" w:name="_Toc47101901"/>
      <w:r w:rsidRPr="00DA1554">
        <w:rPr>
          <w:rFonts w:eastAsia="Times New Roman"/>
          <w:b/>
          <w:bCs/>
          <w:szCs w:val="20"/>
        </w:rPr>
        <w:t>La VAN du schéma d’ensemble</w:t>
      </w:r>
      <w:r w:rsidR="00ED0CD9" w:rsidRPr="00DA1554">
        <w:rPr>
          <w:rFonts w:eastAsia="Times New Roman"/>
          <w:b/>
          <w:bCs/>
          <w:szCs w:val="20"/>
        </w:rPr>
        <w:t xml:space="preserve"> (avec COFP)</w:t>
      </w:r>
      <w:r w:rsidRPr="00DA1554">
        <w:rPr>
          <w:rFonts w:eastAsia="Times New Roman"/>
          <w:b/>
          <w:bCs/>
          <w:szCs w:val="20"/>
        </w:rPr>
        <w:t xml:space="preserve"> diminue</w:t>
      </w:r>
      <w:r w:rsidR="0049572C">
        <w:rPr>
          <w:rFonts w:eastAsia="Times New Roman"/>
          <w:b/>
          <w:bCs/>
          <w:szCs w:val="20"/>
        </w:rPr>
        <w:t xml:space="preserve"> de </w:t>
      </w:r>
      <w:r w:rsidR="009A227D">
        <w:rPr>
          <w:rFonts w:eastAsia="Times New Roman"/>
          <w:b/>
          <w:bCs/>
          <w:szCs w:val="20"/>
        </w:rPr>
        <w:t>5</w:t>
      </w:r>
      <w:r w:rsidR="008A593A" w:rsidRPr="00DA1554">
        <w:rPr>
          <w:rFonts w:eastAsia="Times New Roman"/>
          <w:b/>
          <w:bCs/>
          <w:szCs w:val="20"/>
        </w:rPr>
        <w:t xml:space="preserve"> </w:t>
      </w:r>
      <w:r w:rsidRPr="00DA1554">
        <w:rPr>
          <w:rFonts w:eastAsia="Times New Roman"/>
          <w:b/>
          <w:bCs/>
          <w:szCs w:val="20"/>
        </w:rPr>
        <w:t>milliards d’euros avec 5 ans de décalage dans le temps</w:t>
      </w:r>
      <w:r w:rsidR="00DA1554">
        <w:rPr>
          <w:rFonts w:eastAsia="Times New Roman"/>
          <w:b/>
          <w:bCs/>
          <w:szCs w:val="20"/>
        </w:rPr>
        <w:t xml:space="preserve">. </w:t>
      </w:r>
      <w:r w:rsidR="00150A72" w:rsidRPr="00DA1554">
        <w:t>Le graphique ci-dessous montre bien la décroissance de la VAN en fonction de la date de mise en service :</w:t>
      </w:r>
      <w:bookmarkEnd w:id="154"/>
      <w:bookmarkEnd w:id="155"/>
      <w:bookmarkEnd w:id="156"/>
    </w:p>
    <w:p w14:paraId="5F1DFCA4" w14:textId="77777777" w:rsidR="005C6291" w:rsidRDefault="005C6291" w:rsidP="00A40082">
      <w:pPr>
        <w:keepNext/>
        <w:jc w:val="both"/>
      </w:pPr>
    </w:p>
    <w:p w14:paraId="15DDA264" w14:textId="5ADB83AE" w:rsidR="00150A72" w:rsidRPr="00150A72" w:rsidRDefault="009A227D" w:rsidP="00720184">
      <w:pPr>
        <w:jc w:val="both"/>
      </w:pPr>
      <w:r>
        <w:rPr>
          <w:noProof/>
        </w:rPr>
        <w:drawing>
          <wp:inline distT="0" distB="0" distL="0" distR="0" wp14:anchorId="74559D24" wp14:editId="4AB094E6">
            <wp:extent cx="6408000" cy="3536059"/>
            <wp:effectExtent l="0" t="0" r="0" b="762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08000" cy="3536059"/>
                    </a:xfrm>
                    <a:prstGeom prst="rect">
                      <a:avLst/>
                    </a:prstGeom>
                    <a:noFill/>
                  </pic:spPr>
                </pic:pic>
              </a:graphicData>
            </a:graphic>
          </wp:inline>
        </w:drawing>
      </w:r>
      <w:r w:rsidR="00150A72" w:rsidRPr="00150A72">
        <w:tab/>
      </w:r>
    </w:p>
    <w:p w14:paraId="189A1A9E" w14:textId="6C4E420C" w:rsidR="002F1B7F" w:rsidRPr="00140449" w:rsidRDefault="002F1B7F" w:rsidP="00412C10">
      <w:pPr>
        <w:pStyle w:val="Titre3"/>
        <w:numPr>
          <w:ilvl w:val="3"/>
          <w:numId w:val="33"/>
        </w:numPr>
      </w:pPr>
      <w:bookmarkStart w:id="157" w:name="_Toc46917083"/>
      <w:bookmarkStart w:id="158" w:name="_Toc63352155"/>
      <w:r w:rsidRPr="00140449">
        <w:t xml:space="preserve">La rentabilité des </w:t>
      </w:r>
      <w:r w:rsidR="00780A09" w:rsidRPr="00140449">
        <w:t xml:space="preserve">différentes </w:t>
      </w:r>
      <w:r w:rsidRPr="00140449">
        <w:t>lignes du Grand Paris Express</w:t>
      </w:r>
      <w:bookmarkEnd w:id="157"/>
      <w:bookmarkEnd w:id="158"/>
    </w:p>
    <w:p w14:paraId="4CD51435" w14:textId="77777777" w:rsidR="00945659" w:rsidRDefault="00945659" w:rsidP="00163953">
      <w:pPr>
        <w:jc w:val="both"/>
        <w:rPr>
          <w:rFonts w:eastAsia="Calibri"/>
          <w:color w:val="FF0000"/>
          <w:szCs w:val="20"/>
        </w:rPr>
      </w:pPr>
    </w:p>
    <w:p w14:paraId="00B6C5B4" w14:textId="5ADB5940" w:rsidR="00163953" w:rsidRDefault="00163953" w:rsidP="00163953">
      <w:pPr>
        <w:jc w:val="both"/>
        <w:rPr>
          <w:rFonts w:eastAsia="Calibri"/>
          <w:szCs w:val="20"/>
        </w:rPr>
      </w:pPr>
      <w:r w:rsidRPr="00780A09">
        <w:rPr>
          <w:rFonts w:eastAsia="Calibri"/>
          <w:szCs w:val="20"/>
        </w:rPr>
        <w:t xml:space="preserve">Il convient de rappeler que l’évaluation des bénéfices des différentes lignes d’un programme </w:t>
      </w:r>
      <w:r w:rsidR="00405795">
        <w:rPr>
          <w:rFonts w:eastAsia="Calibri"/>
          <w:szCs w:val="20"/>
        </w:rPr>
        <w:t xml:space="preserve">intégré </w:t>
      </w:r>
      <w:r w:rsidRPr="00780A09">
        <w:rPr>
          <w:rFonts w:eastAsia="Calibri"/>
          <w:szCs w:val="20"/>
        </w:rPr>
        <w:t xml:space="preserve">pose de redoutables problèmes théoriques et pratiques. L’évaluation des bénéfices d’un tronçon d’un investissement structurant dépend de son contexte, de la situation antérieure, de la séquence ultérieure, et donc d’une combinatoire complexe. </w:t>
      </w:r>
      <w:r w:rsidR="00830DC0">
        <w:rPr>
          <w:rFonts w:eastAsia="Calibri"/>
          <w:szCs w:val="20"/>
        </w:rPr>
        <w:t>Une idée</w:t>
      </w:r>
      <w:r w:rsidR="004366F5">
        <w:rPr>
          <w:rFonts w:eastAsia="Calibri"/>
          <w:szCs w:val="20"/>
        </w:rPr>
        <w:t xml:space="preserve"> souvent avancée est de réaliser l</w:t>
      </w:r>
      <w:r w:rsidRPr="00780A09">
        <w:rPr>
          <w:rFonts w:eastAsia="Calibri"/>
          <w:szCs w:val="20"/>
        </w:rPr>
        <w:t xml:space="preserve">’évaluation d’un tronçon par différence entre la valeur du programme complet et celle du programme moins le tronçon considéré. Mais on risquerait alors de sous-estimer ainsi les effets de réseau et les avantages car les rendements d’un réseau sont probablement faiblement croissants au début de sa mise en œuvre, puis fortement croissants. De plus, s’agissant d’un projet à fortes incidences en termes d’emplois sur l’ensemble de la région, la question se pose de calculer les inductions d’emplois pour des tronçons considérés séparément. </w:t>
      </w:r>
    </w:p>
    <w:p w14:paraId="2BFBD0E1" w14:textId="76891F67" w:rsidR="00EE7C51" w:rsidRDefault="00EE7C51" w:rsidP="00163953">
      <w:pPr>
        <w:jc w:val="both"/>
        <w:rPr>
          <w:rFonts w:eastAsia="Calibri"/>
          <w:szCs w:val="20"/>
        </w:rPr>
      </w:pPr>
    </w:p>
    <w:p w14:paraId="0BC927A4" w14:textId="5D4A6F36" w:rsidR="00C903F6" w:rsidRDefault="00C903F6" w:rsidP="00EE7C51">
      <w:pPr>
        <w:jc w:val="both"/>
        <w:rPr>
          <w:rFonts w:cs="Arial"/>
          <w:snapToGrid w:val="0"/>
          <w:color w:val="00B050"/>
        </w:rPr>
      </w:pPr>
      <w:bookmarkStart w:id="159" w:name="_Hlk69719207"/>
      <w:r w:rsidRPr="00C903F6">
        <w:rPr>
          <w:rFonts w:cs="Arial"/>
          <w:color w:val="00B050"/>
        </w:rPr>
        <w:t>Les coûts d’investissement et d’exploitation par ligne sont disponibles directement.</w:t>
      </w:r>
    </w:p>
    <w:p w14:paraId="5C798DC6" w14:textId="77777777" w:rsidR="00C903F6" w:rsidRDefault="00C903F6" w:rsidP="00EE7C51">
      <w:pPr>
        <w:jc w:val="both"/>
        <w:rPr>
          <w:rFonts w:cs="Arial"/>
          <w:snapToGrid w:val="0"/>
          <w:color w:val="00B050"/>
        </w:rPr>
      </w:pPr>
    </w:p>
    <w:p w14:paraId="1D5948B8" w14:textId="507F3880" w:rsidR="00EE7C51" w:rsidRPr="00EE7C51" w:rsidRDefault="00EE7C51" w:rsidP="00EE7C51">
      <w:pPr>
        <w:jc w:val="both"/>
        <w:rPr>
          <w:rFonts w:cs="Arial"/>
          <w:snapToGrid w:val="0"/>
          <w:color w:val="00B050"/>
        </w:rPr>
      </w:pPr>
      <w:r w:rsidRPr="00EE7C51">
        <w:rPr>
          <w:rFonts w:cs="Arial"/>
          <w:snapToGrid w:val="0"/>
          <w:color w:val="00B050"/>
        </w:rPr>
        <w:t>L’évaluation des effets transports par ligne n’</w:t>
      </w:r>
      <w:r w:rsidR="00144626">
        <w:rPr>
          <w:rFonts w:cs="Arial"/>
          <w:snapToGrid w:val="0"/>
          <w:color w:val="00B050"/>
        </w:rPr>
        <w:t xml:space="preserve">est </w:t>
      </w:r>
      <w:r w:rsidRPr="00EE7C51">
        <w:rPr>
          <w:rFonts w:cs="Arial"/>
          <w:snapToGrid w:val="0"/>
          <w:color w:val="00B050"/>
        </w:rPr>
        <w:t>pas disponible sur la base de modélisations spécifiques</w:t>
      </w:r>
      <w:r w:rsidR="0048479D">
        <w:rPr>
          <w:rFonts w:cs="Arial"/>
          <w:snapToGrid w:val="0"/>
          <w:color w:val="00B050"/>
        </w:rPr>
        <w:t>, contrairement aux dossiers des enquêtes publiques de 2014 à 2016 où ces effets avaient été calculés sur la base simulations propres à chaque ligne</w:t>
      </w:r>
      <w:r w:rsidRPr="00EE7C51">
        <w:rPr>
          <w:rFonts w:cs="Arial"/>
          <w:snapToGrid w:val="0"/>
          <w:color w:val="00B050"/>
        </w:rPr>
        <w:t xml:space="preserve">. Les effets transports ont donc été évalués </w:t>
      </w:r>
      <w:r w:rsidR="008F1819">
        <w:rPr>
          <w:rFonts w:cs="Arial"/>
          <w:snapToGrid w:val="0"/>
          <w:color w:val="00B050"/>
        </w:rPr>
        <w:t xml:space="preserve">dans un premier temps </w:t>
      </w:r>
      <w:r w:rsidRPr="00EE7C51">
        <w:rPr>
          <w:rFonts w:cs="Arial"/>
          <w:snapToGrid w:val="0"/>
          <w:color w:val="00B050"/>
        </w:rPr>
        <w:t xml:space="preserve">à l’échelle du Grand Paris Express et la part des avantages de chaque ligne a ensuite été estimée de la manière suivante : </w:t>
      </w:r>
    </w:p>
    <w:p w14:paraId="054776F1" w14:textId="69E620B7" w:rsidR="00EE7C51" w:rsidRPr="00EE7C51" w:rsidRDefault="00EE7C51" w:rsidP="00EE7C51">
      <w:pPr>
        <w:pStyle w:val="Paragraphedeliste"/>
        <w:numPr>
          <w:ilvl w:val="0"/>
          <w:numId w:val="26"/>
        </w:numPr>
        <w:jc w:val="both"/>
        <w:rPr>
          <w:rFonts w:cs="Arial"/>
          <w:color w:val="00B050"/>
        </w:rPr>
      </w:pPr>
      <w:r>
        <w:rPr>
          <w:rFonts w:cs="Arial"/>
          <w:color w:val="00B050"/>
        </w:rPr>
        <w:t>l</w:t>
      </w:r>
      <w:r w:rsidRPr="00EE7C51">
        <w:rPr>
          <w:rFonts w:cs="Arial"/>
          <w:color w:val="00B050"/>
        </w:rPr>
        <w:t xml:space="preserve">es avantages associés aux effets transports de chaque ligne (y compris la régularité et le confort) estimés lors des évaluations précédentes ont été corrigées sur la base des nouvelles prévisions MODUS et du nouveau calendrier de mise en service. </w:t>
      </w:r>
    </w:p>
    <w:p w14:paraId="44866991" w14:textId="77777777" w:rsidR="008C1FB7" w:rsidRDefault="00EE7C51" w:rsidP="00FA7083">
      <w:pPr>
        <w:pStyle w:val="Paragraphedeliste"/>
        <w:numPr>
          <w:ilvl w:val="0"/>
          <w:numId w:val="26"/>
        </w:numPr>
        <w:jc w:val="both"/>
        <w:rPr>
          <w:rFonts w:cs="Arial"/>
          <w:color w:val="00B050"/>
        </w:rPr>
      </w:pPr>
      <w:r w:rsidRPr="00EE7C51">
        <w:rPr>
          <w:rFonts w:cs="Arial"/>
          <w:color w:val="00B050"/>
        </w:rPr>
        <w:t>Ensuite, ces valeurs ont été utilisé</w:t>
      </w:r>
      <w:r w:rsidR="00CA05B5">
        <w:rPr>
          <w:rFonts w:cs="Arial"/>
          <w:color w:val="00B050"/>
        </w:rPr>
        <w:t>es</w:t>
      </w:r>
      <w:r w:rsidRPr="00EE7C51">
        <w:rPr>
          <w:rFonts w:cs="Arial"/>
          <w:color w:val="00B050"/>
        </w:rPr>
        <w:t xml:space="preserve"> comme clé</w:t>
      </w:r>
      <w:r w:rsidR="00CA05B5">
        <w:rPr>
          <w:rFonts w:cs="Arial"/>
          <w:color w:val="00B050"/>
        </w:rPr>
        <w:t>s</w:t>
      </w:r>
      <w:r w:rsidRPr="00EE7C51">
        <w:rPr>
          <w:rFonts w:cs="Arial"/>
          <w:color w:val="00B050"/>
        </w:rPr>
        <w:t xml:space="preserve"> de répartition pour r</w:t>
      </w:r>
      <w:r w:rsidR="00CA05B5">
        <w:rPr>
          <w:rFonts w:cs="Arial"/>
          <w:color w:val="00B050"/>
        </w:rPr>
        <w:t>é</w:t>
      </w:r>
      <w:r w:rsidRPr="00EE7C51">
        <w:rPr>
          <w:rFonts w:cs="Arial"/>
          <w:color w:val="00B050"/>
        </w:rPr>
        <w:t>partir l’avantage calculé pour le schéma d’ensemble entre les différentes lignes.</w:t>
      </w:r>
      <w:bookmarkStart w:id="160" w:name="_Hlk64013578"/>
    </w:p>
    <w:p w14:paraId="7434DFF5" w14:textId="1CECD3CF" w:rsidR="00FA7083" w:rsidRPr="008C1FB7" w:rsidRDefault="00163953" w:rsidP="008C1FB7">
      <w:pPr>
        <w:ind w:left="360"/>
        <w:jc w:val="both"/>
        <w:rPr>
          <w:rFonts w:cs="Arial"/>
          <w:color w:val="00B050"/>
        </w:rPr>
      </w:pPr>
      <w:r w:rsidRPr="008C1FB7">
        <w:rPr>
          <w:szCs w:val="20"/>
        </w:rPr>
        <w:lastRenderedPageBreak/>
        <w:t xml:space="preserve">Pour apprécier la part propre à </w:t>
      </w:r>
      <w:r w:rsidR="006A2B42" w:rsidRPr="008C1FB7">
        <w:rPr>
          <w:szCs w:val="20"/>
        </w:rPr>
        <w:t>chaque ligne</w:t>
      </w:r>
      <w:r w:rsidRPr="008C1FB7">
        <w:rPr>
          <w:szCs w:val="20"/>
        </w:rPr>
        <w:t xml:space="preserve"> du surplus créé par </w:t>
      </w:r>
      <w:r w:rsidR="00C903F6" w:rsidRPr="008C1FB7">
        <w:rPr>
          <w:szCs w:val="20"/>
        </w:rPr>
        <w:t>l</w:t>
      </w:r>
      <w:r w:rsidRPr="008C1FB7">
        <w:rPr>
          <w:szCs w:val="20"/>
        </w:rPr>
        <w:t>es emplois nouveaux</w:t>
      </w:r>
      <w:r w:rsidR="00C903F6" w:rsidRPr="008C1FB7">
        <w:rPr>
          <w:szCs w:val="20"/>
        </w:rPr>
        <w:t xml:space="preserve"> et les effets d’agglomération</w:t>
      </w:r>
      <w:r w:rsidRPr="008C1FB7">
        <w:rPr>
          <w:szCs w:val="20"/>
        </w:rPr>
        <w:t xml:space="preserve">, il convient de tenir compte à la fois de la part de la croissance de l’emploi induite par la réalisation de la </w:t>
      </w:r>
      <w:r w:rsidR="006A2B42" w:rsidRPr="008C1FB7">
        <w:rPr>
          <w:szCs w:val="20"/>
        </w:rPr>
        <w:t>ligne concernée</w:t>
      </w:r>
      <w:r w:rsidRPr="008C1FB7">
        <w:rPr>
          <w:szCs w:val="20"/>
        </w:rPr>
        <w:t xml:space="preserve">, qui peut être appréciée </w:t>
      </w:r>
      <w:r w:rsidR="00780A09" w:rsidRPr="008C1FB7">
        <w:rPr>
          <w:szCs w:val="20"/>
        </w:rPr>
        <w:t xml:space="preserve">pour chacun des territoires traversés par la ligne, </w:t>
      </w:r>
      <w:r w:rsidR="00144626" w:rsidRPr="008C1FB7">
        <w:rPr>
          <w:szCs w:val="20"/>
        </w:rPr>
        <w:t>par</w:t>
      </w:r>
      <w:r w:rsidRPr="008C1FB7">
        <w:rPr>
          <w:szCs w:val="20"/>
        </w:rPr>
        <w:t xml:space="preserve"> la différence entre la prévision du scénario </w:t>
      </w:r>
      <w:r w:rsidR="00405795" w:rsidRPr="008C1FB7">
        <w:rPr>
          <w:szCs w:val="20"/>
        </w:rPr>
        <w:t xml:space="preserve">bas </w:t>
      </w:r>
      <w:r w:rsidR="00780A09" w:rsidRPr="008C1FB7">
        <w:rPr>
          <w:szCs w:val="20"/>
        </w:rPr>
        <w:t xml:space="preserve">avec une </w:t>
      </w:r>
      <w:r w:rsidRPr="008C1FB7">
        <w:rPr>
          <w:szCs w:val="20"/>
        </w:rPr>
        <w:t>induction d’emplois supplémentaires de 115</w:t>
      </w:r>
      <w:r w:rsidR="00481342" w:rsidRPr="008C1FB7">
        <w:rPr>
          <w:szCs w:val="20"/>
        </w:rPr>
        <w:t> </w:t>
      </w:r>
      <w:r w:rsidRPr="008C1FB7">
        <w:rPr>
          <w:szCs w:val="20"/>
        </w:rPr>
        <w:t xml:space="preserve">000 emplois </w:t>
      </w:r>
      <w:r w:rsidR="00780A09" w:rsidRPr="008C1FB7">
        <w:rPr>
          <w:szCs w:val="20"/>
        </w:rPr>
        <w:t xml:space="preserve">du fait de la réalisation du Grand Paris Express, et la prévision tendancielle de la croissance de l’emploi pour ces territoires. Pour imputer les bénéfices ainsi calculés pour les différents territoires de la région aux lignes du Grand Paris Express, </w:t>
      </w:r>
      <w:r w:rsidR="00405795" w:rsidRPr="008C1FB7">
        <w:rPr>
          <w:szCs w:val="20"/>
        </w:rPr>
        <w:t xml:space="preserve">on a </w:t>
      </w:r>
      <w:r w:rsidR="00E64624" w:rsidRPr="008C1FB7">
        <w:rPr>
          <w:szCs w:val="20"/>
        </w:rPr>
        <w:t xml:space="preserve">ventilé </w:t>
      </w:r>
      <w:r w:rsidR="00680E13" w:rsidRPr="008C1FB7">
        <w:rPr>
          <w:szCs w:val="20"/>
        </w:rPr>
        <w:t>par parts égales</w:t>
      </w:r>
      <w:r w:rsidR="00675671" w:rsidRPr="008C1FB7">
        <w:rPr>
          <w:szCs w:val="20"/>
        </w:rPr>
        <w:t xml:space="preserve"> </w:t>
      </w:r>
      <w:r w:rsidR="00EE59C0" w:rsidRPr="008C1FB7">
        <w:rPr>
          <w:szCs w:val="20"/>
        </w:rPr>
        <w:t>les bénéfices constatés sur ces territoires entre les différentes lignes à l’origine de ces bénéfices quand les territoires se situaient au croisement de plusieurs lignes</w:t>
      </w:r>
      <w:r w:rsidR="009B3D28" w:rsidRPr="008C1FB7">
        <w:rPr>
          <w:szCs w:val="20"/>
        </w:rPr>
        <w:t xml:space="preserve"> compte tenu de la difficulté à imputer les bénéfices calculés par territoire aux lignes concernées dans le cas d’une gare d’interconnexion importante du Grand Paris Express comme La Défense, Saint Denis Pleyel, </w:t>
      </w:r>
      <w:r w:rsidR="00680E13" w:rsidRPr="008C1FB7">
        <w:rPr>
          <w:szCs w:val="20"/>
        </w:rPr>
        <w:t xml:space="preserve">ou </w:t>
      </w:r>
      <w:r w:rsidR="009B3D28" w:rsidRPr="008C1FB7">
        <w:rPr>
          <w:szCs w:val="20"/>
        </w:rPr>
        <w:t>Orly</w:t>
      </w:r>
      <w:r w:rsidR="00680E13" w:rsidRPr="008C1FB7">
        <w:rPr>
          <w:szCs w:val="20"/>
        </w:rPr>
        <w:t>,</w:t>
      </w:r>
      <w:r w:rsidR="009B3D28" w:rsidRPr="008C1FB7">
        <w:rPr>
          <w:szCs w:val="20"/>
        </w:rPr>
        <w:t xml:space="preserve"> en raison de l’absence de modèle reconnu</w:t>
      </w:r>
      <w:r w:rsidR="00A40665" w:rsidRPr="008C1FB7">
        <w:rPr>
          <w:szCs w:val="20"/>
        </w:rPr>
        <w:t xml:space="preserve">. </w:t>
      </w:r>
      <w:r w:rsidR="009B3D28" w:rsidRPr="008C1FB7">
        <w:rPr>
          <w:szCs w:val="20"/>
        </w:rPr>
        <w:t>Cela paraît être la méthode la plus simple et la moins discutable</w:t>
      </w:r>
      <w:r w:rsidR="00FA7083" w:rsidRPr="008C1FB7">
        <w:rPr>
          <w:szCs w:val="20"/>
        </w:rPr>
        <w:t>.</w:t>
      </w:r>
    </w:p>
    <w:bookmarkEnd w:id="160"/>
    <w:p w14:paraId="61CE04F2" w14:textId="6FEA1FAB" w:rsidR="001C143E" w:rsidRDefault="001C143E" w:rsidP="00163953">
      <w:pPr>
        <w:jc w:val="both"/>
        <w:rPr>
          <w:szCs w:val="20"/>
        </w:rPr>
      </w:pPr>
    </w:p>
    <w:p w14:paraId="43DF71F3" w14:textId="1BD73D10" w:rsidR="00C903F6" w:rsidRPr="00C903F6" w:rsidRDefault="00C903F6" w:rsidP="00C903F6">
      <w:pPr>
        <w:jc w:val="both"/>
        <w:rPr>
          <w:rFonts w:eastAsia="Times New Roman" w:cs="Arial"/>
          <w:color w:val="00B050"/>
          <w:szCs w:val="20"/>
          <w:lang w:eastAsia="fr-FR"/>
        </w:rPr>
      </w:pPr>
      <w:bookmarkStart w:id="161" w:name="_Hlk64013291"/>
      <w:r w:rsidRPr="00C903F6">
        <w:rPr>
          <w:rFonts w:eastAsia="Times New Roman" w:cs="Arial"/>
          <w:color w:val="00B050"/>
          <w:szCs w:val="20"/>
          <w:lang w:eastAsia="fr-FR"/>
        </w:rPr>
        <w:t>La répartition des effets environnementaux et urbains a été effectués à partir de plusieurs clés de ventilation :</w:t>
      </w:r>
    </w:p>
    <w:p w14:paraId="656F981B" w14:textId="6F3A5F8B" w:rsidR="00C903F6" w:rsidRPr="00357DCE" w:rsidRDefault="00720184" w:rsidP="00C903F6">
      <w:pPr>
        <w:pStyle w:val="Paragraphedeliste"/>
        <w:keepNext/>
        <w:numPr>
          <w:ilvl w:val="0"/>
          <w:numId w:val="26"/>
        </w:numPr>
        <w:jc w:val="both"/>
        <w:outlineLvl w:val="2"/>
        <w:rPr>
          <w:rFonts w:eastAsia="Times New Roman"/>
          <w:bCs/>
          <w:color w:val="00B050"/>
          <w:szCs w:val="26"/>
          <w:lang w:eastAsia="fr-FR"/>
        </w:rPr>
      </w:pPr>
      <w:bookmarkStart w:id="162" w:name="_Toc63936225"/>
      <w:r>
        <w:rPr>
          <w:rFonts w:eastAsia="Times New Roman"/>
          <w:bCs/>
          <w:color w:val="00B050"/>
          <w:szCs w:val="26"/>
          <w:lang w:eastAsia="fr-FR"/>
        </w:rPr>
        <w:t>l</w:t>
      </w:r>
      <w:r w:rsidR="00357DCE">
        <w:rPr>
          <w:rFonts w:eastAsia="Times New Roman"/>
          <w:bCs/>
          <w:color w:val="00B050"/>
          <w:szCs w:val="26"/>
          <w:lang w:eastAsia="fr-FR"/>
        </w:rPr>
        <w:t xml:space="preserve">es </w:t>
      </w:r>
      <w:r w:rsidR="0020677F">
        <w:rPr>
          <w:rFonts w:eastAsia="Times New Roman"/>
          <w:bCs/>
          <w:color w:val="00B050"/>
          <w:szCs w:val="26"/>
          <w:lang w:eastAsia="fr-FR"/>
        </w:rPr>
        <w:t>é</w:t>
      </w:r>
      <w:r w:rsidR="00C903F6" w:rsidRPr="00C903F6">
        <w:rPr>
          <w:rFonts w:eastAsia="Times New Roman"/>
          <w:bCs/>
          <w:color w:val="00B050"/>
          <w:szCs w:val="26"/>
          <w:lang w:eastAsia="fr-FR"/>
        </w:rPr>
        <w:t>missions de GES associées à la construction et à l’exploitation du Grand Paris Express</w:t>
      </w:r>
      <w:bookmarkEnd w:id="162"/>
      <w:r w:rsidR="00357DCE">
        <w:rPr>
          <w:rFonts w:eastAsia="Times New Roman"/>
          <w:bCs/>
          <w:color w:val="00B050"/>
          <w:szCs w:val="26"/>
          <w:lang w:eastAsia="fr-FR"/>
        </w:rPr>
        <w:t xml:space="preserve"> </w:t>
      </w:r>
      <w:r w:rsidR="00C903F6" w:rsidRPr="00357DCE">
        <w:rPr>
          <w:rFonts w:eastAsia="Times New Roman" w:cs="Arial"/>
          <w:color w:val="00B050"/>
          <w:szCs w:val="20"/>
          <w:lang w:eastAsia="fr-FR"/>
        </w:rPr>
        <w:t>sont globalement proportionnelles aux montant d’investissements ainsi qu’aux coûts d’exploitation. La clé de ventilation retenue correspond donc au montant d’investissement de chaque ligne y compris études auquel on ajoute 30 années de coût d’exploitation.</w:t>
      </w:r>
    </w:p>
    <w:p w14:paraId="5E60294D" w14:textId="315FDAD2" w:rsidR="0020677F" w:rsidRPr="0020677F" w:rsidRDefault="00720184" w:rsidP="0020677F">
      <w:pPr>
        <w:pStyle w:val="Paragraphedeliste"/>
        <w:numPr>
          <w:ilvl w:val="0"/>
          <w:numId w:val="26"/>
        </w:numPr>
        <w:jc w:val="both"/>
        <w:rPr>
          <w:rFonts w:eastAsia="Times New Roman" w:cs="Arial"/>
          <w:color w:val="00B050"/>
          <w:szCs w:val="20"/>
          <w:lang w:eastAsia="fr-FR"/>
        </w:rPr>
      </w:pPr>
      <w:bookmarkStart w:id="163" w:name="_Toc63936226"/>
      <w:r>
        <w:rPr>
          <w:rFonts w:eastAsia="Times New Roman" w:cs="Arial"/>
          <w:color w:val="00B050"/>
          <w:szCs w:val="20"/>
          <w:lang w:eastAsia="fr-FR"/>
        </w:rPr>
        <w:t>l</w:t>
      </w:r>
      <w:r w:rsidR="00357DCE" w:rsidRPr="0020677F">
        <w:rPr>
          <w:rFonts w:eastAsia="Times New Roman" w:cs="Arial"/>
          <w:color w:val="00B050"/>
          <w:szCs w:val="20"/>
          <w:lang w:eastAsia="fr-FR"/>
        </w:rPr>
        <w:t>a</w:t>
      </w:r>
      <w:r w:rsidR="0020677F" w:rsidRPr="0020677F">
        <w:rPr>
          <w:rFonts w:eastAsia="Times New Roman" w:cs="Arial"/>
          <w:color w:val="00B050"/>
          <w:szCs w:val="20"/>
          <w:lang w:eastAsia="fr-FR"/>
        </w:rPr>
        <w:t xml:space="preserve"> clé de ventilation retenue pour </w:t>
      </w:r>
      <w:r w:rsidR="0020677F">
        <w:rPr>
          <w:rFonts w:eastAsia="Times New Roman" w:cs="Arial"/>
          <w:color w:val="00B050"/>
          <w:szCs w:val="20"/>
          <w:lang w:eastAsia="fr-FR"/>
        </w:rPr>
        <w:t>le report modal</w:t>
      </w:r>
      <w:r w:rsidR="0020677F" w:rsidRPr="0020677F">
        <w:rPr>
          <w:rFonts w:eastAsia="Times New Roman" w:cs="Arial"/>
          <w:color w:val="00B050"/>
          <w:szCs w:val="20"/>
          <w:lang w:eastAsia="fr-FR"/>
        </w:rPr>
        <w:t xml:space="preserve"> </w:t>
      </w:r>
      <w:r w:rsidR="00CA05B5">
        <w:rPr>
          <w:rFonts w:eastAsia="Times New Roman" w:cs="Arial"/>
          <w:color w:val="00B050"/>
          <w:szCs w:val="20"/>
          <w:lang w:eastAsia="fr-FR"/>
        </w:rPr>
        <w:t xml:space="preserve">nécessaire au calcul des économies de gaz à effets de serre </w:t>
      </w:r>
      <w:r w:rsidR="0020677F" w:rsidRPr="0020677F">
        <w:rPr>
          <w:rFonts w:eastAsia="Times New Roman" w:cs="Arial"/>
          <w:color w:val="00B050"/>
          <w:szCs w:val="20"/>
          <w:lang w:eastAsia="fr-FR"/>
        </w:rPr>
        <w:t>correspond au trafic des différentes lignes du GPE issues de Modus 3 dans son passage d’août 2020.</w:t>
      </w:r>
    </w:p>
    <w:p w14:paraId="17A021B9" w14:textId="41AA4343" w:rsidR="00C903F6" w:rsidRPr="00C903F6" w:rsidRDefault="00720184" w:rsidP="00357DCE">
      <w:pPr>
        <w:pStyle w:val="Paragraphedeliste"/>
        <w:keepNext/>
        <w:numPr>
          <w:ilvl w:val="0"/>
          <w:numId w:val="26"/>
        </w:numPr>
        <w:jc w:val="both"/>
        <w:outlineLvl w:val="2"/>
        <w:rPr>
          <w:rFonts w:eastAsia="Times New Roman" w:cs="Arial"/>
          <w:color w:val="00B050"/>
          <w:szCs w:val="20"/>
          <w:lang w:eastAsia="fr-FR"/>
        </w:rPr>
      </w:pPr>
      <w:r>
        <w:rPr>
          <w:rFonts w:eastAsia="Times New Roman"/>
          <w:bCs/>
          <w:color w:val="00B050"/>
          <w:szCs w:val="26"/>
          <w:lang w:eastAsia="fr-FR"/>
        </w:rPr>
        <w:t>l</w:t>
      </w:r>
      <w:r w:rsidR="00357DCE">
        <w:rPr>
          <w:rFonts w:eastAsia="Times New Roman"/>
          <w:bCs/>
          <w:color w:val="00B050"/>
          <w:szCs w:val="26"/>
          <w:lang w:eastAsia="fr-FR"/>
        </w:rPr>
        <w:t>es é</w:t>
      </w:r>
      <w:r>
        <w:rPr>
          <w:rFonts w:eastAsia="Times New Roman"/>
          <w:bCs/>
          <w:color w:val="00B050"/>
          <w:szCs w:val="26"/>
          <w:lang w:eastAsia="fr-FR"/>
        </w:rPr>
        <w:t>conomies</w:t>
      </w:r>
      <w:r w:rsidR="00C903F6" w:rsidRPr="00C903F6">
        <w:rPr>
          <w:rFonts w:eastAsia="Times New Roman"/>
          <w:bCs/>
          <w:color w:val="00B050"/>
          <w:szCs w:val="26"/>
          <w:lang w:eastAsia="fr-FR"/>
        </w:rPr>
        <w:t xml:space="preserve"> de GES associées au développement urbain </w:t>
      </w:r>
      <w:bookmarkEnd w:id="163"/>
      <w:r w:rsidR="00357DCE">
        <w:rPr>
          <w:rFonts w:eastAsia="Times New Roman"/>
          <w:bCs/>
          <w:color w:val="00B050"/>
          <w:szCs w:val="26"/>
          <w:lang w:eastAsia="fr-FR"/>
        </w:rPr>
        <w:t>sont</w:t>
      </w:r>
      <w:r w:rsidR="00C903F6" w:rsidRPr="00C903F6">
        <w:rPr>
          <w:rFonts w:eastAsia="Times New Roman" w:cs="Arial"/>
          <w:color w:val="00B050"/>
          <w:szCs w:val="20"/>
          <w:lang w:eastAsia="fr-FR"/>
        </w:rPr>
        <w:t xml:space="preserve"> proportionnel</w:t>
      </w:r>
      <w:r w:rsidR="00357DCE">
        <w:rPr>
          <w:rFonts w:eastAsia="Times New Roman" w:cs="Arial"/>
          <w:color w:val="00B050"/>
          <w:szCs w:val="20"/>
          <w:lang w:eastAsia="fr-FR"/>
        </w:rPr>
        <w:t>le</w:t>
      </w:r>
      <w:r w:rsidR="00C903F6" w:rsidRPr="00C903F6">
        <w:rPr>
          <w:rFonts w:eastAsia="Times New Roman" w:cs="Arial"/>
          <w:color w:val="00B050"/>
          <w:szCs w:val="20"/>
          <w:lang w:eastAsia="fr-FR"/>
        </w:rPr>
        <w:t>s à la densification de l’habitat et de l’emploi induite par le GPE.</w:t>
      </w:r>
      <w:r w:rsidR="0020677F">
        <w:rPr>
          <w:rFonts w:eastAsia="Times New Roman" w:cs="Arial"/>
          <w:color w:val="00B050"/>
          <w:szCs w:val="20"/>
          <w:lang w:eastAsia="fr-FR"/>
        </w:rPr>
        <w:t xml:space="preserve"> </w:t>
      </w:r>
      <w:r w:rsidR="00C903F6" w:rsidRPr="00C903F6">
        <w:rPr>
          <w:rFonts w:eastAsia="Times New Roman" w:cs="Arial"/>
          <w:color w:val="00B050"/>
          <w:szCs w:val="20"/>
          <w:lang w:eastAsia="fr-FR"/>
        </w:rPr>
        <w:t>On calcule donc tout d’abord pour chacun des territoires de la MGP et intercommunalités traversés par le Grand Paris Express, la croissance de la population</w:t>
      </w:r>
      <w:r w:rsidR="00357DCE">
        <w:rPr>
          <w:rFonts w:eastAsia="Times New Roman" w:cs="Arial"/>
          <w:color w:val="00B050"/>
          <w:szCs w:val="20"/>
          <w:lang w:eastAsia="fr-FR"/>
        </w:rPr>
        <w:t xml:space="preserve"> et de l’emploi</w:t>
      </w:r>
      <w:r w:rsidR="00C903F6" w:rsidRPr="00C903F6">
        <w:rPr>
          <w:rFonts w:eastAsia="Times New Roman" w:cs="Arial"/>
          <w:color w:val="00B050"/>
          <w:szCs w:val="20"/>
          <w:lang w:eastAsia="fr-FR"/>
        </w:rPr>
        <w:t xml:space="preserve"> induite par la réalisation du projet et qui correspond à la différence entre la prévision du scénario bas et la prévision tendancielle de la croissance de la population pour ces territoires. Les données utilisées sont celles fournies par le modèle Urbansim à l’horizon 2030. Ces différentiels sont ensuite ventilés entre</w:t>
      </w:r>
      <w:r w:rsidR="00CA05B5">
        <w:rPr>
          <w:rFonts w:eastAsia="Times New Roman" w:cs="Arial"/>
          <w:color w:val="00B050"/>
          <w:szCs w:val="20"/>
          <w:lang w:eastAsia="fr-FR"/>
        </w:rPr>
        <w:t xml:space="preserve"> les</w:t>
      </w:r>
      <w:r w:rsidR="00C903F6" w:rsidRPr="00C903F6">
        <w:rPr>
          <w:rFonts w:eastAsia="Times New Roman" w:cs="Arial"/>
          <w:color w:val="00B050"/>
          <w:szCs w:val="20"/>
          <w:lang w:eastAsia="fr-FR"/>
        </w:rPr>
        <w:t xml:space="preserve"> ligne</w:t>
      </w:r>
      <w:r w:rsidR="00CA05B5">
        <w:rPr>
          <w:rFonts w:eastAsia="Times New Roman" w:cs="Arial"/>
          <w:color w:val="00B050"/>
          <w:szCs w:val="20"/>
          <w:lang w:eastAsia="fr-FR"/>
        </w:rPr>
        <w:t>s</w:t>
      </w:r>
      <w:r w:rsidR="00C903F6" w:rsidRPr="00C903F6">
        <w:rPr>
          <w:rFonts w:eastAsia="Times New Roman" w:cs="Arial"/>
          <w:color w:val="00B050"/>
          <w:szCs w:val="20"/>
          <w:lang w:eastAsia="fr-FR"/>
        </w:rPr>
        <w:t xml:space="preserve"> du Grand Paris Express de la même manière que dans le cas des différentiels d’emplois pour la ventilation des effets économiques. La clé de ventilation utilisée correspond alors ensuite à une mesure pondérée de la densification de l’habitat (nombre d’habitant x 25m²) et des activités (nombre d’emploi</w:t>
      </w:r>
      <w:r w:rsidR="004E6F4A">
        <w:rPr>
          <w:rFonts w:eastAsia="Times New Roman" w:cs="Arial"/>
          <w:color w:val="00B050"/>
          <w:szCs w:val="20"/>
          <w:lang w:eastAsia="fr-FR"/>
        </w:rPr>
        <w:t>s</w:t>
      </w:r>
      <w:r w:rsidR="00C903F6" w:rsidRPr="00C903F6">
        <w:rPr>
          <w:rFonts w:eastAsia="Times New Roman" w:cs="Arial"/>
          <w:color w:val="00B050"/>
          <w:szCs w:val="20"/>
          <w:lang w:eastAsia="fr-FR"/>
        </w:rPr>
        <w:t xml:space="preserve"> calculé au </w:t>
      </w:r>
      <w:r w:rsidR="004E6F4A">
        <w:rPr>
          <w:rFonts w:eastAsia="Times New Roman" w:cs="Arial"/>
          <w:color w:val="00B050"/>
          <w:szCs w:val="20"/>
          <w:lang w:eastAsia="fr-FR"/>
        </w:rPr>
        <w:t>paragraphe 3.3</w:t>
      </w:r>
      <w:r w:rsidR="00C903F6" w:rsidRPr="00C903F6">
        <w:rPr>
          <w:rFonts w:eastAsia="Times New Roman" w:cs="Arial"/>
          <w:color w:val="00B050"/>
          <w:szCs w:val="20"/>
          <w:lang w:eastAsia="fr-FR"/>
        </w:rPr>
        <w:t xml:space="preserve"> x 10m²).</w:t>
      </w:r>
      <w:r w:rsidR="00C903F6">
        <w:rPr>
          <w:rFonts w:eastAsia="Times New Roman" w:cs="Arial"/>
          <w:color w:val="00B050"/>
          <w:szCs w:val="20"/>
          <w:lang w:eastAsia="fr-FR"/>
        </w:rPr>
        <w:t xml:space="preserve"> </w:t>
      </w:r>
      <w:r w:rsidR="00C903F6" w:rsidRPr="00C903F6">
        <w:rPr>
          <w:rFonts w:eastAsia="Times New Roman" w:cs="Arial"/>
          <w:color w:val="00B050"/>
          <w:szCs w:val="20"/>
          <w:lang w:eastAsia="fr-FR"/>
        </w:rPr>
        <w:t>Cette clé est utilisée pour ventiler les avantages émissions de GES liées au développement urbain ainsi que les économies de coûts sociaux de périurbanisation.</w:t>
      </w:r>
    </w:p>
    <w:bookmarkEnd w:id="159"/>
    <w:bookmarkEnd w:id="161"/>
    <w:p w14:paraId="03CDCE6C" w14:textId="77777777" w:rsidR="00C903F6" w:rsidRPr="00780A09" w:rsidRDefault="00C903F6" w:rsidP="00163953">
      <w:pPr>
        <w:jc w:val="both"/>
        <w:rPr>
          <w:szCs w:val="20"/>
        </w:rPr>
      </w:pPr>
    </w:p>
    <w:p w14:paraId="41D3EA0A" w14:textId="77777777" w:rsidR="008C1FB7" w:rsidRDefault="008C1FB7" w:rsidP="00A40082">
      <w:pPr>
        <w:keepNext/>
        <w:jc w:val="both"/>
        <w:rPr>
          <w:szCs w:val="20"/>
          <w:lang w:eastAsia="fr-FR"/>
        </w:rPr>
      </w:pPr>
      <w:bookmarkStart w:id="164" w:name="_Toc47100972"/>
      <w:bookmarkStart w:id="165" w:name="_Toc47101661"/>
      <w:bookmarkStart w:id="166" w:name="_Toc47101903"/>
    </w:p>
    <w:p w14:paraId="4BC0EAD5" w14:textId="77777777" w:rsidR="008C1FB7" w:rsidRDefault="008C1FB7" w:rsidP="00A40082">
      <w:pPr>
        <w:keepNext/>
        <w:jc w:val="both"/>
        <w:rPr>
          <w:szCs w:val="20"/>
          <w:lang w:eastAsia="fr-FR"/>
        </w:rPr>
      </w:pPr>
    </w:p>
    <w:p w14:paraId="1E1DF204" w14:textId="77777777" w:rsidR="008C1FB7" w:rsidRDefault="008C1FB7" w:rsidP="00A40082">
      <w:pPr>
        <w:keepNext/>
        <w:jc w:val="both"/>
        <w:rPr>
          <w:szCs w:val="20"/>
          <w:lang w:eastAsia="fr-FR"/>
        </w:rPr>
      </w:pPr>
    </w:p>
    <w:p w14:paraId="3A823737" w14:textId="77777777" w:rsidR="008C1FB7" w:rsidRDefault="008C1FB7" w:rsidP="00A40082">
      <w:pPr>
        <w:keepNext/>
        <w:jc w:val="both"/>
        <w:rPr>
          <w:szCs w:val="20"/>
          <w:lang w:eastAsia="fr-FR"/>
        </w:rPr>
      </w:pPr>
    </w:p>
    <w:p w14:paraId="2F00D4FF" w14:textId="77777777" w:rsidR="008C1FB7" w:rsidRDefault="008C1FB7" w:rsidP="00A40082">
      <w:pPr>
        <w:keepNext/>
        <w:jc w:val="both"/>
        <w:rPr>
          <w:szCs w:val="20"/>
          <w:lang w:eastAsia="fr-FR"/>
        </w:rPr>
      </w:pPr>
    </w:p>
    <w:p w14:paraId="40562814" w14:textId="77777777" w:rsidR="008C1FB7" w:rsidRDefault="008C1FB7" w:rsidP="00A40082">
      <w:pPr>
        <w:keepNext/>
        <w:jc w:val="both"/>
        <w:rPr>
          <w:szCs w:val="20"/>
          <w:lang w:eastAsia="fr-FR"/>
        </w:rPr>
      </w:pPr>
    </w:p>
    <w:p w14:paraId="4352822B" w14:textId="77777777" w:rsidR="008C1FB7" w:rsidRDefault="008C1FB7" w:rsidP="00A40082">
      <w:pPr>
        <w:keepNext/>
        <w:jc w:val="both"/>
        <w:rPr>
          <w:szCs w:val="20"/>
          <w:lang w:eastAsia="fr-FR"/>
        </w:rPr>
      </w:pPr>
    </w:p>
    <w:p w14:paraId="10D41F40" w14:textId="77777777" w:rsidR="008C1FB7" w:rsidRDefault="008C1FB7" w:rsidP="00A40082">
      <w:pPr>
        <w:keepNext/>
        <w:jc w:val="both"/>
        <w:rPr>
          <w:szCs w:val="20"/>
          <w:lang w:eastAsia="fr-FR"/>
        </w:rPr>
      </w:pPr>
    </w:p>
    <w:p w14:paraId="35D4D16A" w14:textId="77777777" w:rsidR="008C1FB7" w:rsidRDefault="008C1FB7" w:rsidP="00A40082">
      <w:pPr>
        <w:keepNext/>
        <w:jc w:val="both"/>
        <w:rPr>
          <w:szCs w:val="20"/>
          <w:lang w:eastAsia="fr-FR"/>
        </w:rPr>
      </w:pPr>
    </w:p>
    <w:p w14:paraId="062E772B" w14:textId="77777777" w:rsidR="008C1FB7" w:rsidRDefault="008C1FB7" w:rsidP="00A40082">
      <w:pPr>
        <w:keepNext/>
        <w:jc w:val="both"/>
        <w:rPr>
          <w:szCs w:val="20"/>
          <w:lang w:eastAsia="fr-FR"/>
        </w:rPr>
      </w:pPr>
    </w:p>
    <w:p w14:paraId="39E4F03D" w14:textId="77777777" w:rsidR="008C1FB7" w:rsidRDefault="008C1FB7" w:rsidP="00A40082">
      <w:pPr>
        <w:keepNext/>
        <w:jc w:val="both"/>
        <w:rPr>
          <w:szCs w:val="20"/>
          <w:lang w:eastAsia="fr-FR"/>
        </w:rPr>
      </w:pPr>
    </w:p>
    <w:p w14:paraId="3D24E4E6" w14:textId="77777777" w:rsidR="008C1FB7" w:rsidRDefault="008C1FB7" w:rsidP="00A40082">
      <w:pPr>
        <w:keepNext/>
        <w:jc w:val="both"/>
        <w:rPr>
          <w:szCs w:val="20"/>
          <w:lang w:eastAsia="fr-FR"/>
        </w:rPr>
      </w:pPr>
    </w:p>
    <w:p w14:paraId="5D2453C6" w14:textId="77777777" w:rsidR="008C1FB7" w:rsidRDefault="008C1FB7" w:rsidP="00A40082">
      <w:pPr>
        <w:keepNext/>
        <w:jc w:val="both"/>
        <w:rPr>
          <w:szCs w:val="20"/>
          <w:lang w:eastAsia="fr-FR"/>
        </w:rPr>
      </w:pPr>
    </w:p>
    <w:p w14:paraId="2B547A27" w14:textId="77777777" w:rsidR="008C1FB7" w:rsidRDefault="008C1FB7" w:rsidP="00A40082">
      <w:pPr>
        <w:keepNext/>
        <w:jc w:val="both"/>
        <w:rPr>
          <w:szCs w:val="20"/>
          <w:lang w:eastAsia="fr-FR"/>
        </w:rPr>
      </w:pPr>
    </w:p>
    <w:p w14:paraId="19F62FA7" w14:textId="77777777" w:rsidR="008C1FB7" w:rsidRDefault="008C1FB7" w:rsidP="00A40082">
      <w:pPr>
        <w:keepNext/>
        <w:jc w:val="both"/>
        <w:rPr>
          <w:szCs w:val="20"/>
          <w:lang w:eastAsia="fr-FR"/>
        </w:rPr>
      </w:pPr>
    </w:p>
    <w:p w14:paraId="451EF8D6" w14:textId="7A549572" w:rsidR="00A40665" w:rsidRDefault="00780A09" w:rsidP="00A40082">
      <w:pPr>
        <w:keepNext/>
        <w:jc w:val="both"/>
        <w:rPr>
          <w:szCs w:val="20"/>
          <w:lang w:eastAsia="fr-FR"/>
        </w:rPr>
      </w:pPr>
      <w:r>
        <w:rPr>
          <w:szCs w:val="20"/>
          <w:lang w:eastAsia="fr-FR"/>
        </w:rPr>
        <w:t>Les</w:t>
      </w:r>
      <w:r w:rsidR="00163953" w:rsidRPr="00780A09">
        <w:rPr>
          <w:szCs w:val="20"/>
          <w:lang w:eastAsia="fr-FR"/>
        </w:rPr>
        <w:t xml:space="preserve"> avantages totaux des différentes lignes sont </w:t>
      </w:r>
      <w:r w:rsidR="00CA05B5">
        <w:rPr>
          <w:szCs w:val="20"/>
          <w:lang w:eastAsia="fr-FR"/>
        </w:rPr>
        <w:t xml:space="preserve">ainsi </w:t>
      </w:r>
      <w:r w:rsidR="00163953" w:rsidRPr="00780A09">
        <w:rPr>
          <w:szCs w:val="20"/>
          <w:lang w:eastAsia="fr-FR"/>
        </w:rPr>
        <w:t>les suivants</w:t>
      </w:r>
      <w:r>
        <w:rPr>
          <w:szCs w:val="20"/>
          <w:lang w:eastAsia="fr-FR"/>
        </w:rPr>
        <w:t>, et la comparaison avec les coûts de lignes permet ainsi d’évaluer leurs rentabilités respectives</w:t>
      </w:r>
      <w:r w:rsidR="00AB1634">
        <w:rPr>
          <w:szCs w:val="20"/>
          <w:lang w:eastAsia="fr-FR"/>
        </w:rPr>
        <w:t xml:space="preserve"> </w:t>
      </w:r>
      <w:r w:rsidR="00163953" w:rsidRPr="00780A09">
        <w:rPr>
          <w:szCs w:val="20"/>
          <w:lang w:eastAsia="fr-FR"/>
        </w:rPr>
        <w:t>:</w:t>
      </w:r>
      <w:bookmarkEnd w:id="164"/>
      <w:bookmarkEnd w:id="165"/>
      <w:bookmarkEnd w:id="166"/>
    </w:p>
    <w:p w14:paraId="6F8831DE" w14:textId="7B70B813" w:rsidR="009A227D" w:rsidRDefault="009A227D" w:rsidP="00A40082">
      <w:pPr>
        <w:keepNext/>
        <w:jc w:val="both"/>
        <w:rPr>
          <w:szCs w:val="20"/>
          <w:lang w:eastAsia="fr-FR"/>
        </w:rPr>
      </w:pPr>
    </w:p>
    <w:tbl>
      <w:tblPr>
        <w:tblW w:w="10250" w:type="dxa"/>
        <w:tblLayout w:type="fixed"/>
        <w:tblCellMar>
          <w:left w:w="70" w:type="dxa"/>
          <w:right w:w="70" w:type="dxa"/>
        </w:tblCellMar>
        <w:tblLook w:val="04A0" w:firstRow="1" w:lastRow="0" w:firstColumn="1" w:lastColumn="0" w:noHBand="0" w:noVBand="1"/>
      </w:tblPr>
      <w:tblGrid>
        <w:gridCol w:w="3534"/>
        <w:gridCol w:w="1276"/>
        <w:gridCol w:w="680"/>
        <w:gridCol w:w="680"/>
        <w:gridCol w:w="680"/>
        <w:gridCol w:w="680"/>
        <w:gridCol w:w="680"/>
        <w:gridCol w:w="680"/>
        <w:gridCol w:w="680"/>
        <w:gridCol w:w="680"/>
      </w:tblGrid>
      <w:tr w:rsidR="003975E5" w:rsidRPr="009A227D" w14:paraId="365454B1" w14:textId="77777777" w:rsidTr="003975E5">
        <w:trPr>
          <w:trHeight w:val="615"/>
        </w:trPr>
        <w:tc>
          <w:tcPr>
            <w:tcW w:w="3534" w:type="dxa"/>
            <w:vMerge w:val="restart"/>
            <w:tcBorders>
              <w:top w:val="single" w:sz="8" w:space="0" w:color="auto"/>
              <w:left w:val="single" w:sz="8" w:space="0" w:color="auto"/>
              <w:bottom w:val="single" w:sz="8" w:space="0" w:color="000000"/>
              <w:right w:val="single" w:sz="8" w:space="0" w:color="000000"/>
            </w:tcBorders>
            <w:shd w:val="clear" w:color="000000" w:fill="D9D9D9"/>
            <w:noWrap/>
            <w:vAlign w:val="center"/>
            <w:hideMark/>
          </w:tcPr>
          <w:p w14:paraId="602414E0" w14:textId="77777777" w:rsidR="003975E5" w:rsidRPr="009A227D" w:rsidRDefault="003975E5" w:rsidP="009A227D">
            <w:pPr>
              <w:jc w:val="center"/>
              <w:rPr>
                <w:rFonts w:eastAsia="Times New Roman" w:cs="Calibri"/>
                <w:b/>
                <w:bCs/>
                <w:sz w:val="18"/>
                <w:szCs w:val="18"/>
                <w:lang w:eastAsia="fr-FR"/>
              </w:rPr>
            </w:pPr>
            <w:r w:rsidRPr="009A227D">
              <w:rPr>
                <w:rFonts w:eastAsia="Times New Roman" w:cs="Calibri"/>
                <w:b/>
                <w:bCs/>
                <w:sz w:val="18"/>
                <w:szCs w:val="18"/>
                <w:lang w:eastAsia="fr-FR"/>
              </w:rPr>
              <w:t>Avantages socio-éco (Md€2015)</w:t>
            </w:r>
          </w:p>
        </w:tc>
        <w:tc>
          <w:tcPr>
            <w:tcW w:w="1276" w:type="dxa"/>
            <w:vMerge w:val="restart"/>
            <w:tcBorders>
              <w:top w:val="single" w:sz="8" w:space="0" w:color="auto"/>
              <w:left w:val="single" w:sz="8" w:space="0" w:color="000000"/>
              <w:bottom w:val="single" w:sz="8" w:space="0" w:color="000000"/>
              <w:right w:val="single" w:sz="8" w:space="0" w:color="000000"/>
            </w:tcBorders>
            <w:shd w:val="clear" w:color="000000" w:fill="A6A6A6"/>
            <w:vAlign w:val="center"/>
            <w:hideMark/>
          </w:tcPr>
          <w:p w14:paraId="6341CB3C" w14:textId="77777777" w:rsidR="003975E5" w:rsidRPr="009A227D" w:rsidRDefault="003975E5" w:rsidP="009A227D">
            <w:pPr>
              <w:jc w:val="center"/>
              <w:rPr>
                <w:rFonts w:ascii="Arial" w:eastAsia="Times New Roman" w:hAnsi="Arial" w:cs="Arial"/>
                <w:szCs w:val="20"/>
                <w:lang w:eastAsia="fr-FR"/>
              </w:rPr>
            </w:pPr>
            <w:r w:rsidRPr="009A227D">
              <w:rPr>
                <w:rFonts w:ascii="Arial" w:eastAsia="Times New Roman" w:hAnsi="Arial" w:cs="Arial"/>
                <w:szCs w:val="20"/>
                <w:lang w:eastAsia="fr-FR"/>
              </w:rPr>
              <w:t>Schéma d'ensemble complet</w:t>
            </w:r>
          </w:p>
        </w:tc>
        <w:tc>
          <w:tcPr>
            <w:tcW w:w="680" w:type="dxa"/>
            <w:vMerge w:val="restart"/>
            <w:tcBorders>
              <w:top w:val="single" w:sz="8" w:space="0" w:color="auto"/>
              <w:left w:val="single" w:sz="8" w:space="0" w:color="000000"/>
              <w:bottom w:val="single" w:sz="8" w:space="0" w:color="000000"/>
              <w:right w:val="single" w:sz="8" w:space="0" w:color="000000"/>
            </w:tcBorders>
            <w:shd w:val="clear" w:color="000000" w:fill="A6A6A6"/>
            <w:vAlign w:val="center"/>
            <w:hideMark/>
          </w:tcPr>
          <w:p w14:paraId="6E1EB248" w14:textId="77777777" w:rsidR="003975E5" w:rsidRPr="009A227D" w:rsidRDefault="003975E5" w:rsidP="009A227D">
            <w:pPr>
              <w:jc w:val="center"/>
              <w:rPr>
                <w:rFonts w:ascii="Arial" w:eastAsia="Times New Roman" w:hAnsi="Arial" w:cs="Arial"/>
                <w:szCs w:val="20"/>
                <w:lang w:eastAsia="fr-FR"/>
              </w:rPr>
            </w:pPr>
            <w:r w:rsidRPr="009A227D">
              <w:rPr>
                <w:rFonts w:ascii="Arial" w:eastAsia="Times New Roman" w:hAnsi="Arial" w:cs="Arial"/>
                <w:szCs w:val="20"/>
                <w:lang w:eastAsia="fr-FR"/>
              </w:rPr>
              <w:t>L15 Sud</w:t>
            </w:r>
          </w:p>
        </w:tc>
        <w:tc>
          <w:tcPr>
            <w:tcW w:w="680" w:type="dxa"/>
            <w:vMerge w:val="restart"/>
            <w:tcBorders>
              <w:top w:val="single" w:sz="8" w:space="0" w:color="auto"/>
              <w:left w:val="single" w:sz="8" w:space="0" w:color="000000"/>
              <w:bottom w:val="single" w:sz="8" w:space="0" w:color="000000"/>
              <w:right w:val="single" w:sz="8" w:space="0" w:color="000000"/>
            </w:tcBorders>
            <w:shd w:val="clear" w:color="000000" w:fill="A6A6A6"/>
            <w:vAlign w:val="center"/>
            <w:hideMark/>
          </w:tcPr>
          <w:p w14:paraId="2AAA6D2B" w14:textId="31C71537" w:rsidR="003975E5" w:rsidRPr="009A227D" w:rsidRDefault="003975E5" w:rsidP="009A227D">
            <w:pPr>
              <w:jc w:val="center"/>
              <w:rPr>
                <w:rFonts w:ascii="Arial" w:eastAsia="Times New Roman" w:hAnsi="Arial" w:cs="Arial"/>
                <w:szCs w:val="20"/>
                <w:lang w:eastAsia="fr-FR"/>
              </w:rPr>
            </w:pPr>
            <w:r w:rsidRPr="009A227D">
              <w:rPr>
                <w:rFonts w:ascii="Arial" w:eastAsia="Times New Roman" w:hAnsi="Arial" w:cs="Arial"/>
                <w:szCs w:val="20"/>
                <w:lang w:eastAsia="fr-FR"/>
              </w:rPr>
              <w:t>L16</w:t>
            </w:r>
          </w:p>
        </w:tc>
        <w:tc>
          <w:tcPr>
            <w:tcW w:w="680" w:type="dxa"/>
            <w:vMerge w:val="restart"/>
            <w:tcBorders>
              <w:top w:val="single" w:sz="8" w:space="0" w:color="auto"/>
              <w:left w:val="single" w:sz="8" w:space="0" w:color="000000"/>
              <w:bottom w:val="single" w:sz="8" w:space="0" w:color="000000"/>
              <w:right w:val="single" w:sz="8" w:space="0" w:color="000000"/>
            </w:tcBorders>
            <w:shd w:val="clear" w:color="000000" w:fill="A6A6A6"/>
            <w:vAlign w:val="center"/>
            <w:hideMark/>
          </w:tcPr>
          <w:p w14:paraId="672ACB95" w14:textId="77777777" w:rsidR="003975E5" w:rsidRPr="009A227D" w:rsidRDefault="003975E5" w:rsidP="009A227D">
            <w:pPr>
              <w:jc w:val="center"/>
              <w:rPr>
                <w:rFonts w:ascii="Arial" w:eastAsia="Times New Roman" w:hAnsi="Arial" w:cs="Arial"/>
                <w:szCs w:val="20"/>
                <w:lang w:eastAsia="fr-FR"/>
              </w:rPr>
            </w:pPr>
            <w:r w:rsidRPr="009A227D">
              <w:rPr>
                <w:rFonts w:ascii="Arial" w:eastAsia="Times New Roman" w:hAnsi="Arial" w:cs="Arial"/>
                <w:szCs w:val="20"/>
                <w:lang w:eastAsia="fr-FR"/>
              </w:rPr>
              <w:t>L14 Sud</w:t>
            </w:r>
          </w:p>
        </w:tc>
        <w:tc>
          <w:tcPr>
            <w:tcW w:w="680" w:type="dxa"/>
            <w:vMerge w:val="restart"/>
            <w:tcBorders>
              <w:top w:val="single" w:sz="8" w:space="0" w:color="auto"/>
              <w:left w:val="single" w:sz="8" w:space="0" w:color="000000"/>
              <w:bottom w:val="single" w:sz="8" w:space="0" w:color="000000"/>
              <w:right w:val="single" w:sz="8" w:space="0" w:color="000000"/>
            </w:tcBorders>
            <w:shd w:val="clear" w:color="000000" w:fill="A6A6A6"/>
            <w:vAlign w:val="center"/>
            <w:hideMark/>
          </w:tcPr>
          <w:p w14:paraId="6FD0FF79" w14:textId="3D85A5CA" w:rsidR="003975E5" w:rsidRPr="009A227D" w:rsidRDefault="003975E5" w:rsidP="009A227D">
            <w:pPr>
              <w:jc w:val="center"/>
              <w:rPr>
                <w:rFonts w:ascii="Arial" w:eastAsia="Times New Roman" w:hAnsi="Arial" w:cs="Arial"/>
                <w:szCs w:val="20"/>
                <w:lang w:eastAsia="fr-FR"/>
              </w:rPr>
            </w:pPr>
            <w:r w:rsidRPr="009A227D">
              <w:rPr>
                <w:rFonts w:ascii="Arial" w:eastAsia="Times New Roman" w:hAnsi="Arial" w:cs="Arial"/>
                <w:szCs w:val="20"/>
                <w:lang w:eastAsia="fr-FR"/>
              </w:rPr>
              <w:t>L15 W</w:t>
            </w:r>
          </w:p>
        </w:tc>
        <w:tc>
          <w:tcPr>
            <w:tcW w:w="680" w:type="dxa"/>
            <w:vMerge w:val="restart"/>
            <w:tcBorders>
              <w:top w:val="single" w:sz="8" w:space="0" w:color="auto"/>
              <w:left w:val="single" w:sz="8" w:space="0" w:color="000000"/>
              <w:bottom w:val="single" w:sz="8" w:space="0" w:color="000000"/>
              <w:right w:val="single" w:sz="8" w:space="0" w:color="000000"/>
            </w:tcBorders>
            <w:shd w:val="clear" w:color="000000" w:fill="A6A6A6"/>
            <w:vAlign w:val="center"/>
            <w:hideMark/>
          </w:tcPr>
          <w:p w14:paraId="3FE5B7D3" w14:textId="4B3602CF" w:rsidR="003975E5" w:rsidRPr="009A227D" w:rsidRDefault="003975E5" w:rsidP="009A227D">
            <w:pPr>
              <w:jc w:val="center"/>
              <w:rPr>
                <w:rFonts w:ascii="Arial" w:eastAsia="Times New Roman" w:hAnsi="Arial" w:cs="Arial"/>
                <w:szCs w:val="20"/>
                <w:lang w:eastAsia="fr-FR"/>
              </w:rPr>
            </w:pPr>
            <w:r w:rsidRPr="009A227D">
              <w:rPr>
                <w:rFonts w:ascii="Arial" w:eastAsia="Times New Roman" w:hAnsi="Arial" w:cs="Arial"/>
                <w:szCs w:val="20"/>
                <w:lang w:eastAsia="fr-FR"/>
              </w:rPr>
              <w:t>L18</w:t>
            </w:r>
          </w:p>
        </w:tc>
        <w:tc>
          <w:tcPr>
            <w:tcW w:w="680" w:type="dxa"/>
            <w:vMerge w:val="restart"/>
            <w:tcBorders>
              <w:top w:val="single" w:sz="8" w:space="0" w:color="auto"/>
              <w:left w:val="single" w:sz="8" w:space="0" w:color="000000"/>
              <w:bottom w:val="single" w:sz="8" w:space="0" w:color="000000"/>
              <w:right w:val="single" w:sz="8" w:space="0" w:color="000000"/>
            </w:tcBorders>
            <w:shd w:val="clear" w:color="000000" w:fill="A6A6A6"/>
            <w:vAlign w:val="center"/>
            <w:hideMark/>
          </w:tcPr>
          <w:p w14:paraId="6AC9DEA9" w14:textId="7216A387" w:rsidR="003975E5" w:rsidRPr="009A227D" w:rsidRDefault="003975E5" w:rsidP="009A227D">
            <w:pPr>
              <w:jc w:val="center"/>
              <w:rPr>
                <w:rFonts w:ascii="Arial" w:eastAsia="Times New Roman" w:hAnsi="Arial" w:cs="Arial"/>
                <w:szCs w:val="20"/>
                <w:lang w:eastAsia="fr-FR"/>
              </w:rPr>
            </w:pPr>
            <w:r w:rsidRPr="009A227D">
              <w:rPr>
                <w:rFonts w:ascii="Arial" w:eastAsia="Times New Roman" w:hAnsi="Arial" w:cs="Arial"/>
                <w:szCs w:val="20"/>
                <w:lang w:eastAsia="fr-FR"/>
              </w:rPr>
              <w:t>L17 Nord</w:t>
            </w:r>
          </w:p>
        </w:tc>
        <w:tc>
          <w:tcPr>
            <w:tcW w:w="680" w:type="dxa"/>
            <w:vMerge w:val="restart"/>
            <w:tcBorders>
              <w:top w:val="single" w:sz="8" w:space="0" w:color="auto"/>
              <w:left w:val="single" w:sz="8" w:space="0" w:color="000000"/>
              <w:bottom w:val="single" w:sz="8" w:space="0" w:color="000000"/>
              <w:right w:val="single" w:sz="8" w:space="0" w:color="000000"/>
            </w:tcBorders>
            <w:shd w:val="clear" w:color="000000" w:fill="A6A6A6"/>
            <w:vAlign w:val="center"/>
            <w:hideMark/>
          </w:tcPr>
          <w:p w14:paraId="5D6FDE65" w14:textId="698C5432" w:rsidR="003975E5" w:rsidRPr="009A227D" w:rsidRDefault="003975E5" w:rsidP="009A227D">
            <w:pPr>
              <w:jc w:val="center"/>
              <w:rPr>
                <w:rFonts w:ascii="Arial" w:eastAsia="Times New Roman" w:hAnsi="Arial" w:cs="Arial"/>
                <w:szCs w:val="20"/>
                <w:lang w:eastAsia="fr-FR"/>
              </w:rPr>
            </w:pPr>
            <w:r w:rsidRPr="009A227D">
              <w:rPr>
                <w:rFonts w:ascii="Arial" w:eastAsia="Times New Roman" w:hAnsi="Arial" w:cs="Arial"/>
                <w:szCs w:val="20"/>
                <w:lang w:eastAsia="fr-FR"/>
              </w:rPr>
              <w:t>L15 E</w:t>
            </w:r>
          </w:p>
        </w:tc>
        <w:tc>
          <w:tcPr>
            <w:tcW w:w="680" w:type="dxa"/>
            <w:vMerge w:val="restart"/>
            <w:tcBorders>
              <w:top w:val="single" w:sz="8" w:space="0" w:color="auto"/>
              <w:left w:val="single" w:sz="8" w:space="0" w:color="000000"/>
              <w:bottom w:val="single" w:sz="8" w:space="0" w:color="000000"/>
              <w:right w:val="single" w:sz="8" w:space="0" w:color="auto"/>
            </w:tcBorders>
            <w:shd w:val="clear" w:color="000000" w:fill="A6A6A6"/>
            <w:vAlign w:val="center"/>
            <w:hideMark/>
          </w:tcPr>
          <w:p w14:paraId="27B3C333" w14:textId="47870091" w:rsidR="003975E5" w:rsidRPr="009A227D" w:rsidRDefault="003975E5" w:rsidP="009A227D">
            <w:pPr>
              <w:jc w:val="center"/>
              <w:rPr>
                <w:rFonts w:ascii="Arial" w:eastAsia="Times New Roman" w:hAnsi="Arial" w:cs="Arial"/>
                <w:szCs w:val="20"/>
                <w:lang w:eastAsia="fr-FR"/>
              </w:rPr>
            </w:pPr>
            <w:r w:rsidRPr="009A227D">
              <w:rPr>
                <w:rFonts w:ascii="Arial" w:eastAsia="Times New Roman" w:hAnsi="Arial" w:cs="Arial"/>
                <w:szCs w:val="20"/>
                <w:lang w:eastAsia="fr-FR"/>
              </w:rPr>
              <w:t>L18</w:t>
            </w:r>
            <w:r w:rsidRPr="009A227D">
              <w:rPr>
                <w:rFonts w:ascii="Arial" w:eastAsia="Times New Roman" w:hAnsi="Arial" w:cs="Arial"/>
                <w:szCs w:val="20"/>
                <w:lang w:eastAsia="fr-FR"/>
              </w:rPr>
              <w:br/>
              <w:t>post 2030</w:t>
            </w:r>
          </w:p>
        </w:tc>
      </w:tr>
      <w:tr w:rsidR="003975E5" w:rsidRPr="009A227D" w14:paraId="69510A1C" w14:textId="77777777" w:rsidTr="003975E5">
        <w:trPr>
          <w:trHeight w:val="315"/>
        </w:trPr>
        <w:tc>
          <w:tcPr>
            <w:tcW w:w="3534" w:type="dxa"/>
            <w:vMerge/>
            <w:tcBorders>
              <w:top w:val="single" w:sz="8" w:space="0" w:color="auto"/>
              <w:left w:val="single" w:sz="8" w:space="0" w:color="auto"/>
              <w:bottom w:val="single" w:sz="8" w:space="0" w:color="000000"/>
              <w:right w:val="single" w:sz="8" w:space="0" w:color="000000"/>
            </w:tcBorders>
            <w:vAlign w:val="center"/>
            <w:hideMark/>
          </w:tcPr>
          <w:p w14:paraId="5C41E9FC" w14:textId="77777777" w:rsidR="003975E5" w:rsidRPr="009A227D" w:rsidRDefault="003975E5" w:rsidP="009A227D">
            <w:pPr>
              <w:rPr>
                <w:rFonts w:eastAsia="Times New Roman" w:cs="Calibri"/>
                <w:b/>
                <w:bCs/>
                <w:sz w:val="18"/>
                <w:szCs w:val="18"/>
                <w:lang w:eastAsia="fr-FR"/>
              </w:rPr>
            </w:pPr>
          </w:p>
        </w:tc>
        <w:tc>
          <w:tcPr>
            <w:tcW w:w="1276" w:type="dxa"/>
            <w:vMerge/>
            <w:tcBorders>
              <w:top w:val="single" w:sz="8" w:space="0" w:color="auto"/>
              <w:left w:val="single" w:sz="8" w:space="0" w:color="000000"/>
              <w:bottom w:val="single" w:sz="8" w:space="0" w:color="000000"/>
              <w:right w:val="single" w:sz="8" w:space="0" w:color="000000"/>
            </w:tcBorders>
            <w:vAlign w:val="center"/>
            <w:hideMark/>
          </w:tcPr>
          <w:p w14:paraId="67BA40A9" w14:textId="77777777" w:rsidR="003975E5" w:rsidRPr="009A227D" w:rsidRDefault="003975E5" w:rsidP="009A227D">
            <w:pPr>
              <w:rPr>
                <w:rFonts w:ascii="Arial" w:eastAsia="Times New Roman" w:hAnsi="Arial" w:cs="Arial"/>
                <w:szCs w:val="20"/>
                <w:lang w:eastAsia="fr-FR"/>
              </w:rPr>
            </w:pPr>
          </w:p>
        </w:tc>
        <w:tc>
          <w:tcPr>
            <w:tcW w:w="680" w:type="dxa"/>
            <w:vMerge/>
            <w:tcBorders>
              <w:top w:val="single" w:sz="8" w:space="0" w:color="auto"/>
              <w:left w:val="single" w:sz="8" w:space="0" w:color="000000"/>
              <w:bottom w:val="single" w:sz="8" w:space="0" w:color="000000"/>
              <w:right w:val="single" w:sz="8" w:space="0" w:color="000000"/>
            </w:tcBorders>
            <w:vAlign w:val="center"/>
            <w:hideMark/>
          </w:tcPr>
          <w:p w14:paraId="6F4F849C" w14:textId="77777777" w:rsidR="003975E5" w:rsidRPr="009A227D" w:rsidRDefault="003975E5" w:rsidP="009A227D">
            <w:pPr>
              <w:rPr>
                <w:rFonts w:ascii="Arial" w:eastAsia="Times New Roman" w:hAnsi="Arial" w:cs="Arial"/>
                <w:szCs w:val="20"/>
                <w:lang w:eastAsia="fr-FR"/>
              </w:rPr>
            </w:pPr>
          </w:p>
        </w:tc>
        <w:tc>
          <w:tcPr>
            <w:tcW w:w="680" w:type="dxa"/>
            <w:vMerge/>
            <w:tcBorders>
              <w:top w:val="single" w:sz="8" w:space="0" w:color="auto"/>
              <w:left w:val="single" w:sz="8" w:space="0" w:color="000000"/>
              <w:bottom w:val="single" w:sz="8" w:space="0" w:color="000000"/>
              <w:right w:val="single" w:sz="8" w:space="0" w:color="000000"/>
            </w:tcBorders>
            <w:vAlign w:val="center"/>
            <w:hideMark/>
          </w:tcPr>
          <w:p w14:paraId="589F401E" w14:textId="77777777" w:rsidR="003975E5" w:rsidRPr="009A227D" w:rsidRDefault="003975E5" w:rsidP="009A227D">
            <w:pPr>
              <w:rPr>
                <w:rFonts w:ascii="Arial" w:eastAsia="Times New Roman" w:hAnsi="Arial" w:cs="Arial"/>
                <w:szCs w:val="20"/>
                <w:lang w:eastAsia="fr-FR"/>
              </w:rPr>
            </w:pPr>
          </w:p>
        </w:tc>
        <w:tc>
          <w:tcPr>
            <w:tcW w:w="680" w:type="dxa"/>
            <w:vMerge/>
            <w:tcBorders>
              <w:top w:val="single" w:sz="8" w:space="0" w:color="auto"/>
              <w:left w:val="single" w:sz="8" w:space="0" w:color="000000"/>
              <w:bottom w:val="single" w:sz="8" w:space="0" w:color="000000"/>
              <w:right w:val="single" w:sz="8" w:space="0" w:color="000000"/>
            </w:tcBorders>
            <w:vAlign w:val="center"/>
            <w:hideMark/>
          </w:tcPr>
          <w:p w14:paraId="706BAB04" w14:textId="77777777" w:rsidR="003975E5" w:rsidRPr="009A227D" w:rsidRDefault="003975E5" w:rsidP="009A227D">
            <w:pPr>
              <w:rPr>
                <w:rFonts w:ascii="Arial" w:eastAsia="Times New Roman" w:hAnsi="Arial" w:cs="Arial"/>
                <w:szCs w:val="20"/>
                <w:lang w:eastAsia="fr-FR"/>
              </w:rPr>
            </w:pPr>
          </w:p>
        </w:tc>
        <w:tc>
          <w:tcPr>
            <w:tcW w:w="680" w:type="dxa"/>
            <w:vMerge/>
            <w:tcBorders>
              <w:top w:val="single" w:sz="8" w:space="0" w:color="auto"/>
              <w:left w:val="single" w:sz="8" w:space="0" w:color="000000"/>
              <w:bottom w:val="single" w:sz="8" w:space="0" w:color="000000"/>
              <w:right w:val="single" w:sz="8" w:space="0" w:color="000000"/>
            </w:tcBorders>
            <w:vAlign w:val="center"/>
            <w:hideMark/>
          </w:tcPr>
          <w:p w14:paraId="6D8CBCC6" w14:textId="77777777" w:rsidR="003975E5" w:rsidRPr="009A227D" w:rsidRDefault="003975E5" w:rsidP="009A227D">
            <w:pPr>
              <w:rPr>
                <w:rFonts w:ascii="Arial" w:eastAsia="Times New Roman" w:hAnsi="Arial" w:cs="Arial"/>
                <w:szCs w:val="20"/>
                <w:lang w:eastAsia="fr-FR"/>
              </w:rPr>
            </w:pPr>
          </w:p>
        </w:tc>
        <w:tc>
          <w:tcPr>
            <w:tcW w:w="680" w:type="dxa"/>
            <w:vMerge/>
            <w:tcBorders>
              <w:top w:val="single" w:sz="8" w:space="0" w:color="auto"/>
              <w:left w:val="single" w:sz="8" w:space="0" w:color="000000"/>
              <w:bottom w:val="single" w:sz="8" w:space="0" w:color="000000"/>
              <w:right w:val="single" w:sz="8" w:space="0" w:color="000000"/>
            </w:tcBorders>
            <w:vAlign w:val="center"/>
            <w:hideMark/>
          </w:tcPr>
          <w:p w14:paraId="4B32EFBD" w14:textId="77777777" w:rsidR="003975E5" w:rsidRPr="009A227D" w:rsidRDefault="003975E5" w:rsidP="009A227D">
            <w:pPr>
              <w:rPr>
                <w:rFonts w:ascii="Arial" w:eastAsia="Times New Roman" w:hAnsi="Arial" w:cs="Arial"/>
                <w:szCs w:val="20"/>
                <w:lang w:eastAsia="fr-FR"/>
              </w:rPr>
            </w:pPr>
          </w:p>
        </w:tc>
        <w:tc>
          <w:tcPr>
            <w:tcW w:w="680" w:type="dxa"/>
            <w:vMerge/>
            <w:tcBorders>
              <w:top w:val="single" w:sz="8" w:space="0" w:color="auto"/>
              <w:left w:val="single" w:sz="8" w:space="0" w:color="000000"/>
              <w:bottom w:val="single" w:sz="8" w:space="0" w:color="000000"/>
              <w:right w:val="single" w:sz="8" w:space="0" w:color="000000"/>
            </w:tcBorders>
            <w:vAlign w:val="center"/>
            <w:hideMark/>
          </w:tcPr>
          <w:p w14:paraId="7C241094" w14:textId="77777777" w:rsidR="003975E5" w:rsidRPr="009A227D" w:rsidRDefault="003975E5" w:rsidP="009A227D">
            <w:pPr>
              <w:rPr>
                <w:rFonts w:ascii="Arial" w:eastAsia="Times New Roman" w:hAnsi="Arial" w:cs="Arial"/>
                <w:szCs w:val="20"/>
                <w:lang w:eastAsia="fr-FR"/>
              </w:rPr>
            </w:pPr>
          </w:p>
        </w:tc>
        <w:tc>
          <w:tcPr>
            <w:tcW w:w="680" w:type="dxa"/>
            <w:vMerge/>
            <w:tcBorders>
              <w:top w:val="single" w:sz="8" w:space="0" w:color="auto"/>
              <w:left w:val="single" w:sz="8" w:space="0" w:color="000000"/>
              <w:bottom w:val="single" w:sz="8" w:space="0" w:color="000000"/>
              <w:right w:val="single" w:sz="8" w:space="0" w:color="000000"/>
            </w:tcBorders>
            <w:vAlign w:val="center"/>
            <w:hideMark/>
          </w:tcPr>
          <w:p w14:paraId="0E9D05B0" w14:textId="77777777" w:rsidR="003975E5" w:rsidRPr="009A227D" w:rsidRDefault="003975E5" w:rsidP="009A227D">
            <w:pPr>
              <w:rPr>
                <w:rFonts w:ascii="Arial" w:eastAsia="Times New Roman" w:hAnsi="Arial" w:cs="Arial"/>
                <w:szCs w:val="20"/>
                <w:lang w:eastAsia="fr-FR"/>
              </w:rPr>
            </w:pPr>
          </w:p>
        </w:tc>
        <w:tc>
          <w:tcPr>
            <w:tcW w:w="680" w:type="dxa"/>
            <w:vMerge/>
            <w:tcBorders>
              <w:top w:val="single" w:sz="8" w:space="0" w:color="auto"/>
              <w:left w:val="single" w:sz="8" w:space="0" w:color="000000"/>
              <w:bottom w:val="single" w:sz="8" w:space="0" w:color="000000"/>
              <w:right w:val="single" w:sz="8" w:space="0" w:color="auto"/>
            </w:tcBorders>
            <w:vAlign w:val="center"/>
            <w:hideMark/>
          </w:tcPr>
          <w:p w14:paraId="38EFF798" w14:textId="77777777" w:rsidR="003975E5" w:rsidRPr="009A227D" w:rsidRDefault="003975E5" w:rsidP="009A227D">
            <w:pPr>
              <w:rPr>
                <w:rFonts w:ascii="Arial" w:eastAsia="Times New Roman" w:hAnsi="Arial" w:cs="Arial"/>
                <w:szCs w:val="20"/>
                <w:lang w:eastAsia="fr-FR"/>
              </w:rPr>
            </w:pPr>
          </w:p>
        </w:tc>
      </w:tr>
      <w:tr w:rsidR="003975E5" w:rsidRPr="009A227D" w14:paraId="1569236D" w14:textId="77777777" w:rsidTr="003975E5">
        <w:trPr>
          <w:trHeight w:val="315"/>
        </w:trPr>
        <w:tc>
          <w:tcPr>
            <w:tcW w:w="3534" w:type="dxa"/>
            <w:tcBorders>
              <w:top w:val="nil"/>
              <w:left w:val="single" w:sz="8" w:space="0" w:color="auto"/>
              <w:bottom w:val="single" w:sz="8" w:space="0" w:color="auto"/>
              <w:right w:val="single" w:sz="8" w:space="0" w:color="auto"/>
            </w:tcBorders>
            <w:shd w:val="clear" w:color="000000" w:fill="D9D9D9"/>
            <w:noWrap/>
            <w:vAlign w:val="center"/>
            <w:hideMark/>
          </w:tcPr>
          <w:p w14:paraId="64FDB594" w14:textId="77777777" w:rsidR="003975E5" w:rsidRPr="009A227D" w:rsidRDefault="003975E5" w:rsidP="009A227D">
            <w:pPr>
              <w:rPr>
                <w:rFonts w:eastAsia="Times New Roman" w:cs="Calibri"/>
                <w:sz w:val="18"/>
                <w:szCs w:val="18"/>
                <w:lang w:eastAsia="fr-FR"/>
              </w:rPr>
            </w:pPr>
            <w:r w:rsidRPr="009A227D">
              <w:rPr>
                <w:rFonts w:eastAsia="Times New Roman" w:cs="Calibri"/>
                <w:sz w:val="18"/>
                <w:szCs w:val="18"/>
                <w:lang w:eastAsia="fr-FR"/>
              </w:rPr>
              <w:t>Valorisation des effets transports</w:t>
            </w:r>
          </w:p>
        </w:tc>
        <w:tc>
          <w:tcPr>
            <w:tcW w:w="1276" w:type="dxa"/>
            <w:tcBorders>
              <w:top w:val="nil"/>
              <w:left w:val="nil"/>
              <w:bottom w:val="single" w:sz="8" w:space="0" w:color="000000"/>
              <w:right w:val="single" w:sz="8" w:space="0" w:color="000000"/>
            </w:tcBorders>
            <w:shd w:val="clear" w:color="auto" w:fill="auto"/>
            <w:noWrap/>
            <w:vAlign w:val="center"/>
            <w:hideMark/>
          </w:tcPr>
          <w:p w14:paraId="742BCDB2"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14,4</w:t>
            </w:r>
          </w:p>
        </w:tc>
        <w:tc>
          <w:tcPr>
            <w:tcW w:w="680" w:type="dxa"/>
            <w:tcBorders>
              <w:top w:val="nil"/>
              <w:left w:val="nil"/>
              <w:bottom w:val="single" w:sz="8" w:space="0" w:color="000000"/>
              <w:right w:val="single" w:sz="8" w:space="0" w:color="000000"/>
            </w:tcBorders>
            <w:shd w:val="clear" w:color="auto" w:fill="auto"/>
            <w:noWrap/>
            <w:vAlign w:val="center"/>
            <w:hideMark/>
          </w:tcPr>
          <w:p w14:paraId="4F7F2B30"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3,3</w:t>
            </w:r>
          </w:p>
        </w:tc>
        <w:tc>
          <w:tcPr>
            <w:tcW w:w="680" w:type="dxa"/>
            <w:tcBorders>
              <w:top w:val="nil"/>
              <w:left w:val="nil"/>
              <w:bottom w:val="single" w:sz="8" w:space="0" w:color="000000"/>
              <w:right w:val="single" w:sz="8" w:space="0" w:color="000000"/>
            </w:tcBorders>
            <w:shd w:val="clear" w:color="auto" w:fill="auto"/>
            <w:noWrap/>
            <w:vAlign w:val="center"/>
            <w:hideMark/>
          </w:tcPr>
          <w:p w14:paraId="5CA89E49"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2,4</w:t>
            </w:r>
          </w:p>
        </w:tc>
        <w:tc>
          <w:tcPr>
            <w:tcW w:w="680" w:type="dxa"/>
            <w:tcBorders>
              <w:top w:val="nil"/>
              <w:left w:val="nil"/>
              <w:bottom w:val="single" w:sz="8" w:space="0" w:color="000000"/>
              <w:right w:val="single" w:sz="8" w:space="0" w:color="000000"/>
            </w:tcBorders>
            <w:shd w:val="clear" w:color="auto" w:fill="auto"/>
            <w:noWrap/>
            <w:vAlign w:val="center"/>
            <w:hideMark/>
          </w:tcPr>
          <w:p w14:paraId="4BCD4C28"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1,6</w:t>
            </w:r>
          </w:p>
        </w:tc>
        <w:tc>
          <w:tcPr>
            <w:tcW w:w="680" w:type="dxa"/>
            <w:tcBorders>
              <w:top w:val="nil"/>
              <w:left w:val="nil"/>
              <w:bottom w:val="single" w:sz="8" w:space="0" w:color="000000"/>
              <w:right w:val="single" w:sz="8" w:space="0" w:color="000000"/>
            </w:tcBorders>
            <w:shd w:val="clear" w:color="auto" w:fill="auto"/>
            <w:noWrap/>
            <w:vAlign w:val="center"/>
            <w:hideMark/>
          </w:tcPr>
          <w:p w14:paraId="1DEF7B1E"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2,2</w:t>
            </w:r>
          </w:p>
        </w:tc>
        <w:tc>
          <w:tcPr>
            <w:tcW w:w="680" w:type="dxa"/>
            <w:tcBorders>
              <w:top w:val="nil"/>
              <w:left w:val="nil"/>
              <w:bottom w:val="single" w:sz="8" w:space="0" w:color="000000"/>
              <w:right w:val="single" w:sz="8" w:space="0" w:color="000000"/>
            </w:tcBorders>
            <w:shd w:val="clear" w:color="auto" w:fill="auto"/>
            <w:noWrap/>
            <w:vAlign w:val="center"/>
            <w:hideMark/>
          </w:tcPr>
          <w:p w14:paraId="0752E68C"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0,9</w:t>
            </w:r>
          </w:p>
        </w:tc>
        <w:tc>
          <w:tcPr>
            <w:tcW w:w="680" w:type="dxa"/>
            <w:tcBorders>
              <w:top w:val="nil"/>
              <w:left w:val="nil"/>
              <w:bottom w:val="single" w:sz="8" w:space="0" w:color="000000"/>
              <w:right w:val="single" w:sz="8" w:space="0" w:color="000000"/>
            </w:tcBorders>
            <w:shd w:val="clear" w:color="auto" w:fill="auto"/>
            <w:noWrap/>
            <w:vAlign w:val="center"/>
            <w:hideMark/>
          </w:tcPr>
          <w:p w14:paraId="126348A0"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1,4</w:t>
            </w:r>
          </w:p>
        </w:tc>
        <w:tc>
          <w:tcPr>
            <w:tcW w:w="680" w:type="dxa"/>
            <w:tcBorders>
              <w:top w:val="nil"/>
              <w:left w:val="nil"/>
              <w:bottom w:val="single" w:sz="8" w:space="0" w:color="000000"/>
              <w:right w:val="single" w:sz="8" w:space="0" w:color="000000"/>
            </w:tcBorders>
            <w:shd w:val="clear" w:color="auto" w:fill="auto"/>
            <w:noWrap/>
            <w:vAlign w:val="center"/>
            <w:hideMark/>
          </w:tcPr>
          <w:p w14:paraId="05E5EBB5"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1,5</w:t>
            </w:r>
          </w:p>
        </w:tc>
        <w:tc>
          <w:tcPr>
            <w:tcW w:w="680" w:type="dxa"/>
            <w:tcBorders>
              <w:top w:val="nil"/>
              <w:left w:val="nil"/>
              <w:bottom w:val="single" w:sz="8" w:space="0" w:color="000000"/>
              <w:right w:val="single" w:sz="8" w:space="0" w:color="auto"/>
            </w:tcBorders>
            <w:shd w:val="clear" w:color="auto" w:fill="auto"/>
            <w:noWrap/>
            <w:vAlign w:val="center"/>
            <w:hideMark/>
          </w:tcPr>
          <w:p w14:paraId="60904077"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1,1</w:t>
            </w:r>
          </w:p>
        </w:tc>
      </w:tr>
      <w:tr w:rsidR="003975E5" w:rsidRPr="009A227D" w14:paraId="61E75C93" w14:textId="77777777" w:rsidTr="003975E5">
        <w:trPr>
          <w:trHeight w:val="315"/>
        </w:trPr>
        <w:tc>
          <w:tcPr>
            <w:tcW w:w="3534" w:type="dxa"/>
            <w:tcBorders>
              <w:top w:val="nil"/>
              <w:left w:val="single" w:sz="8" w:space="0" w:color="auto"/>
              <w:bottom w:val="single" w:sz="8" w:space="0" w:color="auto"/>
              <w:right w:val="single" w:sz="8" w:space="0" w:color="auto"/>
            </w:tcBorders>
            <w:shd w:val="clear" w:color="000000" w:fill="D9D9D9"/>
            <w:noWrap/>
            <w:vAlign w:val="center"/>
            <w:hideMark/>
          </w:tcPr>
          <w:p w14:paraId="7D80D546" w14:textId="77777777" w:rsidR="003975E5" w:rsidRPr="009A227D" w:rsidRDefault="003975E5" w:rsidP="009A227D">
            <w:pPr>
              <w:rPr>
                <w:rFonts w:eastAsia="Times New Roman" w:cs="Calibri"/>
                <w:sz w:val="18"/>
                <w:szCs w:val="18"/>
                <w:lang w:eastAsia="fr-FR"/>
              </w:rPr>
            </w:pPr>
            <w:r w:rsidRPr="009A227D">
              <w:rPr>
                <w:rFonts w:eastAsia="Times New Roman" w:cs="Calibri"/>
                <w:sz w:val="18"/>
                <w:szCs w:val="18"/>
                <w:lang w:eastAsia="fr-FR"/>
              </w:rPr>
              <w:t>Régularité</w:t>
            </w:r>
          </w:p>
        </w:tc>
        <w:tc>
          <w:tcPr>
            <w:tcW w:w="1276" w:type="dxa"/>
            <w:tcBorders>
              <w:top w:val="nil"/>
              <w:left w:val="nil"/>
              <w:bottom w:val="single" w:sz="8" w:space="0" w:color="000000"/>
              <w:right w:val="single" w:sz="8" w:space="0" w:color="000000"/>
            </w:tcBorders>
            <w:shd w:val="clear" w:color="auto" w:fill="auto"/>
            <w:noWrap/>
            <w:vAlign w:val="center"/>
            <w:hideMark/>
          </w:tcPr>
          <w:p w14:paraId="5282E5F9"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4,5</w:t>
            </w:r>
          </w:p>
        </w:tc>
        <w:tc>
          <w:tcPr>
            <w:tcW w:w="680" w:type="dxa"/>
            <w:tcBorders>
              <w:top w:val="nil"/>
              <w:left w:val="nil"/>
              <w:bottom w:val="single" w:sz="8" w:space="0" w:color="000000"/>
              <w:right w:val="single" w:sz="8" w:space="0" w:color="000000"/>
            </w:tcBorders>
            <w:shd w:val="clear" w:color="auto" w:fill="auto"/>
            <w:noWrap/>
            <w:vAlign w:val="center"/>
            <w:hideMark/>
          </w:tcPr>
          <w:p w14:paraId="02BD71EE"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0,4</w:t>
            </w:r>
          </w:p>
        </w:tc>
        <w:tc>
          <w:tcPr>
            <w:tcW w:w="680" w:type="dxa"/>
            <w:tcBorders>
              <w:top w:val="nil"/>
              <w:left w:val="nil"/>
              <w:bottom w:val="single" w:sz="8" w:space="0" w:color="000000"/>
              <w:right w:val="single" w:sz="8" w:space="0" w:color="000000"/>
            </w:tcBorders>
            <w:shd w:val="clear" w:color="auto" w:fill="auto"/>
            <w:noWrap/>
            <w:vAlign w:val="center"/>
            <w:hideMark/>
          </w:tcPr>
          <w:p w14:paraId="38C85D3A"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0,3</w:t>
            </w:r>
          </w:p>
        </w:tc>
        <w:tc>
          <w:tcPr>
            <w:tcW w:w="680" w:type="dxa"/>
            <w:tcBorders>
              <w:top w:val="nil"/>
              <w:left w:val="nil"/>
              <w:bottom w:val="single" w:sz="8" w:space="0" w:color="000000"/>
              <w:right w:val="single" w:sz="8" w:space="0" w:color="000000"/>
            </w:tcBorders>
            <w:shd w:val="clear" w:color="auto" w:fill="auto"/>
            <w:noWrap/>
            <w:vAlign w:val="center"/>
            <w:hideMark/>
          </w:tcPr>
          <w:p w14:paraId="79AD4286"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1,2</w:t>
            </w:r>
          </w:p>
        </w:tc>
        <w:tc>
          <w:tcPr>
            <w:tcW w:w="680" w:type="dxa"/>
            <w:tcBorders>
              <w:top w:val="nil"/>
              <w:left w:val="nil"/>
              <w:bottom w:val="single" w:sz="8" w:space="0" w:color="000000"/>
              <w:right w:val="single" w:sz="8" w:space="0" w:color="000000"/>
            </w:tcBorders>
            <w:shd w:val="clear" w:color="auto" w:fill="auto"/>
            <w:noWrap/>
            <w:vAlign w:val="center"/>
            <w:hideMark/>
          </w:tcPr>
          <w:p w14:paraId="06DE1854"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1,0</w:t>
            </w:r>
          </w:p>
        </w:tc>
        <w:tc>
          <w:tcPr>
            <w:tcW w:w="680" w:type="dxa"/>
            <w:tcBorders>
              <w:top w:val="nil"/>
              <w:left w:val="nil"/>
              <w:bottom w:val="single" w:sz="8" w:space="0" w:color="000000"/>
              <w:right w:val="single" w:sz="8" w:space="0" w:color="000000"/>
            </w:tcBorders>
            <w:shd w:val="clear" w:color="auto" w:fill="auto"/>
            <w:noWrap/>
            <w:vAlign w:val="center"/>
            <w:hideMark/>
          </w:tcPr>
          <w:p w14:paraId="1157F58E"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0,6</w:t>
            </w:r>
          </w:p>
        </w:tc>
        <w:tc>
          <w:tcPr>
            <w:tcW w:w="680" w:type="dxa"/>
            <w:tcBorders>
              <w:top w:val="nil"/>
              <w:left w:val="nil"/>
              <w:bottom w:val="single" w:sz="8" w:space="0" w:color="000000"/>
              <w:right w:val="single" w:sz="8" w:space="0" w:color="000000"/>
            </w:tcBorders>
            <w:shd w:val="clear" w:color="auto" w:fill="auto"/>
            <w:noWrap/>
            <w:vAlign w:val="center"/>
            <w:hideMark/>
          </w:tcPr>
          <w:p w14:paraId="76741469"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0,1</w:t>
            </w:r>
          </w:p>
        </w:tc>
        <w:tc>
          <w:tcPr>
            <w:tcW w:w="680" w:type="dxa"/>
            <w:tcBorders>
              <w:top w:val="nil"/>
              <w:left w:val="nil"/>
              <w:bottom w:val="single" w:sz="8" w:space="0" w:color="000000"/>
              <w:right w:val="single" w:sz="8" w:space="0" w:color="000000"/>
            </w:tcBorders>
            <w:shd w:val="clear" w:color="auto" w:fill="auto"/>
            <w:noWrap/>
            <w:vAlign w:val="center"/>
            <w:hideMark/>
          </w:tcPr>
          <w:p w14:paraId="5E3FF974"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0,6</w:t>
            </w:r>
          </w:p>
        </w:tc>
        <w:tc>
          <w:tcPr>
            <w:tcW w:w="680" w:type="dxa"/>
            <w:tcBorders>
              <w:top w:val="nil"/>
              <w:left w:val="nil"/>
              <w:bottom w:val="single" w:sz="8" w:space="0" w:color="000000"/>
              <w:right w:val="single" w:sz="8" w:space="0" w:color="auto"/>
            </w:tcBorders>
            <w:shd w:val="clear" w:color="auto" w:fill="auto"/>
            <w:noWrap/>
            <w:vAlign w:val="center"/>
            <w:hideMark/>
          </w:tcPr>
          <w:p w14:paraId="5751B3FA"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0,2</w:t>
            </w:r>
          </w:p>
        </w:tc>
      </w:tr>
      <w:tr w:rsidR="003975E5" w:rsidRPr="009A227D" w14:paraId="0FD966A1" w14:textId="77777777" w:rsidTr="003975E5">
        <w:trPr>
          <w:trHeight w:val="315"/>
        </w:trPr>
        <w:tc>
          <w:tcPr>
            <w:tcW w:w="3534" w:type="dxa"/>
            <w:tcBorders>
              <w:top w:val="nil"/>
              <w:left w:val="single" w:sz="8" w:space="0" w:color="auto"/>
              <w:bottom w:val="single" w:sz="8" w:space="0" w:color="auto"/>
              <w:right w:val="single" w:sz="8" w:space="0" w:color="auto"/>
            </w:tcBorders>
            <w:shd w:val="clear" w:color="000000" w:fill="D9D9D9"/>
            <w:noWrap/>
            <w:vAlign w:val="center"/>
            <w:hideMark/>
          </w:tcPr>
          <w:p w14:paraId="03D750B1" w14:textId="77777777" w:rsidR="003975E5" w:rsidRPr="009A227D" w:rsidRDefault="003975E5" w:rsidP="009A227D">
            <w:pPr>
              <w:rPr>
                <w:rFonts w:eastAsia="Times New Roman" w:cs="Calibri"/>
                <w:sz w:val="18"/>
                <w:szCs w:val="18"/>
                <w:lang w:eastAsia="fr-FR"/>
              </w:rPr>
            </w:pPr>
            <w:r w:rsidRPr="009A227D">
              <w:rPr>
                <w:rFonts w:eastAsia="Times New Roman" w:cs="Calibri"/>
                <w:sz w:val="18"/>
                <w:szCs w:val="18"/>
                <w:lang w:eastAsia="fr-FR"/>
              </w:rPr>
              <w:t>Confort</w:t>
            </w:r>
          </w:p>
        </w:tc>
        <w:tc>
          <w:tcPr>
            <w:tcW w:w="1276" w:type="dxa"/>
            <w:tcBorders>
              <w:top w:val="nil"/>
              <w:left w:val="nil"/>
              <w:bottom w:val="single" w:sz="8" w:space="0" w:color="000000"/>
              <w:right w:val="single" w:sz="8" w:space="0" w:color="000000"/>
            </w:tcBorders>
            <w:shd w:val="clear" w:color="auto" w:fill="auto"/>
            <w:noWrap/>
            <w:vAlign w:val="center"/>
            <w:hideMark/>
          </w:tcPr>
          <w:p w14:paraId="763F4F3E"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3,7</w:t>
            </w:r>
          </w:p>
        </w:tc>
        <w:tc>
          <w:tcPr>
            <w:tcW w:w="680" w:type="dxa"/>
            <w:tcBorders>
              <w:top w:val="nil"/>
              <w:left w:val="nil"/>
              <w:bottom w:val="single" w:sz="8" w:space="0" w:color="000000"/>
              <w:right w:val="single" w:sz="8" w:space="0" w:color="000000"/>
            </w:tcBorders>
            <w:shd w:val="clear" w:color="auto" w:fill="auto"/>
            <w:noWrap/>
            <w:vAlign w:val="center"/>
            <w:hideMark/>
          </w:tcPr>
          <w:p w14:paraId="75CFFF85"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0,6</w:t>
            </w:r>
          </w:p>
        </w:tc>
        <w:tc>
          <w:tcPr>
            <w:tcW w:w="680" w:type="dxa"/>
            <w:tcBorders>
              <w:top w:val="nil"/>
              <w:left w:val="nil"/>
              <w:bottom w:val="single" w:sz="8" w:space="0" w:color="000000"/>
              <w:right w:val="single" w:sz="8" w:space="0" w:color="000000"/>
            </w:tcBorders>
            <w:shd w:val="clear" w:color="auto" w:fill="auto"/>
            <w:noWrap/>
            <w:vAlign w:val="center"/>
            <w:hideMark/>
          </w:tcPr>
          <w:p w14:paraId="478A9737"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1,2</w:t>
            </w:r>
          </w:p>
        </w:tc>
        <w:tc>
          <w:tcPr>
            <w:tcW w:w="680" w:type="dxa"/>
            <w:tcBorders>
              <w:top w:val="nil"/>
              <w:left w:val="nil"/>
              <w:bottom w:val="single" w:sz="8" w:space="0" w:color="000000"/>
              <w:right w:val="single" w:sz="8" w:space="0" w:color="000000"/>
            </w:tcBorders>
            <w:shd w:val="clear" w:color="auto" w:fill="auto"/>
            <w:noWrap/>
            <w:vAlign w:val="center"/>
            <w:hideMark/>
          </w:tcPr>
          <w:p w14:paraId="2AD7E33C"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0,6</w:t>
            </w:r>
          </w:p>
        </w:tc>
        <w:tc>
          <w:tcPr>
            <w:tcW w:w="680" w:type="dxa"/>
            <w:tcBorders>
              <w:top w:val="nil"/>
              <w:left w:val="nil"/>
              <w:bottom w:val="single" w:sz="8" w:space="0" w:color="000000"/>
              <w:right w:val="single" w:sz="8" w:space="0" w:color="000000"/>
            </w:tcBorders>
            <w:shd w:val="clear" w:color="auto" w:fill="auto"/>
            <w:noWrap/>
            <w:vAlign w:val="center"/>
            <w:hideMark/>
          </w:tcPr>
          <w:p w14:paraId="37354EDD"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1,0</w:t>
            </w:r>
          </w:p>
        </w:tc>
        <w:tc>
          <w:tcPr>
            <w:tcW w:w="680" w:type="dxa"/>
            <w:tcBorders>
              <w:top w:val="nil"/>
              <w:left w:val="nil"/>
              <w:bottom w:val="single" w:sz="8" w:space="0" w:color="000000"/>
              <w:right w:val="single" w:sz="8" w:space="0" w:color="000000"/>
            </w:tcBorders>
            <w:shd w:val="clear" w:color="auto" w:fill="auto"/>
            <w:noWrap/>
            <w:vAlign w:val="center"/>
            <w:hideMark/>
          </w:tcPr>
          <w:p w14:paraId="131F3480"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0,0</w:t>
            </w:r>
          </w:p>
        </w:tc>
        <w:tc>
          <w:tcPr>
            <w:tcW w:w="680" w:type="dxa"/>
            <w:tcBorders>
              <w:top w:val="nil"/>
              <w:left w:val="nil"/>
              <w:bottom w:val="single" w:sz="8" w:space="0" w:color="000000"/>
              <w:right w:val="single" w:sz="8" w:space="0" w:color="000000"/>
            </w:tcBorders>
            <w:shd w:val="clear" w:color="auto" w:fill="auto"/>
            <w:noWrap/>
            <w:vAlign w:val="center"/>
            <w:hideMark/>
          </w:tcPr>
          <w:p w14:paraId="2F2DDF87"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0,0</w:t>
            </w:r>
          </w:p>
        </w:tc>
        <w:tc>
          <w:tcPr>
            <w:tcW w:w="680" w:type="dxa"/>
            <w:tcBorders>
              <w:top w:val="nil"/>
              <w:left w:val="nil"/>
              <w:bottom w:val="single" w:sz="8" w:space="0" w:color="000000"/>
              <w:right w:val="single" w:sz="8" w:space="0" w:color="000000"/>
            </w:tcBorders>
            <w:shd w:val="clear" w:color="auto" w:fill="auto"/>
            <w:noWrap/>
            <w:vAlign w:val="center"/>
            <w:hideMark/>
          </w:tcPr>
          <w:p w14:paraId="0DE50D65"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0,0</w:t>
            </w:r>
          </w:p>
        </w:tc>
        <w:tc>
          <w:tcPr>
            <w:tcW w:w="680" w:type="dxa"/>
            <w:tcBorders>
              <w:top w:val="nil"/>
              <w:left w:val="nil"/>
              <w:bottom w:val="single" w:sz="8" w:space="0" w:color="000000"/>
              <w:right w:val="single" w:sz="8" w:space="0" w:color="auto"/>
            </w:tcBorders>
            <w:shd w:val="clear" w:color="auto" w:fill="auto"/>
            <w:noWrap/>
            <w:vAlign w:val="center"/>
            <w:hideMark/>
          </w:tcPr>
          <w:p w14:paraId="273F9CE2"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0,2</w:t>
            </w:r>
          </w:p>
        </w:tc>
      </w:tr>
      <w:tr w:rsidR="003975E5" w:rsidRPr="009A227D" w14:paraId="528B0D88" w14:textId="77777777" w:rsidTr="003975E5">
        <w:trPr>
          <w:trHeight w:val="315"/>
        </w:trPr>
        <w:tc>
          <w:tcPr>
            <w:tcW w:w="3534" w:type="dxa"/>
            <w:tcBorders>
              <w:top w:val="nil"/>
              <w:left w:val="single" w:sz="8" w:space="0" w:color="auto"/>
              <w:bottom w:val="single" w:sz="8" w:space="0" w:color="auto"/>
              <w:right w:val="single" w:sz="8" w:space="0" w:color="auto"/>
            </w:tcBorders>
            <w:shd w:val="clear" w:color="000000" w:fill="D9D9D9"/>
            <w:noWrap/>
            <w:vAlign w:val="center"/>
            <w:hideMark/>
          </w:tcPr>
          <w:p w14:paraId="2242F48C" w14:textId="77777777" w:rsidR="003975E5" w:rsidRPr="009A227D" w:rsidRDefault="003975E5" w:rsidP="009A227D">
            <w:pPr>
              <w:rPr>
                <w:rFonts w:eastAsia="Times New Roman" w:cs="Calibri"/>
                <w:sz w:val="18"/>
                <w:szCs w:val="18"/>
                <w:lang w:eastAsia="fr-FR"/>
              </w:rPr>
            </w:pPr>
            <w:r w:rsidRPr="009A227D">
              <w:rPr>
                <w:rFonts w:eastAsia="Times New Roman" w:cs="Calibri"/>
                <w:sz w:val="18"/>
                <w:szCs w:val="18"/>
                <w:lang w:eastAsia="fr-FR"/>
              </w:rPr>
              <w:t>Gains environnementaux et urbains</w:t>
            </w:r>
          </w:p>
        </w:tc>
        <w:tc>
          <w:tcPr>
            <w:tcW w:w="1276" w:type="dxa"/>
            <w:tcBorders>
              <w:top w:val="nil"/>
              <w:left w:val="nil"/>
              <w:bottom w:val="single" w:sz="8" w:space="0" w:color="000000"/>
              <w:right w:val="single" w:sz="8" w:space="0" w:color="000000"/>
            </w:tcBorders>
            <w:shd w:val="clear" w:color="auto" w:fill="auto"/>
            <w:noWrap/>
            <w:vAlign w:val="center"/>
            <w:hideMark/>
          </w:tcPr>
          <w:p w14:paraId="7DAC7253"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8,7</w:t>
            </w:r>
          </w:p>
        </w:tc>
        <w:tc>
          <w:tcPr>
            <w:tcW w:w="680" w:type="dxa"/>
            <w:tcBorders>
              <w:top w:val="nil"/>
              <w:left w:val="nil"/>
              <w:bottom w:val="single" w:sz="8" w:space="0" w:color="000000"/>
              <w:right w:val="single" w:sz="8" w:space="0" w:color="000000"/>
            </w:tcBorders>
            <w:shd w:val="clear" w:color="auto" w:fill="auto"/>
            <w:noWrap/>
            <w:vAlign w:val="center"/>
            <w:hideMark/>
          </w:tcPr>
          <w:p w14:paraId="5BAAE7B1"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1,2</w:t>
            </w:r>
          </w:p>
        </w:tc>
        <w:tc>
          <w:tcPr>
            <w:tcW w:w="680" w:type="dxa"/>
            <w:tcBorders>
              <w:top w:val="nil"/>
              <w:left w:val="nil"/>
              <w:bottom w:val="single" w:sz="8" w:space="0" w:color="000000"/>
              <w:right w:val="single" w:sz="8" w:space="0" w:color="000000"/>
            </w:tcBorders>
            <w:shd w:val="clear" w:color="auto" w:fill="auto"/>
            <w:noWrap/>
            <w:vAlign w:val="center"/>
            <w:hideMark/>
          </w:tcPr>
          <w:p w14:paraId="46874FC9"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0,9</w:t>
            </w:r>
          </w:p>
        </w:tc>
        <w:tc>
          <w:tcPr>
            <w:tcW w:w="680" w:type="dxa"/>
            <w:tcBorders>
              <w:top w:val="nil"/>
              <w:left w:val="nil"/>
              <w:bottom w:val="single" w:sz="8" w:space="0" w:color="000000"/>
              <w:right w:val="single" w:sz="8" w:space="0" w:color="000000"/>
            </w:tcBorders>
            <w:shd w:val="clear" w:color="auto" w:fill="auto"/>
            <w:noWrap/>
            <w:vAlign w:val="center"/>
            <w:hideMark/>
          </w:tcPr>
          <w:p w14:paraId="500CADBB"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0,4</w:t>
            </w:r>
          </w:p>
        </w:tc>
        <w:tc>
          <w:tcPr>
            <w:tcW w:w="680" w:type="dxa"/>
            <w:tcBorders>
              <w:top w:val="nil"/>
              <w:left w:val="nil"/>
              <w:bottom w:val="single" w:sz="8" w:space="0" w:color="000000"/>
              <w:right w:val="single" w:sz="8" w:space="0" w:color="000000"/>
            </w:tcBorders>
            <w:shd w:val="clear" w:color="auto" w:fill="auto"/>
            <w:noWrap/>
            <w:vAlign w:val="center"/>
            <w:hideMark/>
          </w:tcPr>
          <w:p w14:paraId="1171C55D"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0,8</w:t>
            </w:r>
          </w:p>
        </w:tc>
        <w:tc>
          <w:tcPr>
            <w:tcW w:w="680" w:type="dxa"/>
            <w:tcBorders>
              <w:top w:val="nil"/>
              <w:left w:val="nil"/>
              <w:bottom w:val="single" w:sz="8" w:space="0" w:color="000000"/>
              <w:right w:val="single" w:sz="8" w:space="0" w:color="000000"/>
            </w:tcBorders>
            <w:shd w:val="clear" w:color="auto" w:fill="auto"/>
            <w:noWrap/>
            <w:vAlign w:val="center"/>
            <w:hideMark/>
          </w:tcPr>
          <w:p w14:paraId="54AD3FE0"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2,1</w:t>
            </w:r>
          </w:p>
        </w:tc>
        <w:tc>
          <w:tcPr>
            <w:tcW w:w="680" w:type="dxa"/>
            <w:tcBorders>
              <w:top w:val="nil"/>
              <w:left w:val="nil"/>
              <w:bottom w:val="single" w:sz="8" w:space="0" w:color="000000"/>
              <w:right w:val="single" w:sz="8" w:space="0" w:color="000000"/>
            </w:tcBorders>
            <w:shd w:val="clear" w:color="auto" w:fill="auto"/>
            <w:noWrap/>
            <w:vAlign w:val="center"/>
            <w:hideMark/>
          </w:tcPr>
          <w:p w14:paraId="15784BF8"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0,9</w:t>
            </w:r>
          </w:p>
        </w:tc>
        <w:tc>
          <w:tcPr>
            <w:tcW w:w="680" w:type="dxa"/>
            <w:tcBorders>
              <w:top w:val="nil"/>
              <w:left w:val="nil"/>
              <w:bottom w:val="single" w:sz="8" w:space="0" w:color="000000"/>
              <w:right w:val="single" w:sz="8" w:space="0" w:color="000000"/>
            </w:tcBorders>
            <w:shd w:val="clear" w:color="auto" w:fill="auto"/>
            <w:noWrap/>
            <w:vAlign w:val="center"/>
            <w:hideMark/>
          </w:tcPr>
          <w:p w14:paraId="43072988"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1,0</w:t>
            </w:r>
          </w:p>
        </w:tc>
        <w:tc>
          <w:tcPr>
            <w:tcW w:w="680" w:type="dxa"/>
            <w:tcBorders>
              <w:top w:val="nil"/>
              <w:left w:val="nil"/>
              <w:bottom w:val="single" w:sz="8" w:space="0" w:color="000000"/>
              <w:right w:val="single" w:sz="8" w:space="0" w:color="auto"/>
            </w:tcBorders>
            <w:shd w:val="clear" w:color="auto" w:fill="auto"/>
            <w:noWrap/>
            <w:vAlign w:val="center"/>
            <w:hideMark/>
          </w:tcPr>
          <w:p w14:paraId="04D12857"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1,4</w:t>
            </w:r>
          </w:p>
        </w:tc>
      </w:tr>
      <w:tr w:rsidR="003975E5" w:rsidRPr="009A227D" w14:paraId="33C41671" w14:textId="77777777" w:rsidTr="003975E5">
        <w:trPr>
          <w:trHeight w:val="315"/>
        </w:trPr>
        <w:tc>
          <w:tcPr>
            <w:tcW w:w="3534" w:type="dxa"/>
            <w:tcBorders>
              <w:top w:val="nil"/>
              <w:left w:val="single" w:sz="8" w:space="0" w:color="auto"/>
              <w:bottom w:val="single" w:sz="8" w:space="0" w:color="auto"/>
              <w:right w:val="single" w:sz="8" w:space="0" w:color="auto"/>
            </w:tcBorders>
            <w:shd w:val="clear" w:color="000000" w:fill="D9D9D9"/>
            <w:noWrap/>
            <w:vAlign w:val="center"/>
            <w:hideMark/>
          </w:tcPr>
          <w:p w14:paraId="3B92EABB" w14:textId="77777777" w:rsidR="003975E5" w:rsidRPr="009A227D" w:rsidRDefault="003975E5" w:rsidP="009A227D">
            <w:pPr>
              <w:rPr>
                <w:rFonts w:eastAsia="Times New Roman" w:cs="Calibri"/>
                <w:sz w:val="18"/>
                <w:szCs w:val="18"/>
                <w:lang w:eastAsia="fr-FR"/>
              </w:rPr>
            </w:pPr>
            <w:r w:rsidRPr="009A227D">
              <w:rPr>
                <w:rFonts w:eastAsia="Times New Roman" w:cs="Calibri"/>
                <w:sz w:val="18"/>
                <w:szCs w:val="18"/>
                <w:lang w:eastAsia="fr-FR"/>
              </w:rPr>
              <w:t>Effets d'agglomération</w:t>
            </w:r>
          </w:p>
        </w:tc>
        <w:tc>
          <w:tcPr>
            <w:tcW w:w="1276" w:type="dxa"/>
            <w:tcBorders>
              <w:top w:val="nil"/>
              <w:left w:val="nil"/>
              <w:bottom w:val="single" w:sz="8" w:space="0" w:color="000000"/>
              <w:right w:val="single" w:sz="8" w:space="0" w:color="000000"/>
            </w:tcBorders>
            <w:shd w:val="clear" w:color="auto" w:fill="auto"/>
            <w:noWrap/>
            <w:vAlign w:val="center"/>
            <w:hideMark/>
          </w:tcPr>
          <w:p w14:paraId="0E43D6FC"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11,9</w:t>
            </w:r>
          </w:p>
        </w:tc>
        <w:tc>
          <w:tcPr>
            <w:tcW w:w="680" w:type="dxa"/>
            <w:tcBorders>
              <w:top w:val="nil"/>
              <w:left w:val="nil"/>
              <w:bottom w:val="single" w:sz="8" w:space="0" w:color="000000"/>
              <w:right w:val="single" w:sz="8" w:space="0" w:color="000000"/>
            </w:tcBorders>
            <w:shd w:val="clear" w:color="auto" w:fill="auto"/>
            <w:noWrap/>
            <w:vAlign w:val="center"/>
            <w:hideMark/>
          </w:tcPr>
          <w:p w14:paraId="5B9B4D39"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2,2</w:t>
            </w:r>
          </w:p>
        </w:tc>
        <w:tc>
          <w:tcPr>
            <w:tcW w:w="680" w:type="dxa"/>
            <w:tcBorders>
              <w:top w:val="nil"/>
              <w:left w:val="nil"/>
              <w:bottom w:val="single" w:sz="8" w:space="0" w:color="000000"/>
              <w:right w:val="single" w:sz="8" w:space="0" w:color="000000"/>
            </w:tcBorders>
            <w:shd w:val="clear" w:color="auto" w:fill="auto"/>
            <w:noWrap/>
            <w:vAlign w:val="center"/>
            <w:hideMark/>
          </w:tcPr>
          <w:p w14:paraId="6FEE6F14"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0,8</w:t>
            </w:r>
          </w:p>
        </w:tc>
        <w:tc>
          <w:tcPr>
            <w:tcW w:w="680" w:type="dxa"/>
            <w:tcBorders>
              <w:top w:val="nil"/>
              <w:left w:val="nil"/>
              <w:bottom w:val="single" w:sz="8" w:space="0" w:color="000000"/>
              <w:right w:val="single" w:sz="8" w:space="0" w:color="000000"/>
            </w:tcBorders>
            <w:shd w:val="clear" w:color="auto" w:fill="auto"/>
            <w:noWrap/>
            <w:vAlign w:val="center"/>
            <w:hideMark/>
          </w:tcPr>
          <w:p w14:paraId="29283745"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0,6</w:t>
            </w:r>
          </w:p>
        </w:tc>
        <w:tc>
          <w:tcPr>
            <w:tcW w:w="680" w:type="dxa"/>
            <w:tcBorders>
              <w:top w:val="nil"/>
              <w:left w:val="nil"/>
              <w:bottom w:val="single" w:sz="8" w:space="0" w:color="000000"/>
              <w:right w:val="single" w:sz="8" w:space="0" w:color="000000"/>
            </w:tcBorders>
            <w:shd w:val="clear" w:color="auto" w:fill="auto"/>
            <w:noWrap/>
            <w:vAlign w:val="center"/>
            <w:hideMark/>
          </w:tcPr>
          <w:p w14:paraId="06DD2637"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0,5</w:t>
            </w:r>
          </w:p>
        </w:tc>
        <w:tc>
          <w:tcPr>
            <w:tcW w:w="680" w:type="dxa"/>
            <w:tcBorders>
              <w:top w:val="nil"/>
              <w:left w:val="nil"/>
              <w:bottom w:val="single" w:sz="8" w:space="0" w:color="000000"/>
              <w:right w:val="single" w:sz="8" w:space="0" w:color="000000"/>
            </w:tcBorders>
            <w:shd w:val="clear" w:color="auto" w:fill="auto"/>
            <w:noWrap/>
            <w:vAlign w:val="center"/>
            <w:hideMark/>
          </w:tcPr>
          <w:p w14:paraId="6D0FBEC8"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2,4</w:t>
            </w:r>
          </w:p>
        </w:tc>
        <w:tc>
          <w:tcPr>
            <w:tcW w:w="680" w:type="dxa"/>
            <w:tcBorders>
              <w:top w:val="nil"/>
              <w:left w:val="nil"/>
              <w:bottom w:val="single" w:sz="8" w:space="0" w:color="000000"/>
              <w:right w:val="single" w:sz="8" w:space="0" w:color="000000"/>
            </w:tcBorders>
            <w:shd w:val="clear" w:color="auto" w:fill="auto"/>
            <w:noWrap/>
            <w:vAlign w:val="center"/>
            <w:hideMark/>
          </w:tcPr>
          <w:p w14:paraId="1016DE58"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2,6</w:t>
            </w:r>
          </w:p>
        </w:tc>
        <w:tc>
          <w:tcPr>
            <w:tcW w:w="680" w:type="dxa"/>
            <w:tcBorders>
              <w:top w:val="nil"/>
              <w:left w:val="nil"/>
              <w:bottom w:val="single" w:sz="8" w:space="0" w:color="000000"/>
              <w:right w:val="single" w:sz="8" w:space="0" w:color="000000"/>
            </w:tcBorders>
            <w:shd w:val="clear" w:color="auto" w:fill="auto"/>
            <w:noWrap/>
            <w:vAlign w:val="center"/>
            <w:hideMark/>
          </w:tcPr>
          <w:p w14:paraId="585C87CB"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1,5</w:t>
            </w:r>
          </w:p>
        </w:tc>
        <w:tc>
          <w:tcPr>
            <w:tcW w:w="680" w:type="dxa"/>
            <w:tcBorders>
              <w:top w:val="nil"/>
              <w:left w:val="nil"/>
              <w:bottom w:val="single" w:sz="8" w:space="0" w:color="000000"/>
              <w:right w:val="single" w:sz="8" w:space="0" w:color="auto"/>
            </w:tcBorders>
            <w:shd w:val="clear" w:color="auto" w:fill="auto"/>
            <w:noWrap/>
            <w:vAlign w:val="center"/>
            <w:hideMark/>
          </w:tcPr>
          <w:p w14:paraId="70D26EEE"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1,3</w:t>
            </w:r>
          </w:p>
        </w:tc>
      </w:tr>
      <w:tr w:rsidR="003975E5" w:rsidRPr="009A227D" w14:paraId="4226B86E" w14:textId="77777777" w:rsidTr="003975E5">
        <w:trPr>
          <w:trHeight w:val="315"/>
        </w:trPr>
        <w:tc>
          <w:tcPr>
            <w:tcW w:w="3534" w:type="dxa"/>
            <w:tcBorders>
              <w:top w:val="nil"/>
              <w:left w:val="single" w:sz="8" w:space="0" w:color="auto"/>
              <w:bottom w:val="single" w:sz="8" w:space="0" w:color="auto"/>
              <w:right w:val="single" w:sz="8" w:space="0" w:color="auto"/>
            </w:tcBorders>
            <w:shd w:val="clear" w:color="000000" w:fill="D9D9D9"/>
            <w:noWrap/>
            <w:vAlign w:val="center"/>
            <w:hideMark/>
          </w:tcPr>
          <w:p w14:paraId="049DC086" w14:textId="77777777" w:rsidR="003975E5" w:rsidRPr="009A227D" w:rsidRDefault="003975E5" w:rsidP="009A227D">
            <w:pPr>
              <w:rPr>
                <w:rFonts w:eastAsia="Times New Roman" w:cs="Calibri"/>
                <w:sz w:val="18"/>
                <w:szCs w:val="18"/>
                <w:lang w:eastAsia="fr-FR"/>
              </w:rPr>
            </w:pPr>
            <w:r w:rsidRPr="009A227D">
              <w:rPr>
                <w:rFonts w:eastAsia="Times New Roman" w:cs="Calibri"/>
                <w:sz w:val="18"/>
                <w:szCs w:val="18"/>
                <w:lang w:eastAsia="fr-FR"/>
              </w:rPr>
              <w:t>Valorisation des nouveaux emplois</w:t>
            </w:r>
          </w:p>
        </w:tc>
        <w:tc>
          <w:tcPr>
            <w:tcW w:w="1276" w:type="dxa"/>
            <w:tcBorders>
              <w:top w:val="nil"/>
              <w:left w:val="nil"/>
              <w:bottom w:val="single" w:sz="8" w:space="0" w:color="000000"/>
              <w:right w:val="single" w:sz="8" w:space="0" w:color="000000"/>
            </w:tcBorders>
            <w:shd w:val="clear" w:color="auto" w:fill="auto"/>
            <w:noWrap/>
            <w:vAlign w:val="center"/>
            <w:hideMark/>
          </w:tcPr>
          <w:p w14:paraId="32EF957E"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20,7</w:t>
            </w:r>
          </w:p>
        </w:tc>
        <w:tc>
          <w:tcPr>
            <w:tcW w:w="680" w:type="dxa"/>
            <w:tcBorders>
              <w:top w:val="nil"/>
              <w:left w:val="nil"/>
              <w:bottom w:val="single" w:sz="8" w:space="0" w:color="000000"/>
              <w:right w:val="single" w:sz="8" w:space="0" w:color="000000"/>
            </w:tcBorders>
            <w:shd w:val="clear" w:color="auto" w:fill="auto"/>
            <w:noWrap/>
            <w:vAlign w:val="center"/>
            <w:hideMark/>
          </w:tcPr>
          <w:p w14:paraId="2C46E12F"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3,8</w:t>
            </w:r>
          </w:p>
        </w:tc>
        <w:tc>
          <w:tcPr>
            <w:tcW w:w="680" w:type="dxa"/>
            <w:tcBorders>
              <w:top w:val="nil"/>
              <w:left w:val="nil"/>
              <w:bottom w:val="single" w:sz="8" w:space="0" w:color="000000"/>
              <w:right w:val="single" w:sz="8" w:space="0" w:color="000000"/>
            </w:tcBorders>
            <w:shd w:val="clear" w:color="auto" w:fill="auto"/>
            <w:noWrap/>
            <w:vAlign w:val="center"/>
            <w:hideMark/>
          </w:tcPr>
          <w:p w14:paraId="36399CD2"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1,4</w:t>
            </w:r>
          </w:p>
        </w:tc>
        <w:tc>
          <w:tcPr>
            <w:tcW w:w="680" w:type="dxa"/>
            <w:tcBorders>
              <w:top w:val="nil"/>
              <w:left w:val="nil"/>
              <w:bottom w:val="single" w:sz="8" w:space="0" w:color="000000"/>
              <w:right w:val="single" w:sz="8" w:space="0" w:color="000000"/>
            </w:tcBorders>
            <w:shd w:val="clear" w:color="auto" w:fill="auto"/>
            <w:noWrap/>
            <w:vAlign w:val="center"/>
            <w:hideMark/>
          </w:tcPr>
          <w:p w14:paraId="5B41E879"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1,0</w:t>
            </w:r>
          </w:p>
        </w:tc>
        <w:tc>
          <w:tcPr>
            <w:tcW w:w="680" w:type="dxa"/>
            <w:tcBorders>
              <w:top w:val="nil"/>
              <w:left w:val="nil"/>
              <w:bottom w:val="single" w:sz="8" w:space="0" w:color="000000"/>
              <w:right w:val="single" w:sz="8" w:space="0" w:color="000000"/>
            </w:tcBorders>
            <w:shd w:val="clear" w:color="auto" w:fill="auto"/>
            <w:noWrap/>
            <w:vAlign w:val="center"/>
            <w:hideMark/>
          </w:tcPr>
          <w:p w14:paraId="0A804F0A"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0,9</w:t>
            </w:r>
          </w:p>
        </w:tc>
        <w:tc>
          <w:tcPr>
            <w:tcW w:w="680" w:type="dxa"/>
            <w:tcBorders>
              <w:top w:val="nil"/>
              <w:left w:val="nil"/>
              <w:bottom w:val="single" w:sz="8" w:space="0" w:color="000000"/>
              <w:right w:val="single" w:sz="8" w:space="0" w:color="000000"/>
            </w:tcBorders>
            <w:shd w:val="clear" w:color="auto" w:fill="auto"/>
            <w:noWrap/>
            <w:vAlign w:val="center"/>
            <w:hideMark/>
          </w:tcPr>
          <w:p w14:paraId="7764E761"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4,2</w:t>
            </w:r>
          </w:p>
        </w:tc>
        <w:tc>
          <w:tcPr>
            <w:tcW w:w="680" w:type="dxa"/>
            <w:tcBorders>
              <w:top w:val="nil"/>
              <w:left w:val="nil"/>
              <w:bottom w:val="single" w:sz="8" w:space="0" w:color="000000"/>
              <w:right w:val="single" w:sz="8" w:space="0" w:color="000000"/>
            </w:tcBorders>
            <w:shd w:val="clear" w:color="auto" w:fill="auto"/>
            <w:noWrap/>
            <w:vAlign w:val="center"/>
            <w:hideMark/>
          </w:tcPr>
          <w:p w14:paraId="750D6FA4"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4,6</w:t>
            </w:r>
          </w:p>
        </w:tc>
        <w:tc>
          <w:tcPr>
            <w:tcW w:w="680" w:type="dxa"/>
            <w:tcBorders>
              <w:top w:val="nil"/>
              <w:left w:val="nil"/>
              <w:bottom w:val="single" w:sz="8" w:space="0" w:color="000000"/>
              <w:right w:val="single" w:sz="8" w:space="0" w:color="000000"/>
            </w:tcBorders>
            <w:shd w:val="clear" w:color="auto" w:fill="auto"/>
            <w:noWrap/>
            <w:vAlign w:val="center"/>
            <w:hideMark/>
          </w:tcPr>
          <w:p w14:paraId="1F80ED14"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2,6</w:t>
            </w:r>
          </w:p>
        </w:tc>
        <w:tc>
          <w:tcPr>
            <w:tcW w:w="680" w:type="dxa"/>
            <w:tcBorders>
              <w:top w:val="nil"/>
              <w:left w:val="nil"/>
              <w:bottom w:val="single" w:sz="8" w:space="0" w:color="000000"/>
              <w:right w:val="single" w:sz="8" w:space="0" w:color="auto"/>
            </w:tcBorders>
            <w:shd w:val="clear" w:color="auto" w:fill="auto"/>
            <w:noWrap/>
            <w:vAlign w:val="center"/>
            <w:hideMark/>
          </w:tcPr>
          <w:p w14:paraId="3013CD8A"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2,3</w:t>
            </w:r>
          </w:p>
        </w:tc>
      </w:tr>
      <w:tr w:rsidR="003975E5" w:rsidRPr="009A227D" w14:paraId="18B676DC" w14:textId="77777777" w:rsidTr="003975E5">
        <w:trPr>
          <w:trHeight w:val="315"/>
        </w:trPr>
        <w:tc>
          <w:tcPr>
            <w:tcW w:w="3534" w:type="dxa"/>
            <w:tcBorders>
              <w:top w:val="nil"/>
              <w:left w:val="single" w:sz="8" w:space="0" w:color="auto"/>
              <w:bottom w:val="single" w:sz="8" w:space="0" w:color="auto"/>
              <w:right w:val="single" w:sz="8" w:space="0" w:color="auto"/>
            </w:tcBorders>
            <w:shd w:val="clear" w:color="000000" w:fill="D9D9D9"/>
            <w:noWrap/>
            <w:vAlign w:val="center"/>
            <w:hideMark/>
          </w:tcPr>
          <w:p w14:paraId="627E2B2E" w14:textId="02736C20" w:rsidR="003975E5" w:rsidRPr="009A227D" w:rsidRDefault="003975E5" w:rsidP="009A227D">
            <w:pPr>
              <w:rPr>
                <w:rFonts w:eastAsia="Times New Roman" w:cs="Calibri"/>
                <w:sz w:val="18"/>
                <w:szCs w:val="18"/>
                <w:lang w:eastAsia="fr-FR"/>
              </w:rPr>
            </w:pPr>
            <w:r w:rsidRPr="009A227D">
              <w:rPr>
                <w:rFonts w:eastAsia="Times New Roman" w:cs="Calibri"/>
                <w:sz w:val="18"/>
                <w:szCs w:val="18"/>
                <w:lang w:eastAsia="fr-FR"/>
              </w:rPr>
              <w:t xml:space="preserve">Emplois </w:t>
            </w:r>
            <w:r w:rsidR="00720184">
              <w:rPr>
                <w:rFonts w:eastAsia="Times New Roman" w:cs="Calibri"/>
                <w:sz w:val="18"/>
                <w:szCs w:val="18"/>
                <w:lang w:eastAsia="fr-FR"/>
              </w:rPr>
              <w:t>de chantier</w:t>
            </w:r>
          </w:p>
        </w:tc>
        <w:tc>
          <w:tcPr>
            <w:tcW w:w="1276" w:type="dxa"/>
            <w:tcBorders>
              <w:top w:val="nil"/>
              <w:left w:val="nil"/>
              <w:bottom w:val="single" w:sz="8" w:space="0" w:color="000000"/>
              <w:right w:val="single" w:sz="8" w:space="0" w:color="000000"/>
            </w:tcBorders>
            <w:shd w:val="clear" w:color="auto" w:fill="auto"/>
            <w:noWrap/>
            <w:vAlign w:val="center"/>
            <w:hideMark/>
          </w:tcPr>
          <w:p w14:paraId="1D4B5EAD"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5,5</w:t>
            </w:r>
          </w:p>
        </w:tc>
        <w:tc>
          <w:tcPr>
            <w:tcW w:w="680" w:type="dxa"/>
            <w:tcBorders>
              <w:top w:val="nil"/>
              <w:left w:val="nil"/>
              <w:bottom w:val="single" w:sz="8" w:space="0" w:color="000000"/>
              <w:right w:val="single" w:sz="8" w:space="0" w:color="000000"/>
            </w:tcBorders>
            <w:shd w:val="clear" w:color="auto" w:fill="auto"/>
            <w:noWrap/>
            <w:vAlign w:val="center"/>
            <w:hideMark/>
          </w:tcPr>
          <w:p w14:paraId="6F7BD9F4"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1,3</w:t>
            </w:r>
          </w:p>
        </w:tc>
        <w:tc>
          <w:tcPr>
            <w:tcW w:w="680" w:type="dxa"/>
            <w:tcBorders>
              <w:top w:val="nil"/>
              <w:left w:val="nil"/>
              <w:bottom w:val="single" w:sz="8" w:space="0" w:color="000000"/>
              <w:right w:val="single" w:sz="8" w:space="0" w:color="000000"/>
            </w:tcBorders>
            <w:shd w:val="clear" w:color="auto" w:fill="auto"/>
            <w:noWrap/>
            <w:vAlign w:val="center"/>
            <w:hideMark/>
          </w:tcPr>
          <w:p w14:paraId="7D654DF0"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0,8</w:t>
            </w:r>
          </w:p>
        </w:tc>
        <w:tc>
          <w:tcPr>
            <w:tcW w:w="680" w:type="dxa"/>
            <w:tcBorders>
              <w:top w:val="nil"/>
              <w:left w:val="nil"/>
              <w:bottom w:val="single" w:sz="8" w:space="0" w:color="000000"/>
              <w:right w:val="single" w:sz="8" w:space="0" w:color="000000"/>
            </w:tcBorders>
            <w:shd w:val="clear" w:color="auto" w:fill="auto"/>
            <w:noWrap/>
            <w:vAlign w:val="center"/>
            <w:hideMark/>
          </w:tcPr>
          <w:p w14:paraId="326BEA66"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0,5</w:t>
            </w:r>
          </w:p>
        </w:tc>
        <w:tc>
          <w:tcPr>
            <w:tcW w:w="680" w:type="dxa"/>
            <w:tcBorders>
              <w:top w:val="nil"/>
              <w:left w:val="nil"/>
              <w:bottom w:val="single" w:sz="8" w:space="0" w:color="000000"/>
              <w:right w:val="single" w:sz="8" w:space="0" w:color="000000"/>
            </w:tcBorders>
            <w:shd w:val="clear" w:color="auto" w:fill="auto"/>
            <w:noWrap/>
            <w:vAlign w:val="center"/>
            <w:hideMark/>
          </w:tcPr>
          <w:p w14:paraId="710C086B"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0,6</w:t>
            </w:r>
          </w:p>
        </w:tc>
        <w:tc>
          <w:tcPr>
            <w:tcW w:w="680" w:type="dxa"/>
            <w:tcBorders>
              <w:top w:val="nil"/>
              <w:left w:val="nil"/>
              <w:bottom w:val="single" w:sz="8" w:space="0" w:color="000000"/>
              <w:right w:val="single" w:sz="8" w:space="0" w:color="000000"/>
            </w:tcBorders>
            <w:shd w:val="clear" w:color="auto" w:fill="auto"/>
            <w:noWrap/>
            <w:vAlign w:val="center"/>
            <w:hideMark/>
          </w:tcPr>
          <w:p w14:paraId="75ABE801"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0,6</w:t>
            </w:r>
          </w:p>
        </w:tc>
        <w:tc>
          <w:tcPr>
            <w:tcW w:w="680" w:type="dxa"/>
            <w:tcBorders>
              <w:top w:val="nil"/>
              <w:left w:val="nil"/>
              <w:bottom w:val="single" w:sz="8" w:space="0" w:color="000000"/>
              <w:right w:val="single" w:sz="8" w:space="0" w:color="000000"/>
            </w:tcBorders>
            <w:shd w:val="clear" w:color="auto" w:fill="auto"/>
            <w:noWrap/>
            <w:vAlign w:val="center"/>
            <w:hideMark/>
          </w:tcPr>
          <w:p w14:paraId="5EF0675F"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0,3</w:t>
            </w:r>
          </w:p>
        </w:tc>
        <w:tc>
          <w:tcPr>
            <w:tcW w:w="680" w:type="dxa"/>
            <w:tcBorders>
              <w:top w:val="nil"/>
              <w:left w:val="nil"/>
              <w:bottom w:val="single" w:sz="8" w:space="0" w:color="000000"/>
              <w:right w:val="single" w:sz="8" w:space="0" w:color="000000"/>
            </w:tcBorders>
            <w:shd w:val="clear" w:color="auto" w:fill="auto"/>
            <w:noWrap/>
            <w:vAlign w:val="center"/>
            <w:hideMark/>
          </w:tcPr>
          <w:p w14:paraId="47BA8ED6"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0,7</w:t>
            </w:r>
          </w:p>
        </w:tc>
        <w:tc>
          <w:tcPr>
            <w:tcW w:w="680" w:type="dxa"/>
            <w:tcBorders>
              <w:top w:val="nil"/>
              <w:left w:val="nil"/>
              <w:bottom w:val="single" w:sz="8" w:space="0" w:color="000000"/>
              <w:right w:val="single" w:sz="8" w:space="0" w:color="auto"/>
            </w:tcBorders>
            <w:shd w:val="clear" w:color="auto" w:fill="auto"/>
            <w:noWrap/>
            <w:vAlign w:val="center"/>
            <w:hideMark/>
          </w:tcPr>
          <w:p w14:paraId="5B069416"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0,7</w:t>
            </w:r>
          </w:p>
        </w:tc>
      </w:tr>
      <w:tr w:rsidR="003975E5" w:rsidRPr="009A227D" w14:paraId="22B0AAF0" w14:textId="77777777" w:rsidTr="003975E5">
        <w:trPr>
          <w:trHeight w:val="315"/>
        </w:trPr>
        <w:tc>
          <w:tcPr>
            <w:tcW w:w="3534" w:type="dxa"/>
            <w:tcBorders>
              <w:top w:val="nil"/>
              <w:left w:val="single" w:sz="8" w:space="0" w:color="auto"/>
              <w:bottom w:val="single" w:sz="8" w:space="0" w:color="000000"/>
              <w:right w:val="single" w:sz="8" w:space="0" w:color="000000"/>
            </w:tcBorders>
            <w:shd w:val="clear" w:color="000000" w:fill="BFBFBF"/>
            <w:noWrap/>
            <w:vAlign w:val="center"/>
            <w:hideMark/>
          </w:tcPr>
          <w:p w14:paraId="2AFA8D98" w14:textId="77777777" w:rsidR="003975E5" w:rsidRPr="009A227D" w:rsidRDefault="003975E5" w:rsidP="009A227D">
            <w:pPr>
              <w:rPr>
                <w:rFonts w:eastAsia="Times New Roman" w:cs="Calibri"/>
                <w:b/>
                <w:bCs/>
                <w:sz w:val="18"/>
                <w:szCs w:val="18"/>
                <w:lang w:eastAsia="fr-FR"/>
              </w:rPr>
            </w:pPr>
            <w:r w:rsidRPr="009A227D">
              <w:rPr>
                <w:rFonts w:eastAsia="Times New Roman" w:cs="Calibri"/>
                <w:b/>
                <w:bCs/>
                <w:sz w:val="18"/>
                <w:szCs w:val="18"/>
                <w:lang w:eastAsia="fr-FR"/>
              </w:rPr>
              <w:t>Total Avantages</w:t>
            </w:r>
          </w:p>
        </w:tc>
        <w:tc>
          <w:tcPr>
            <w:tcW w:w="1276" w:type="dxa"/>
            <w:tcBorders>
              <w:top w:val="nil"/>
              <w:left w:val="nil"/>
              <w:bottom w:val="single" w:sz="8" w:space="0" w:color="000000"/>
              <w:right w:val="single" w:sz="8" w:space="0" w:color="000000"/>
            </w:tcBorders>
            <w:shd w:val="clear" w:color="000000" w:fill="BFBFBF"/>
            <w:noWrap/>
            <w:vAlign w:val="center"/>
            <w:hideMark/>
          </w:tcPr>
          <w:p w14:paraId="6916D87B"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69,4</w:t>
            </w:r>
          </w:p>
        </w:tc>
        <w:tc>
          <w:tcPr>
            <w:tcW w:w="680" w:type="dxa"/>
            <w:tcBorders>
              <w:top w:val="nil"/>
              <w:left w:val="nil"/>
              <w:bottom w:val="single" w:sz="8" w:space="0" w:color="000000"/>
              <w:right w:val="single" w:sz="8" w:space="0" w:color="000000"/>
            </w:tcBorders>
            <w:shd w:val="clear" w:color="000000" w:fill="BFBFBF"/>
            <w:noWrap/>
            <w:vAlign w:val="center"/>
            <w:hideMark/>
          </w:tcPr>
          <w:p w14:paraId="2C7BE5D7"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12,8</w:t>
            </w:r>
          </w:p>
        </w:tc>
        <w:tc>
          <w:tcPr>
            <w:tcW w:w="680" w:type="dxa"/>
            <w:tcBorders>
              <w:top w:val="nil"/>
              <w:left w:val="nil"/>
              <w:bottom w:val="single" w:sz="8" w:space="0" w:color="000000"/>
              <w:right w:val="single" w:sz="8" w:space="0" w:color="000000"/>
            </w:tcBorders>
            <w:shd w:val="clear" w:color="000000" w:fill="BFBFBF"/>
            <w:noWrap/>
            <w:vAlign w:val="center"/>
            <w:hideMark/>
          </w:tcPr>
          <w:p w14:paraId="282D25F3"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7,7</w:t>
            </w:r>
          </w:p>
        </w:tc>
        <w:tc>
          <w:tcPr>
            <w:tcW w:w="680" w:type="dxa"/>
            <w:tcBorders>
              <w:top w:val="nil"/>
              <w:left w:val="nil"/>
              <w:bottom w:val="single" w:sz="8" w:space="0" w:color="000000"/>
              <w:right w:val="single" w:sz="8" w:space="0" w:color="000000"/>
            </w:tcBorders>
            <w:shd w:val="clear" w:color="000000" w:fill="BFBFBF"/>
            <w:noWrap/>
            <w:vAlign w:val="center"/>
            <w:hideMark/>
          </w:tcPr>
          <w:p w14:paraId="6715A1A2"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5,8</w:t>
            </w:r>
          </w:p>
        </w:tc>
        <w:tc>
          <w:tcPr>
            <w:tcW w:w="680" w:type="dxa"/>
            <w:tcBorders>
              <w:top w:val="nil"/>
              <w:left w:val="nil"/>
              <w:bottom w:val="single" w:sz="8" w:space="0" w:color="000000"/>
              <w:right w:val="single" w:sz="8" w:space="0" w:color="000000"/>
            </w:tcBorders>
            <w:shd w:val="clear" w:color="000000" w:fill="BFBFBF"/>
            <w:noWrap/>
            <w:vAlign w:val="center"/>
            <w:hideMark/>
          </w:tcPr>
          <w:p w14:paraId="43E6B332"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7,1</w:t>
            </w:r>
          </w:p>
        </w:tc>
        <w:tc>
          <w:tcPr>
            <w:tcW w:w="680" w:type="dxa"/>
            <w:tcBorders>
              <w:top w:val="nil"/>
              <w:left w:val="nil"/>
              <w:bottom w:val="single" w:sz="8" w:space="0" w:color="000000"/>
              <w:right w:val="single" w:sz="8" w:space="0" w:color="000000"/>
            </w:tcBorders>
            <w:shd w:val="clear" w:color="000000" w:fill="BFBFBF"/>
            <w:noWrap/>
            <w:vAlign w:val="center"/>
            <w:hideMark/>
          </w:tcPr>
          <w:p w14:paraId="04755BDC"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11,0</w:t>
            </w:r>
          </w:p>
        </w:tc>
        <w:tc>
          <w:tcPr>
            <w:tcW w:w="680" w:type="dxa"/>
            <w:tcBorders>
              <w:top w:val="nil"/>
              <w:left w:val="nil"/>
              <w:bottom w:val="single" w:sz="8" w:space="0" w:color="000000"/>
              <w:right w:val="single" w:sz="8" w:space="0" w:color="000000"/>
            </w:tcBorders>
            <w:shd w:val="clear" w:color="000000" w:fill="BFBFBF"/>
            <w:noWrap/>
            <w:vAlign w:val="center"/>
            <w:hideMark/>
          </w:tcPr>
          <w:p w14:paraId="2551C078"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9,9</w:t>
            </w:r>
          </w:p>
        </w:tc>
        <w:tc>
          <w:tcPr>
            <w:tcW w:w="680" w:type="dxa"/>
            <w:tcBorders>
              <w:top w:val="nil"/>
              <w:left w:val="nil"/>
              <w:bottom w:val="single" w:sz="8" w:space="0" w:color="000000"/>
              <w:right w:val="single" w:sz="8" w:space="0" w:color="000000"/>
            </w:tcBorders>
            <w:shd w:val="clear" w:color="000000" w:fill="BFBFBF"/>
            <w:noWrap/>
            <w:vAlign w:val="center"/>
            <w:hideMark/>
          </w:tcPr>
          <w:p w14:paraId="4C518240"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7,8</w:t>
            </w:r>
          </w:p>
        </w:tc>
        <w:tc>
          <w:tcPr>
            <w:tcW w:w="680" w:type="dxa"/>
            <w:tcBorders>
              <w:top w:val="nil"/>
              <w:left w:val="nil"/>
              <w:bottom w:val="single" w:sz="8" w:space="0" w:color="000000"/>
              <w:right w:val="single" w:sz="8" w:space="0" w:color="auto"/>
            </w:tcBorders>
            <w:shd w:val="clear" w:color="000000" w:fill="BFBFBF"/>
            <w:noWrap/>
            <w:vAlign w:val="center"/>
            <w:hideMark/>
          </w:tcPr>
          <w:p w14:paraId="6DFEB61A"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7,2</w:t>
            </w:r>
          </w:p>
        </w:tc>
      </w:tr>
      <w:tr w:rsidR="003975E5" w:rsidRPr="009A227D" w14:paraId="297C569B" w14:textId="77777777" w:rsidTr="003975E5">
        <w:trPr>
          <w:trHeight w:val="315"/>
        </w:trPr>
        <w:tc>
          <w:tcPr>
            <w:tcW w:w="3534" w:type="dxa"/>
            <w:tcBorders>
              <w:top w:val="nil"/>
              <w:left w:val="single" w:sz="8" w:space="0" w:color="auto"/>
              <w:bottom w:val="single" w:sz="8" w:space="0" w:color="000000"/>
              <w:right w:val="single" w:sz="8" w:space="0" w:color="000000"/>
            </w:tcBorders>
            <w:shd w:val="clear" w:color="000000" w:fill="D9D9D9"/>
            <w:noWrap/>
            <w:vAlign w:val="center"/>
            <w:hideMark/>
          </w:tcPr>
          <w:p w14:paraId="6E9A78B9" w14:textId="77777777" w:rsidR="003975E5" w:rsidRPr="009A227D" w:rsidRDefault="003975E5" w:rsidP="009A227D">
            <w:pPr>
              <w:rPr>
                <w:rFonts w:eastAsia="Times New Roman" w:cs="Calibri"/>
                <w:sz w:val="18"/>
                <w:szCs w:val="18"/>
                <w:lang w:eastAsia="fr-FR"/>
              </w:rPr>
            </w:pPr>
            <w:r w:rsidRPr="009A227D">
              <w:rPr>
                <w:rFonts w:eastAsia="Times New Roman" w:cs="Calibri"/>
                <w:sz w:val="18"/>
                <w:szCs w:val="18"/>
                <w:lang w:eastAsia="fr-FR"/>
              </w:rPr>
              <w:t>Exploitation Routière et taxes</w:t>
            </w:r>
          </w:p>
        </w:tc>
        <w:tc>
          <w:tcPr>
            <w:tcW w:w="1276" w:type="dxa"/>
            <w:tcBorders>
              <w:top w:val="nil"/>
              <w:left w:val="nil"/>
              <w:bottom w:val="single" w:sz="8" w:space="0" w:color="000000"/>
              <w:right w:val="single" w:sz="8" w:space="0" w:color="000000"/>
            </w:tcBorders>
            <w:shd w:val="clear" w:color="auto" w:fill="auto"/>
            <w:noWrap/>
            <w:vAlign w:val="center"/>
            <w:hideMark/>
          </w:tcPr>
          <w:p w14:paraId="3716529C"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-0,1</w:t>
            </w:r>
          </w:p>
        </w:tc>
        <w:tc>
          <w:tcPr>
            <w:tcW w:w="680" w:type="dxa"/>
            <w:tcBorders>
              <w:top w:val="nil"/>
              <w:left w:val="nil"/>
              <w:bottom w:val="single" w:sz="8" w:space="0" w:color="000000"/>
              <w:right w:val="single" w:sz="8" w:space="0" w:color="000000"/>
            </w:tcBorders>
            <w:shd w:val="clear" w:color="auto" w:fill="auto"/>
            <w:noWrap/>
            <w:vAlign w:val="center"/>
            <w:hideMark/>
          </w:tcPr>
          <w:p w14:paraId="6E6BF8D2"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0,0</w:t>
            </w:r>
          </w:p>
        </w:tc>
        <w:tc>
          <w:tcPr>
            <w:tcW w:w="680" w:type="dxa"/>
            <w:tcBorders>
              <w:top w:val="nil"/>
              <w:left w:val="nil"/>
              <w:bottom w:val="single" w:sz="8" w:space="0" w:color="000000"/>
              <w:right w:val="single" w:sz="8" w:space="0" w:color="000000"/>
            </w:tcBorders>
            <w:shd w:val="clear" w:color="auto" w:fill="auto"/>
            <w:noWrap/>
            <w:vAlign w:val="center"/>
            <w:hideMark/>
          </w:tcPr>
          <w:p w14:paraId="3F357B70"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0,0</w:t>
            </w:r>
          </w:p>
        </w:tc>
        <w:tc>
          <w:tcPr>
            <w:tcW w:w="680" w:type="dxa"/>
            <w:tcBorders>
              <w:top w:val="nil"/>
              <w:left w:val="nil"/>
              <w:bottom w:val="single" w:sz="8" w:space="0" w:color="000000"/>
              <w:right w:val="single" w:sz="8" w:space="0" w:color="000000"/>
            </w:tcBorders>
            <w:shd w:val="clear" w:color="auto" w:fill="auto"/>
            <w:noWrap/>
            <w:vAlign w:val="center"/>
            <w:hideMark/>
          </w:tcPr>
          <w:p w14:paraId="01CD47F1"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0,0</w:t>
            </w:r>
          </w:p>
        </w:tc>
        <w:tc>
          <w:tcPr>
            <w:tcW w:w="680" w:type="dxa"/>
            <w:tcBorders>
              <w:top w:val="nil"/>
              <w:left w:val="nil"/>
              <w:bottom w:val="single" w:sz="8" w:space="0" w:color="000000"/>
              <w:right w:val="single" w:sz="8" w:space="0" w:color="000000"/>
            </w:tcBorders>
            <w:shd w:val="clear" w:color="auto" w:fill="auto"/>
            <w:noWrap/>
            <w:vAlign w:val="center"/>
            <w:hideMark/>
          </w:tcPr>
          <w:p w14:paraId="3B4D8A45"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0,0</w:t>
            </w:r>
          </w:p>
        </w:tc>
        <w:tc>
          <w:tcPr>
            <w:tcW w:w="680" w:type="dxa"/>
            <w:tcBorders>
              <w:top w:val="nil"/>
              <w:left w:val="nil"/>
              <w:bottom w:val="single" w:sz="8" w:space="0" w:color="000000"/>
              <w:right w:val="single" w:sz="8" w:space="0" w:color="000000"/>
            </w:tcBorders>
            <w:shd w:val="clear" w:color="auto" w:fill="auto"/>
            <w:noWrap/>
            <w:vAlign w:val="center"/>
            <w:hideMark/>
          </w:tcPr>
          <w:p w14:paraId="28BE48DE"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-0,1</w:t>
            </w:r>
          </w:p>
        </w:tc>
        <w:tc>
          <w:tcPr>
            <w:tcW w:w="680" w:type="dxa"/>
            <w:tcBorders>
              <w:top w:val="nil"/>
              <w:left w:val="nil"/>
              <w:bottom w:val="single" w:sz="8" w:space="0" w:color="000000"/>
              <w:right w:val="single" w:sz="8" w:space="0" w:color="000000"/>
            </w:tcBorders>
            <w:shd w:val="clear" w:color="auto" w:fill="auto"/>
            <w:noWrap/>
            <w:vAlign w:val="center"/>
            <w:hideMark/>
          </w:tcPr>
          <w:p w14:paraId="26FE484A"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0,0</w:t>
            </w:r>
          </w:p>
        </w:tc>
        <w:tc>
          <w:tcPr>
            <w:tcW w:w="680" w:type="dxa"/>
            <w:tcBorders>
              <w:top w:val="nil"/>
              <w:left w:val="nil"/>
              <w:bottom w:val="single" w:sz="8" w:space="0" w:color="000000"/>
              <w:right w:val="single" w:sz="8" w:space="0" w:color="000000"/>
            </w:tcBorders>
            <w:shd w:val="clear" w:color="auto" w:fill="auto"/>
            <w:noWrap/>
            <w:vAlign w:val="center"/>
            <w:hideMark/>
          </w:tcPr>
          <w:p w14:paraId="0427F7FB"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0,0</w:t>
            </w:r>
          </w:p>
        </w:tc>
        <w:tc>
          <w:tcPr>
            <w:tcW w:w="680" w:type="dxa"/>
            <w:tcBorders>
              <w:top w:val="nil"/>
              <w:left w:val="nil"/>
              <w:bottom w:val="single" w:sz="8" w:space="0" w:color="000000"/>
              <w:right w:val="single" w:sz="8" w:space="0" w:color="auto"/>
            </w:tcBorders>
            <w:shd w:val="clear" w:color="auto" w:fill="auto"/>
            <w:noWrap/>
            <w:vAlign w:val="center"/>
            <w:hideMark/>
          </w:tcPr>
          <w:p w14:paraId="0C611B66" w14:textId="77777777"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0,0</w:t>
            </w:r>
          </w:p>
        </w:tc>
      </w:tr>
      <w:tr w:rsidR="003975E5" w:rsidRPr="009A227D" w14:paraId="132B6B3A" w14:textId="77777777" w:rsidTr="003975E5">
        <w:trPr>
          <w:trHeight w:val="315"/>
        </w:trPr>
        <w:tc>
          <w:tcPr>
            <w:tcW w:w="3534" w:type="dxa"/>
            <w:tcBorders>
              <w:top w:val="nil"/>
              <w:left w:val="single" w:sz="8" w:space="0" w:color="auto"/>
              <w:bottom w:val="single" w:sz="8" w:space="0" w:color="000000"/>
              <w:right w:val="single" w:sz="8" w:space="0" w:color="000000"/>
            </w:tcBorders>
            <w:shd w:val="clear" w:color="000000" w:fill="D9D9D9"/>
            <w:noWrap/>
            <w:vAlign w:val="center"/>
            <w:hideMark/>
          </w:tcPr>
          <w:p w14:paraId="2213487C" w14:textId="77777777" w:rsidR="003975E5" w:rsidRPr="009A227D" w:rsidRDefault="003975E5" w:rsidP="009A227D">
            <w:pPr>
              <w:rPr>
                <w:rFonts w:eastAsia="Times New Roman" w:cs="Calibri"/>
                <w:sz w:val="18"/>
                <w:szCs w:val="18"/>
                <w:lang w:eastAsia="fr-FR"/>
              </w:rPr>
            </w:pPr>
            <w:r w:rsidRPr="009A227D">
              <w:rPr>
                <w:rFonts w:eastAsia="Times New Roman" w:cs="Calibri"/>
                <w:sz w:val="18"/>
                <w:szCs w:val="18"/>
                <w:lang w:eastAsia="fr-FR"/>
              </w:rPr>
              <w:t>Coût (Invest. + Exploit) avec COFP</w:t>
            </w:r>
          </w:p>
        </w:tc>
        <w:tc>
          <w:tcPr>
            <w:tcW w:w="1276" w:type="dxa"/>
            <w:tcBorders>
              <w:top w:val="nil"/>
              <w:left w:val="nil"/>
              <w:bottom w:val="single" w:sz="8" w:space="0" w:color="000000"/>
              <w:right w:val="single" w:sz="8" w:space="0" w:color="000000"/>
            </w:tcBorders>
            <w:shd w:val="clear" w:color="auto" w:fill="auto"/>
            <w:noWrap/>
            <w:vAlign w:val="center"/>
            <w:hideMark/>
          </w:tcPr>
          <w:p w14:paraId="58D07E29" w14:textId="2107A872"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43,6</w:t>
            </w:r>
          </w:p>
        </w:tc>
        <w:tc>
          <w:tcPr>
            <w:tcW w:w="680" w:type="dxa"/>
            <w:tcBorders>
              <w:top w:val="nil"/>
              <w:left w:val="nil"/>
              <w:bottom w:val="single" w:sz="8" w:space="0" w:color="000000"/>
              <w:right w:val="single" w:sz="8" w:space="0" w:color="000000"/>
            </w:tcBorders>
            <w:shd w:val="clear" w:color="auto" w:fill="auto"/>
            <w:noWrap/>
            <w:vAlign w:val="center"/>
            <w:hideMark/>
          </w:tcPr>
          <w:p w14:paraId="5184BED0" w14:textId="3DD5E652"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10,0</w:t>
            </w:r>
          </w:p>
        </w:tc>
        <w:tc>
          <w:tcPr>
            <w:tcW w:w="680" w:type="dxa"/>
            <w:tcBorders>
              <w:top w:val="nil"/>
              <w:left w:val="nil"/>
              <w:bottom w:val="single" w:sz="8" w:space="0" w:color="000000"/>
              <w:right w:val="single" w:sz="8" w:space="0" w:color="000000"/>
            </w:tcBorders>
            <w:shd w:val="clear" w:color="auto" w:fill="auto"/>
            <w:noWrap/>
            <w:vAlign w:val="center"/>
            <w:hideMark/>
          </w:tcPr>
          <w:p w14:paraId="6C991C2F" w14:textId="51F1BE84"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6,3</w:t>
            </w:r>
          </w:p>
        </w:tc>
        <w:tc>
          <w:tcPr>
            <w:tcW w:w="680" w:type="dxa"/>
            <w:tcBorders>
              <w:top w:val="nil"/>
              <w:left w:val="nil"/>
              <w:bottom w:val="single" w:sz="8" w:space="0" w:color="000000"/>
              <w:right w:val="single" w:sz="8" w:space="0" w:color="000000"/>
            </w:tcBorders>
            <w:shd w:val="clear" w:color="auto" w:fill="auto"/>
            <w:noWrap/>
            <w:vAlign w:val="center"/>
            <w:hideMark/>
          </w:tcPr>
          <w:p w14:paraId="48DB231F" w14:textId="4226A8EB"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4,1</w:t>
            </w:r>
          </w:p>
        </w:tc>
        <w:tc>
          <w:tcPr>
            <w:tcW w:w="680" w:type="dxa"/>
            <w:tcBorders>
              <w:top w:val="nil"/>
              <w:left w:val="nil"/>
              <w:bottom w:val="single" w:sz="8" w:space="0" w:color="000000"/>
              <w:right w:val="single" w:sz="8" w:space="0" w:color="000000"/>
            </w:tcBorders>
            <w:shd w:val="clear" w:color="auto" w:fill="auto"/>
            <w:noWrap/>
            <w:vAlign w:val="center"/>
            <w:hideMark/>
          </w:tcPr>
          <w:p w14:paraId="19DF3368" w14:textId="602B067A"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4,9</w:t>
            </w:r>
          </w:p>
        </w:tc>
        <w:tc>
          <w:tcPr>
            <w:tcW w:w="680" w:type="dxa"/>
            <w:tcBorders>
              <w:top w:val="nil"/>
              <w:left w:val="nil"/>
              <w:bottom w:val="single" w:sz="8" w:space="0" w:color="000000"/>
              <w:right w:val="single" w:sz="8" w:space="0" w:color="000000"/>
            </w:tcBorders>
            <w:shd w:val="clear" w:color="auto" w:fill="auto"/>
            <w:noWrap/>
            <w:vAlign w:val="center"/>
            <w:hideMark/>
          </w:tcPr>
          <w:p w14:paraId="22C3D9C6" w14:textId="6DA45E9E"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4,5</w:t>
            </w:r>
          </w:p>
        </w:tc>
        <w:tc>
          <w:tcPr>
            <w:tcW w:w="680" w:type="dxa"/>
            <w:tcBorders>
              <w:top w:val="nil"/>
              <w:left w:val="nil"/>
              <w:bottom w:val="single" w:sz="8" w:space="0" w:color="000000"/>
              <w:right w:val="single" w:sz="8" w:space="0" w:color="000000"/>
            </w:tcBorders>
            <w:shd w:val="clear" w:color="auto" w:fill="auto"/>
            <w:noWrap/>
            <w:vAlign w:val="center"/>
            <w:hideMark/>
          </w:tcPr>
          <w:p w14:paraId="4E865539" w14:textId="55CECD9B"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2,6</w:t>
            </w:r>
          </w:p>
        </w:tc>
        <w:tc>
          <w:tcPr>
            <w:tcW w:w="680" w:type="dxa"/>
            <w:tcBorders>
              <w:top w:val="nil"/>
              <w:left w:val="nil"/>
              <w:bottom w:val="single" w:sz="8" w:space="0" w:color="000000"/>
              <w:right w:val="single" w:sz="8" w:space="0" w:color="000000"/>
            </w:tcBorders>
            <w:shd w:val="clear" w:color="auto" w:fill="auto"/>
            <w:noWrap/>
            <w:vAlign w:val="center"/>
            <w:hideMark/>
          </w:tcPr>
          <w:p w14:paraId="128052D0" w14:textId="79B29709"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5,5</w:t>
            </w:r>
          </w:p>
        </w:tc>
        <w:tc>
          <w:tcPr>
            <w:tcW w:w="680" w:type="dxa"/>
            <w:tcBorders>
              <w:top w:val="nil"/>
              <w:left w:val="nil"/>
              <w:bottom w:val="single" w:sz="8" w:space="0" w:color="000000"/>
              <w:right w:val="single" w:sz="8" w:space="0" w:color="auto"/>
            </w:tcBorders>
            <w:shd w:val="clear" w:color="auto" w:fill="auto"/>
            <w:noWrap/>
            <w:vAlign w:val="center"/>
            <w:hideMark/>
          </w:tcPr>
          <w:p w14:paraId="5FF5A6A4" w14:textId="53592B68" w:rsidR="003975E5" w:rsidRPr="009A227D" w:rsidRDefault="003975E5" w:rsidP="009A227D">
            <w:pPr>
              <w:jc w:val="center"/>
              <w:rPr>
                <w:rFonts w:ascii="Arial" w:eastAsia="Times New Roman" w:hAnsi="Arial" w:cs="Arial"/>
                <w:color w:val="00B050"/>
                <w:szCs w:val="20"/>
                <w:lang w:eastAsia="fr-FR"/>
              </w:rPr>
            </w:pPr>
            <w:r w:rsidRPr="009A227D">
              <w:rPr>
                <w:rFonts w:ascii="Arial" w:eastAsia="Times New Roman" w:hAnsi="Arial" w:cs="Arial"/>
                <w:color w:val="00B050"/>
                <w:szCs w:val="20"/>
                <w:lang w:eastAsia="fr-FR"/>
              </w:rPr>
              <w:t>5,7</w:t>
            </w:r>
          </w:p>
        </w:tc>
      </w:tr>
      <w:tr w:rsidR="003975E5" w:rsidRPr="009A227D" w14:paraId="6A75F940" w14:textId="77777777" w:rsidTr="003975E5">
        <w:trPr>
          <w:trHeight w:val="315"/>
        </w:trPr>
        <w:tc>
          <w:tcPr>
            <w:tcW w:w="3534" w:type="dxa"/>
            <w:tcBorders>
              <w:top w:val="nil"/>
              <w:left w:val="single" w:sz="8" w:space="0" w:color="auto"/>
              <w:bottom w:val="single" w:sz="8" w:space="0" w:color="auto"/>
              <w:right w:val="single" w:sz="8" w:space="0" w:color="000000"/>
            </w:tcBorders>
            <w:shd w:val="clear" w:color="000000" w:fill="BFBFBF"/>
            <w:noWrap/>
            <w:vAlign w:val="center"/>
            <w:hideMark/>
          </w:tcPr>
          <w:p w14:paraId="03BD5263" w14:textId="7D6E3602" w:rsidR="003975E5" w:rsidRPr="009A227D" w:rsidRDefault="003975E5" w:rsidP="009A227D">
            <w:pPr>
              <w:rPr>
                <w:rFonts w:eastAsia="Times New Roman" w:cs="Calibri"/>
                <w:b/>
                <w:bCs/>
                <w:sz w:val="18"/>
                <w:szCs w:val="18"/>
                <w:lang w:eastAsia="fr-FR"/>
              </w:rPr>
            </w:pPr>
            <w:r w:rsidRPr="009A227D">
              <w:rPr>
                <w:rFonts w:eastAsia="Times New Roman" w:cs="Calibri"/>
                <w:b/>
                <w:bCs/>
                <w:sz w:val="18"/>
                <w:szCs w:val="18"/>
                <w:lang w:eastAsia="fr-FR"/>
              </w:rPr>
              <w:t>VAN</w:t>
            </w:r>
          </w:p>
        </w:tc>
        <w:tc>
          <w:tcPr>
            <w:tcW w:w="1276" w:type="dxa"/>
            <w:tcBorders>
              <w:top w:val="nil"/>
              <w:left w:val="nil"/>
              <w:bottom w:val="single" w:sz="8" w:space="0" w:color="auto"/>
              <w:right w:val="single" w:sz="8" w:space="0" w:color="000000"/>
            </w:tcBorders>
            <w:shd w:val="clear" w:color="000000" w:fill="BFBFBF"/>
            <w:noWrap/>
            <w:vAlign w:val="center"/>
            <w:hideMark/>
          </w:tcPr>
          <w:p w14:paraId="110E49EE"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25,6</w:t>
            </w:r>
          </w:p>
        </w:tc>
        <w:tc>
          <w:tcPr>
            <w:tcW w:w="680" w:type="dxa"/>
            <w:tcBorders>
              <w:top w:val="nil"/>
              <w:left w:val="nil"/>
              <w:bottom w:val="single" w:sz="8" w:space="0" w:color="auto"/>
              <w:right w:val="single" w:sz="8" w:space="0" w:color="000000"/>
            </w:tcBorders>
            <w:shd w:val="clear" w:color="000000" w:fill="BFBFBF"/>
            <w:noWrap/>
            <w:vAlign w:val="center"/>
            <w:hideMark/>
          </w:tcPr>
          <w:p w14:paraId="6C36D825"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2,8</w:t>
            </w:r>
          </w:p>
        </w:tc>
        <w:tc>
          <w:tcPr>
            <w:tcW w:w="680" w:type="dxa"/>
            <w:tcBorders>
              <w:top w:val="nil"/>
              <w:left w:val="nil"/>
              <w:bottom w:val="single" w:sz="8" w:space="0" w:color="auto"/>
              <w:right w:val="single" w:sz="8" w:space="0" w:color="000000"/>
            </w:tcBorders>
            <w:shd w:val="clear" w:color="000000" w:fill="BFBFBF"/>
            <w:noWrap/>
            <w:vAlign w:val="center"/>
            <w:hideMark/>
          </w:tcPr>
          <w:p w14:paraId="0F0EF57C"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1,4</w:t>
            </w:r>
          </w:p>
        </w:tc>
        <w:tc>
          <w:tcPr>
            <w:tcW w:w="680" w:type="dxa"/>
            <w:tcBorders>
              <w:top w:val="nil"/>
              <w:left w:val="nil"/>
              <w:bottom w:val="single" w:sz="8" w:space="0" w:color="auto"/>
              <w:right w:val="single" w:sz="8" w:space="0" w:color="000000"/>
            </w:tcBorders>
            <w:shd w:val="clear" w:color="000000" w:fill="BFBFBF"/>
            <w:noWrap/>
            <w:vAlign w:val="center"/>
            <w:hideMark/>
          </w:tcPr>
          <w:p w14:paraId="4BEC5B35"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1,8</w:t>
            </w:r>
          </w:p>
        </w:tc>
        <w:tc>
          <w:tcPr>
            <w:tcW w:w="680" w:type="dxa"/>
            <w:tcBorders>
              <w:top w:val="nil"/>
              <w:left w:val="nil"/>
              <w:bottom w:val="single" w:sz="8" w:space="0" w:color="auto"/>
              <w:right w:val="single" w:sz="8" w:space="0" w:color="000000"/>
            </w:tcBorders>
            <w:shd w:val="clear" w:color="000000" w:fill="BFBFBF"/>
            <w:noWrap/>
            <w:vAlign w:val="center"/>
            <w:hideMark/>
          </w:tcPr>
          <w:p w14:paraId="4573CCD5"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2,2</w:t>
            </w:r>
          </w:p>
        </w:tc>
        <w:tc>
          <w:tcPr>
            <w:tcW w:w="680" w:type="dxa"/>
            <w:tcBorders>
              <w:top w:val="nil"/>
              <w:left w:val="nil"/>
              <w:bottom w:val="single" w:sz="8" w:space="0" w:color="auto"/>
              <w:right w:val="single" w:sz="8" w:space="0" w:color="000000"/>
            </w:tcBorders>
            <w:shd w:val="clear" w:color="000000" w:fill="BFBFBF"/>
            <w:noWrap/>
            <w:vAlign w:val="center"/>
            <w:hideMark/>
          </w:tcPr>
          <w:p w14:paraId="0685D349"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6,4</w:t>
            </w:r>
          </w:p>
        </w:tc>
        <w:tc>
          <w:tcPr>
            <w:tcW w:w="680" w:type="dxa"/>
            <w:tcBorders>
              <w:top w:val="nil"/>
              <w:left w:val="nil"/>
              <w:bottom w:val="single" w:sz="8" w:space="0" w:color="auto"/>
              <w:right w:val="single" w:sz="8" w:space="0" w:color="000000"/>
            </w:tcBorders>
            <w:shd w:val="clear" w:color="000000" w:fill="BFBFBF"/>
            <w:noWrap/>
            <w:vAlign w:val="center"/>
            <w:hideMark/>
          </w:tcPr>
          <w:p w14:paraId="57074B12"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7,2</w:t>
            </w:r>
          </w:p>
        </w:tc>
        <w:tc>
          <w:tcPr>
            <w:tcW w:w="680" w:type="dxa"/>
            <w:tcBorders>
              <w:top w:val="nil"/>
              <w:left w:val="nil"/>
              <w:bottom w:val="single" w:sz="8" w:space="0" w:color="auto"/>
              <w:right w:val="single" w:sz="8" w:space="0" w:color="000000"/>
            </w:tcBorders>
            <w:shd w:val="clear" w:color="000000" w:fill="BFBFBF"/>
            <w:noWrap/>
            <w:vAlign w:val="center"/>
            <w:hideMark/>
          </w:tcPr>
          <w:p w14:paraId="4DD7CA2E"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2,3</w:t>
            </w:r>
          </w:p>
        </w:tc>
        <w:tc>
          <w:tcPr>
            <w:tcW w:w="680" w:type="dxa"/>
            <w:tcBorders>
              <w:top w:val="nil"/>
              <w:left w:val="nil"/>
              <w:bottom w:val="single" w:sz="8" w:space="0" w:color="auto"/>
              <w:right w:val="single" w:sz="8" w:space="0" w:color="auto"/>
            </w:tcBorders>
            <w:shd w:val="clear" w:color="000000" w:fill="BFBFBF"/>
            <w:noWrap/>
            <w:vAlign w:val="center"/>
            <w:hideMark/>
          </w:tcPr>
          <w:p w14:paraId="6A741BFA" w14:textId="77777777" w:rsidR="003975E5" w:rsidRPr="009A227D" w:rsidRDefault="003975E5" w:rsidP="009A227D">
            <w:pPr>
              <w:jc w:val="center"/>
              <w:rPr>
                <w:rFonts w:ascii="Arial" w:eastAsia="Times New Roman" w:hAnsi="Arial" w:cs="Arial"/>
                <w:b/>
                <w:bCs/>
                <w:color w:val="00B050"/>
                <w:szCs w:val="20"/>
                <w:lang w:eastAsia="fr-FR"/>
              </w:rPr>
            </w:pPr>
            <w:r w:rsidRPr="009A227D">
              <w:rPr>
                <w:rFonts w:ascii="Arial" w:eastAsia="Times New Roman" w:hAnsi="Arial" w:cs="Arial"/>
                <w:b/>
                <w:bCs/>
                <w:color w:val="00B050"/>
                <w:szCs w:val="20"/>
                <w:lang w:eastAsia="fr-FR"/>
              </w:rPr>
              <w:t>1,5</w:t>
            </w:r>
          </w:p>
        </w:tc>
      </w:tr>
    </w:tbl>
    <w:p w14:paraId="2E529ADA" w14:textId="320B710B" w:rsidR="009A227D" w:rsidRDefault="009A227D" w:rsidP="00A40082">
      <w:pPr>
        <w:keepNext/>
        <w:jc w:val="both"/>
        <w:rPr>
          <w:szCs w:val="20"/>
          <w:lang w:eastAsia="fr-FR"/>
        </w:rPr>
      </w:pPr>
    </w:p>
    <w:p w14:paraId="60D88444" w14:textId="69140447" w:rsidR="00A40082" w:rsidRDefault="00A40082">
      <w:bookmarkStart w:id="167" w:name="_Toc46917084"/>
      <w:r>
        <w:br w:type="page"/>
      </w:r>
    </w:p>
    <w:tbl>
      <w:tblPr>
        <w:tblStyle w:val="Grilledutableau"/>
        <w:tblW w:w="0" w:type="auto"/>
        <w:tblLook w:val="04A0" w:firstRow="1" w:lastRow="0" w:firstColumn="1" w:lastColumn="0" w:noHBand="0" w:noVBand="1"/>
      </w:tblPr>
      <w:tblGrid>
        <w:gridCol w:w="10127"/>
      </w:tblGrid>
      <w:tr w:rsidR="00140417" w14:paraId="6E1CC69A" w14:textId="77777777" w:rsidTr="00140417">
        <w:tc>
          <w:tcPr>
            <w:tcW w:w="10127" w:type="dxa"/>
          </w:tcPr>
          <w:p w14:paraId="6653B5C8" w14:textId="545916E3" w:rsidR="00140417" w:rsidRPr="00304C03" w:rsidRDefault="00140417" w:rsidP="00140417">
            <w:pPr>
              <w:rPr>
                <w:rFonts w:eastAsia="Times New Roman"/>
                <w:b/>
                <w:bCs/>
                <w:color w:val="00B050"/>
                <w:szCs w:val="20"/>
              </w:rPr>
            </w:pPr>
            <w:r w:rsidRPr="00304C03">
              <w:rPr>
                <w:rFonts w:eastAsia="Times New Roman"/>
                <w:b/>
                <w:bCs/>
                <w:color w:val="00B050"/>
                <w:szCs w:val="20"/>
              </w:rPr>
              <w:lastRenderedPageBreak/>
              <w:t xml:space="preserve">Avis du Secrétariat général pour l’investissement </w:t>
            </w:r>
          </w:p>
          <w:p w14:paraId="5DA5ADC1" w14:textId="77777777" w:rsidR="00DC3E7F" w:rsidRDefault="00DC3E7F" w:rsidP="00140417">
            <w:pPr>
              <w:rPr>
                <w:rFonts w:eastAsia="Times New Roman"/>
                <w:color w:val="00B050"/>
                <w:szCs w:val="20"/>
              </w:rPr>
            </w:pPr>
          </w:p>
          <w:p w14:paraId="6ECD6856" w14:textId="77777777" w:rsidR="00462944" w:rsidRPr="00462944" w:rsidRDefault="00462944" w:rsidP="00462944">
            <w:pPr>
              <w:pStyle w:val="NormalCE"/>
              <w:spacing w:before="0" w:after="0"/>
              <w:rPr>
                <w:rFonts w:asciiTheme="minorHAnsi" w:hAnsiTheme="minorHAnsi"/>
                <w:color w:val="00B050"/>
              </w:rPr>
            </w:pPr>
            <w:r w:rsidRPr="00462944">
              <w:rPr>
                <w:color w:val="00B050"/>
              </w:rPr>
              <w:t xml:space="preserve">Le dossier d’évaluation socio-économique soumis à la contre-expertise décrit le projet de construction de la ligne 18 du Grand Paris Express constitué de trois grands tronçons partant d’Orly pour rejoindre Versailles-Chantiers. L’ambition principale de cette ligne, qui concerne trois départements, est de desservir le cluster scientifique et technologique de Saclay en cours de constitution. </w:t>
            </w:r>
          </w:p>
          <w:p w14:paraId="5928AF57" w14:textId="77777777" w:rsidR="00462944" w:rsidRPr="00462944" w:rsidRDefault="00462944" w:rsidP="00462944">
            <w:pPr>
              <w:pStyle w:val="NormalCE"/>
              <w:spacing w:before="0" w:after="0"/>
              <w:rPr>
                <w:color w:val="00B050"/>
              </w:rPr>
            </w:pPr>
            <w:r w:rsidRPr="00462944">
              <w:rPr>
                <w:color w:val="00B050"/>
              </w:rPr>
              <w:t xml:space="preserve">Le projet de la ligne 18, qui a déjà fait l’objet d’une déclaration d’utilité publique le 28 mars 2017, modifiée le 14 janvier 2021 à la suite de modifications substantielles apportées sur sa partie Est, doit à nouveau faire l’objet d’une enquête publique préalable à une déclaration d’utilité publique modificative en raison des changements apportés sur son tronçon Ouest. </w:t>
            </w:r>
          </w:p>
          <w:p w14:paraId="08DB7F71" w14:textId="77777777" w:rsidR="00462944" w:rsidRPr="00462944" w:rsidRDefault="00462944" w:rsidP="00462944">
            <w:pPr>
              <w:pStyle w:val="NormalCE"/>
              <w:spacing w:before="0" w:after="0"/>
              <w:rPr>
                <w:color w:val="00B050"/>
              </w:rPr>
            </w:pPr>
            <w:r w:rsidRPr="00462944">
              <w:rPr>
                <w:color w:val="00B050"/>
              </w:rPr>
              <w:t xml:space="preserve">Le dossier d’évaluation socio-économique, qui intègre notamment des modifications de tracé ainsi qu’un passage au sol d’une section initialement prévue en viaduc et le déplacement de la Gare de Saint Quentin, reste très proche du précédent dossier contre-expertisé il y a un an. Il intègre des ajustements sur les trafics et les principaux bénéfices évalués sur l’ensemble du GPE. </w:t>
            </w:r>
          </w:p>
          <w:p w14:paraId="67B4B591" w14:textId="77777777" w:rsidR="00462944" w:rsidRPr="00462944" w:rsidRDefault="00462944" w:rsidP="00462944">
            <w:pPr>
              <w:pStyle w:val="NormalCE"/>
              <w:spacing w:before="0" w:after="0"/>
              <w:rPr>
                <w:color w:val="00B050"/>
              </w:rPr>
            </w:pPr>
            <w:r w:rsidRPr="00462944">
              <w:rPr>
                <w:color w:val="00B050"/>
              </w:rPr>
              <w:t xml:space="preserve">Ce dossier fait un réel effort de pédagogie mais n’est pas résolument construit pour objectiver l’impact sur le bilan du projet des seules modifications apportés au projet, ce qui ne facilite pas l’analyse différentielle. Les modifications apportées au bilan global du projet dans le dossier résultent essentiellement de la révision des trafics et non des modifications apportées au projet qui sont celles qui motivent la demande de DUP modificative. L’analyse précise du coût de ces modifications (même si les montants en cause restent marginaux par rapport à l’ensemble du coût du projet) n’est pas intégrée dans l’évaluation socio-économique. </w:t>
            </w:r>
          </w:p>
          <w:p w14:paraId="1AA65944" w14:textId="77777777" w:rsidR="00462944" w:rsidRPr="00462944" w:rsidRDefault="00462944" w:rsidP="00462944">
            <w:pPr>
              <w:pStyle w:val="NormalCE"/>
              <w:spacing w:before="0" w:after="0"/>
              <w:rPr>
                <w:color w:val="00B050"/>
              </w:rPr>
            </w:pPr>
            <w:r w:rsidRPr="00462944">
              <w:rPr>
                <w:color w:val="00B050"/>
              </w:rPr>
              <w:t>La nouvelle contre-expertise s’est attachée à l’impact des principales modifications apportées au projet sans reprendre l’ensemble du dossier, ce dernier ayant déjà fait l’objet d’une contre-expertise et d’un avis du SGPI en 2020.</w:t>
            </w:r>
          </w:p>
          <w:p w14:paraId="7ABB3428" w14:textId="77777777" w:rsidR="00462944" w:rsidRPr="00462944" w:rsidRDefault="00462944" w:rsidP="00462944">
            <w:pPr>
              <w:pStyle w:val="NormalCE"/>
              <w:spacing w:before="0" w:after="0"/>
              <w:rPr>
                <w:color w:val="00B050"/>
              </w:rPr>
            </w:pPr>
            <w:r w:rsidRPr="00462944">
              <w:rPr>
                <w:color w:val="00B050"/>
              </w:rPr>
              <w:t xml:space="preserve">Les experts considèrent avoir rendu un avis éclairé et impartial sur la base de ce dossier, complété par les réponses apportées par la SGP. Pour sa part, le SGPI considère qu’au vu de la qualité des experts et de leur implication dans la contre-expertise, le rapport de contre-expertise complète utilement le dossier d’évaluation socio-économique proposé et que l’ensemble constitue un dossier solide pour éclairer la décision. </w:t>
            </w:r>
          </w:p>
          <w:p w14:paraId="1812E659" w14:textId="77777777" w:rsidR="00056CC1" w:rsidRDefault="00056CC1" w:rsidP="00462944">
            <w:pPr>
              <w:pStyle w:val="NormalCE"/>
              <w:spacing w:before="0" w:after="0"/>
              <w:rPr>
                <w:color w:val="00B050"/>
              </w:rPr>
            </w:pPr>
          </w:p>
          <w:p w14:paraId="7ACCD40B" w14:textId="40C67212" w:rsidR="00462944" w:rsidRPr="00462944" w:rsidRDefault="00462944" w:rsidP="00462944">
            <w:pPr>
              <w:pStyle w:val="NormalCE"/>
              <w:spacing w:before="0" w:after="0"/>
              <w:rPr>
                <w:color w:val="00B050"/>
              </w:rPr>
            </w:pPr>
            <w:r w:rsidRPr="00462944">
              <w:rPr>
                <w:color w:val="00B050"/>
              </w:rPr>
              <w:t xml:space="preserve">Les modifications apportées au projet, comme la baisse annoncée du coût du projet qui reste marginale au regard du coût de l’ensemble du projet, ne remettent pas en cause les conclusions du SGPI lors de la précédente contre-expertise qui confirmait l’intérêt public que représente la réalisation de cette ligne. </w:t>
            </w:r>
          </w:p>
          <w:p w14:paraId="1EEFB165" w14:textId="77777777" w:rsidR="00462944" w:rsidRPr="00462944" w:rsidRDefault="00462944" w:rsidP="00462944">
            <w:pPr>
              <w:pStyle w:val="NormalCE"/>
              <w:spacing w:before="0" w:after="0"/>
              <w:rPr>
                <w:color w:val="00B050"/>
              </w:rPr>
            </w:pPr>
            <w:r w:rsidRPr="00462944">
              <w:rPr>
                <w:color w:val="00B050"/>
              </w:rPr>
              <w:t>Le SGPI valide le fait que le bilan environnemental relatif notamment aux modifications apportées au Viaduc est globalement neutre et que la volonté de mutualiser la réalisation de ce tronçon avec les travaux engagés sur le réseau routier adjacent constitue un bon moyen de renforcer ce bilan positif.</w:t>
            </w:r>
          </w:p>
          <w:p w14:paraId="6C752BDB" w14:textId="77777777" w:rsidR="00462944" w:rsidRPr="00462944" w:rsidRDefault="00462944" w:rsidP="00462944">
            <w:pPr>
              <w:pStyle w:val="NormalCE"/>
              <w:spacing w:before="0" w:after="0"/>
              <w:rPr>
                <w:color w:val="00B050"/>
              </w:rPr>
            </w:pPr>
            <w:r w:rsidRPr="00462944">
              <w:rPr>
                <w:color w:val="00B050"/>
              </w:rPr>
              <w:t xml:space="preserve">Sur le secteur de Saint Quentin, la contre-expertise a pu mettre en avant de manière qualitative que les modifications apportées à la localisation et à la conception de la gare offraient de très nombreux avantages tant sur le plan des facilités pour les voyageurs de la gare que pour l’intégration du projet dans une vaste transformation du paysage urbain. Le SGPI ne peut que soutenir les décisions qui permettront de renforcer toutes les opérations de rabattement sur la gare depuis des territoires qui trouveront, si cette accessibilité est renforcée, un réel moyen d’accéder au GPE. Ce point suppose notamment de soigner tout particulièrement l’intermodalité dans ce périmètre. Ces éléments sont clairement mis en avant par l’aménageur, mais n’ont pas été intégrés dans l’analyse socio-économique alors qu’ils sont susceptibles de renforcer l’utilité du projet. </w:t>
            </w:r>
          </w:p>
          <w:p w14:paraId="4520176F" w14:textId="77777777" w:rsidR="00056CC1" w:rsidRDefault="00056CC1" w:rsidP="00462944">
            <w:pPr>
              <w:pStyle w:val="NormalCE"/>
              <w:shd w:val="clear" w:color="auto" w:fill="FFFFFF" w:themeFill="background1"/>
              <w:spacing w:before="0" w:after="0"/>
              <w:rPr>
                <w:color w:val="00B050"/>
              </w:rPr>
            </w:pPr>
          </w:p>
          <w:p w14:paraId="66206B4A" w14:textId="281B9496" w:rsidR="00462944" w:rsidRPr="00462944" w:rsidRDefault="00462944" w:rsidP="00462944">
            <w:pPr>
              <w:pStyle w:val="NormalCE"/>
              <w:shd w:val="clear" w:color="auto" w:fill="FFFFFF" w:themeFill="background1"/>
              <w:spacing w:before="0" w:after="0"/>
              <w:rPr>
                <w:color w:val="00B050"/>
              </w:rPr>
            </w:pPr>
            <w:r w:rsidRPr="00462944">
              <w:rPr>
                <w:color w:val="00B050"/>
              </w:rPr>
              <w:t>Le SGPI rappelle que la portion Ouest de cette ligne est sans doute celle dont le bilan est le plus fragile et qu’il est donc d’autant plus important, la décision ayant été prise de la réaliser, de renforcer tous les éléments susceptibles de favoriser son intégration sur les territoires. Les politiques urbaines sur cette partie du tronçon joueront un rôle essentiel dans la réussite globale du projet.</w:t>
            </w:r>
          </w:p>
          <w:p w14:paraId="04C0E41B" w14:textId="77777777" w:rsidR="00462944" w:rsidRPr="00462944" w:rsidRDefault="00462944" w:rsidP="00462944">
            <w:pPr>
              <w:pStyle w:val="NormalCE"/>
              <w:shd w:val="clear" w:color="auto" w:fill="FFFFFF" w:themeFill="background1"/>
              <w:spacing w:before="0" w:after="0"/>
              <w:rPr>
                <w:color w:val="00B050"/>
              </w:rPr>
            </w:pPr>
            <w:r w:rsidRPr="00462944">
              <w:rPr>
                <w:color w:val="00B050"/>
              </w:rPr>
              <w:t xml:space="preserve">Elles devront également anticiper les impacts de la pandémie sur les comportements de mobilité des personnes et de localisation des activités. Par ailleurs, les incertitudes sur les délais de réalisation de la ligne, si elles venaient à se renforcer, sont susceptibles de pénaliser fortement la dynamique portée par l’ensemble de ces territoires et d’impacter significativement le bilan de la ligne. </w:t>
            </w:r>
          </w:p>
          <w:p w14:paraId="54AD2719" w14:textId="77777777" w:rsidR="00056CC1" w:rsidRDefault="00056CC1" w:rsidP="00462944">
            <w:pPr>
              <w:pStyle w:val="NormalCE"/>
              <w:shd w:val="clear" w:color="auto" w:fill="FFFFFF" w:themeFill="background1"/>
              <w:spacing w:before="0" w:after="0"/>
              <w:rPr>
                <w:rFonts w:cstheme="minorHAnsi"/>
                <w:color w:val="00B050"/>
              </w:rPr>
            </w:pPr>
          </w:p>
          <w:p w14:paraId="76FB9AB3" w14:textId="264C3580" w:rsidR="00462944" w:rsidRPr="00462944" w:rsidRDefault="00462944" w:rsidP="00462944">
            <w:pPr>
              <w:pStyle w:val="NormalCE"/>
              <w:shd w:val="clear" w:color="auto" w:fill="FFFFFF" w:themeFill="background1"/>
              <w:spacing w:before="0" w:after="0"/>
              <w:rPr>
                <w:rFonts w:cstheme="minorHAnsi"/>
                <w:b/>
                <w:color w:val="00B050"/>
              </w:rPr>
            </w:pPr>
            <w:r w:rsidRPr="00462944">
              <w:rPr>
                <w:rFonts w:cstheme="minorHAnsi"/>
                <w:color w:val="00B050"/>
              </w:rPr>
              <w:t xml:space="preserve">Au final, </w:t>
            </w:r>
            <w:r w:rsidRPr="00462944">
              <w:rPr>
                <w:rFonts w:cstheme="minorHAnsi"/>
                <w:b/>
                <w:color w:val="00B050"/>
              </w:rPr>
              <w:t xml:space="preserve">l’avis du SGPI, </w:t>
            </w:r>
            <w:r w:rsidRPr="00462944">
              <w:rPr>
                <w:rFonts w:cstheme="minorHAnsi"/>
                <w:color w:val="00B050"/>
              </w:rPr>
              <w:t>prenant acte de la précédente déclaration d’utilité publique,</w:t>
            </w:r>
            <w:r w:rsidRPr="00462944">
              <w:rPr>
                <w:rFonts w:cstheme="minorHAnsi"/>
                <w:b/>
                <w:color w:val="00B050"/>
              </w:rPr>
              <w:t xml:space="preserve"> est favorable aux modifications qui sont proposées à la partie ouest du projet qui améliore sensiblement le bilan du projet. </w:t>
            </w:r>
          </w:p>
          <w:p w14:paraId="53B0CD72" w14:textId="77777777" w:rsidR="00056CC1" w:rsidRDefault="00056CC1" w:rsidP="00462944">
            <w:pPr>
              <w:pStyle w:val="NormalCE"/>
              <w:spacing w:before="0" w:after="0"/>
              <w:rPr>
                <w:color w:val="00B050"/>
              </w:rPr>
            </w:pPr>
          </w:p>
          <w:p w14:paraId="2D6ABC64" w14:textId="11C1D263" w:rsidR="00462944" w:rsidRPr="00462944" w:rsidRDefault="00462944" w:rsidP="00462944">
            <w:pPr>
              <w:pStyle w:val="NormalCE"/>
              <w:spacing w:before="0" w:after="0"/>
              <w:rPr>
                <w:color w:val="00B050"/>
              </w:rPr>
            </w:pPr>
            <w:r w:rsidRPr="00462944">
              <w:rPr>
                <w:color w:val="00B050"/>
              </w:rPr>
              <w:t>Il fait les recommandations suivantes :</w:t>
            </w:r>
            <w:r w:rsidRPr="00462944">
              <w:rPr>
                <w:rFonts w:ascii="Cambria" w:hAnsi="Cambria"/>
                <w:b/>
                <w:color w:val="00B050"/>
              </w:rPr>
              <w:t xml:space="preserve"> </w:t>
            </w:r>
          </w:p>
          <w:p w14:paraId="72CA0970" w14:textId="77777777" w:rsidR="00462944" w:rsidRPr="00462944" w:rsidRDefault="00462944" w:rsidP="00462944">
            <w:pPr>
              <w:pStyle w:val="AvisListe"/>
              <w:spacing w:before="0" w:after="0"/>
              <w:rPr>
                <w:color w:val="00B050"/>
              </w:rPr>
            </w:pPr>
            <w:r w:rsidRPr="00462944">
              <w:rPr>
                <w:color w:val="00B050"/>
              </w:rPr>
              <w:t xml:space="preserve">renforcer la pièce H, dans la mesure du possible, en distinguant dans les modifications des chiffrages du bilan de l’opération soumise à débat celles qui relèvent des modifications du projet, de celles qui relèvent des réévaluations des simulations de trafics et des modifications apportées sur les règles d’allocation des gains totaux attribués au GPE ; </w:t>
            </w:r>
          </w:p>
          <w:p w14:paraId="4BD907F8" w14:textId="77777777" w:rsidR="00462944" w:rsidRPr="00462944" w:rsidRDefault="00462944" w:rsidP="00462944">
            <w:pPr>
              <w:pStyle w:val="AvisListe"/>
              <w:spacing w:before="0" w:after="0"/>
              <w:rPr>
                <w:color w:val="00B050"/>
              </w:rPr>
            </w:pPr>
            <w:bookmarkStart w:id="168" w:name="_Hlk69891884"/>
            <w:r w:rsidRPr="00462944">
              <w:rPr>
                <w:color w:val="00B050"/>
              </w:rPr>
              <w:t>exposer de manière plus précise dans le dossier les conditions à remplir pour favoriser la meilleure intégration possible de la gare de Saint Quentin dans le développement urbain majeur qui s’engage : notamment sur tout ce qui peut favoriser l’intermodalité entre ce pôle et l’ensemble des réseaux de transports du territoire. Ces éléments qui impliquent de nombreux acteurs participeront à renforcer les trafics sur la ligne 18 là où ils sont sans doute les plus incertains ;</w:t>
            </w:r>
          </w:p>
          <w:bookmarkEnd w:id="168"/>
          <w:p w14:paraId="60139FB7" w14:textId="77777777" w:rsidR="00462944" w:rsidRPr="00462944" w:rsidRDefault="00462944" w:rsidP="00462944">
            <w:pPr>
              <w:pStyle w:val="AvisListe"/>
              <w:spacing w:before="0" w:after="0"/>
              <w:rPr>
                <w:color w:val="00B050"/>
              </w:rPr>
            </w:pPr>
            <w:r w:rsidRPr="00462944">
              <w:rPr>
                <w:color w:val="00B050"/>
              </w:rPr>
              <w:t>expliciter dans le dossier, en attente de résultats d’études plus approfondies, les différentes conséquences que pourraient avoir les changements de comportement en termes de mobilité et de localisation des activités suite à la pandémie ;</w:t>
            </w:r>
          </w:p>
          <w:p w14:paraId="6BE31B86" w14:textId="77777777" w:rsidR="00462944" w:rsidRPr="00462944" w:rsidRDefault="00462944" w:rsidP="00462944">
            <w:pPr>
              <w:pStyle w:val="AvisListe"/>
              <w:spacing w:before="0" w:after="0"/>
              <w:rPr>
                <w:rFonts w:eastAsiaTheme="minorEastAsia" w:cstheme="minorBidi"/>
                <w:color w:val="00B050"/>
              </w:rPr>
            </w:pPr>
            <w:r w:rsidRPr="00462944">
              <w:rPr>
                <w:color w:val="00B050"/>
              </w:rPr>
              <w:t>veiller à suivre plus particulièrement les transformations et les impacts de la ligne 18 sur les territoires situés autour de la future gare de Saint Quentin.</w:t>
            </w:r>
          </w:p>
          <w:p w14:paraId="034918E2" w14:textId="77777777" w:rsidR="00056CC1" w:rsidRDefault="00056CC1" w:rsidP="00462944">
            <w:pPr>
              <w:pStyle w:val="NormalCE"/>
              <w:spacing w:before="0" w:after="0"/>
              <w:rPr>
                <w:color w:val="00B050"/>
              </w:rPr>
            </w:pPr>
          </w:p>
          <w:p w14:paraId="02A3E10A" w14:textId="6FA76135" w:rsidR="00462944" w:rsidRPr="00462944" w:rsidRDefault="00462944" w:rsidP="00462944">
            <w:pPr>
              <w:pStyle w:val="NormalCE"/>
              <w:spacing w:before="0" w:after="0"/>
              <w:rPr>
                <w:color w:val="00B050"/>
              </w:rPr>
            </w:pPr>
            <w:r w:rsidRPr="00462944">
              <w:rPr>
                <w:color w:val="00B050"/>
              </w:rPr>
              <w:t xml:space="preserve">Ensuite, le SGPI prend acte, à nouveau, des difficultés et des controverses qui peuvent se développer sur la réalité des trafics anticipés dans de tels investissements qui participent à des projets de développements territoriaux de grande taille. Considérant que ces sujets sont récurrents, et qu’ils ont un impact très significatif sur les résultats, il recommande : </w:t>
            </w:r>
          </w:p>
          <w:p w14:paraId="63FCEBC3" w14:textId="77777777" w:rsidR="00462944" w:rsidRPr="00462944" w:rsidRDefault="00462944" w:rsidP="00462944">
            <w:pPr>
              <w:pStyle w:val="AvisListe"/>
              <w:spacing w:before="0" w:after="0"/>
              <w:rPr>
                <w:color w:val="00B050"/>
              </w:rPr>
            </w:pPr>
            <w:r w:rsidRPr="00462944">
              <w:rPr>
                <w:color w:val="00B050"/>
              </w:rPr>
              <w:t>qu’un travail de rapprochement soit engagé pour mieux assurer le dialogue entre les différents modèles qui existent aujourd’hui pour apprécier les trafics et auxquels l’État a recours ;</w:t>
            </w:r>
          </w:p>
          <w:p w14:paraId="78ED7B58" w14:textId="77777777" w:rsidR="00462944" w:rsidRPr="00462944" w:rsidRDefault="00462944" w:rsidP="00462944">
            <w:pPr>
              <w:pStyle w:val="AvisListe"/>
              <w:spacing w:before="0" w:after="0"/>
              <w:rPr>
                <w:color w:val="00B050"/>
              </w:rPr>
            </w:pPr>
            <w:r w:rsidRPr="00462944">
              <w:rPr>
                <w:color w:val="00B050"/>
              </w:rPr>
              <w:t>qu’un cadre soit plus précisément défini et proposé comme référentiel sur la manière de traiter dans les évaluations l’ensemble des effets dits non conventionnels ;</w:t>
            </w:r>
          </w:p>
          <w:p w14:paraId="49A1D834" w14:textId="77777777" w:rsidR="00462944" w:rsidRPr="00462944" w:rsidRDefault="00462944" w:rsidP="00462944">
            <w:pPr>
              <w:pStyle w:val="AvisListe"/>
              <w:numPr>
                <w:ilvl w:val="0"/>
                <w:numId w:val="0"/>
              </w:numPr>
              <w:spacing w:before="0" w:after="0"/>
              <w:rPr>
                <w:color w:val="00B050"/>
              </w:rPr>
            </w:pPr>
          </w:p>
          <w:p w14:paraId="60F018D5" w14:textId="77777777" w:rsidR="00462944" w:rsidRPr="00462944" w:rsidRDefault="00462944" w:rsidP="00462944">
            <w:pPr>
              <w:pStyle w:val="AvisListe"/>
              <w:numPr>
                <w:ilvl w:val="0"/>
                <w:numId w:val="0"/>
              </w:numPr>
              <w:spacing w:before="0" w:after="0"/>
              <w:rPr>
                <w:color w:val="00B050"/>
              </w:rPr>
            </w:pPr>
            <w:r w:rsidRPr="00462944">
              <w:rPr>
                <w:color w:val="00B050"/>
              </w:rPr>
              <w:t>Par ailleurs, les travaux de cette contre-expertise ont été l’occasion de revenir à nouveau sur la question méthodologique posée par la manière de valoriser correctement la contribution d’une grande infrastructure à la décarbonation de l’économie. La méthode discutée à l’occasion de ce travail pourrait être utilement reprise et validée pour de nombreux projets qui se heurtent au même défi.</w:t>
            </w:r>
          </w:p>
          <w:p w14:paraId="2DBE06EF" w14:textId="3E2D66CC" w:rsidR="00140417" w:rsidRPr="00140417" w:rsidRDefault="00140417" w:rsidP="00140417">
            <w:pPr>
              <w:rPr>
                <w:rFonts w:eastAsia="Times New Roman"/>
                <w:b/>
                <w:bCs/>
                <w:sz w:val="24"/>
              </w:rPr>
            </w:pPr>
          </w:p>
        </w:tc>
      </w:tr>
    </w:tbl>
    <w:p w14:paraId="3FF502F1" w14:textId="58690138" w:rsidR="00140417" w:rsidRDefault="00140417">
      <w:pPr>
        <w:rPr>
          <w:rFonts w:eastAsia="Times New Roman"/>
          <w:b/>
          <w:bCs/>
          <w:color w:val="414B46"/>
          <w:sz w:val="24"/>
        </w:rPr>
      </w:pPr>
    </w:p>
    <w:p w14:paraId="4F60B196" w14:textId="77777777" w:rsidR="00140417" w:rsidRDefault="00140417">
      <w:pPr>
        <w:rPr>
          <w:rFonts w:eastAsia="Times New Roman"/>
          <w:b/>
          <w:bCs/>
          <w:color w:val="414B46"/>
          <w:sz w:val="24"/>
        </w:rPr>
      </w:pPr>
      <w:r>
        <w:rPr>
          <w:rFonts w:eastAsia="Times New Roman"/>
          <w:b/>
          <w:bCs/>
          <w:color w:val="414B46"/>
          <w:sz w:val="24"/>
        </w:rPr>
        <w:br w:type="page"/>
      </w:r>
    </w:p>
    <w:p w14:paraId="72AB9B8F" w14:textId="64425C37" w:rsidR="00150A72" w:rsidRPr="00140449" w:rsidRDefault="00E818B3" w:rsidP="00412C10">
      <w:pPr>
        <w:pStyle w:val="Titre3"/>
        <w:numPr>
          <w:ilvl w:val="3"/>
          <w:numId w:val="33"/>
        </w:numPr>
      </w:pPr>
      <w:bookmarkStart w:id="169" w:name="_Toc63352156"/>
      <w:r w:rsidRPr="00140449">
        <w:lastRenderedPageBreak/>
        <w:t>C</w:t>
      </w:r>
      <w:r w:rsidR="00150A72" w:rsidRPr="00140449">
        <w:t>onclusions générales de l’évaluation de l’incidence socio-économique du réseau Grand Paris Express</w:t>
      </w:r>
      <w:bookmarkEnd w:id="167"/>
      <w:bookmarkEnd w:id="169"/>
    </w:p>
    <w:p w14:paraId="3C7BB6DC" w14:textId="77777777" w:rsidR="00150A72" w:rsidRPr="00150A72" w:rsidRDefault="00150A72" w:rsidP="00150A72">
      <w:pPr>
        <w:jc w:val="both"/>
        <w:rPr>
          <w:szCs w:val="20"/>
        </w:rPr>
      </w:pPr>
    </w:p>
    <w:p w14:paraId="5C5B4007" w14:textId="11CE3888" w:rsidR="00390410" w:rsidRDefault="00150A72" w:rsidP="00150A72">
      <w:pPr>
        <w:jc w:val="both"/>
        <w:rPr>
          <w:rFonts w:eastAsia="Calibri" w:cs="Cambria"/>
          <w:szCs w:val="20"/>
          <w:lang w:eastAsia="ar-SA"/>
        </w:rPr>
      </w:pPr>
      <w:r w:rsidRPr="00150A72">
        <w:rPr>
          <w:szCs w:val="20"/>
        </w:rPr>
        <w:t xml:space="preserve">La mise en service du réseau Grand Paris Express aura à l’évidence un impact considérable sur le fonctionnement du service public des transports en commun dans la région et sur l’amélioration des conditions quotidiennes des usagers.  En période de conjoncture basse, la réalisation du réseau du Grand Paris est un </w:t>
      </w:r>
      <w:r w:rsidRPr="00150A72">
        <w:rPr>
          <w:b/>
          <w:szCs w:val="20"/>
        </w:rPr>
        <w:t xml:space="preserve">puissant instrument </w:t>
      </w:r>
      <w:r w:rsidR="00A15478" w:rsidRPr="00150A72">
        <w:rPr>
          <w:b/>
          <w:szCs w:val="20"/>
        </w:rPr>
        <w:t>contra</w:t>
      </w:r>
      <w:r w:rsidR="00A15478" w:rsidRPr="00CD1DD8">
        <w:rPr>
          <w:b/>
          <w:szCs w:val="20"/>
        </w:rPr>
        <w:t>cyclique</w:t>
      </w:r>
      <w:r w:rsidRPr="00CD1DD8">
        <w:rPr>
          <w:szCs w:val="20"/>
        </w:rPr>
        <w:t xml:space="preserve"> </w:t>
      </w:r>
      <w:r w:rsidRPr="00150A72">
        <w:rPr>
          <w:szCs w:val="20"/>
        </w:rPr>
        <w:t xml:space="preserve">qui s’inscrit dans un objectif d’égalité des territoires et qui favorise l’atteinte des objectifs de croissance souhaités par les pouvoirs publics. Elle aura un effet très important sur les créations d’emplois dans la région dès que la première phase de la réalisation des travaux sera engagée. </w:t>
      </w:r>
      <w:r w:rsidRPr="00150A72">
        <w:rPr>
          <w:rFonts w:eastAsia="Calibri" w:cs="Cambria"/>
          <w:szCs w:val="20"/>
          <w:lang w:eastAsia="ar-SA"/>
        </w:rPr>
        <w:t xml:space="preserve">Les effets économiques au sens large sont considérables. </w:t>
      </w:r>
    </w:p>
    <w:p w14:paraId="33B4ABD4" w14:textId="77777777" w:rsidR="00390410" w:rsidRDefault="00390410" w:rsidP="00150A72">
      <w:pPr>
        <w:jc w:val="both"/>
        <w:rPr>
          <w:rFonts w:eastAsia="Calibri" w:cs="Cambria"/>
          <w:szCs w:val="20"/>
          <w:lang w:eastAsia="ar-SA"/>
        </w:rPr>
      </w:pPr>
    </w:p>
    <w:p w14:paraId="660A517B" w14:textId="1852D269" w:rsidR="003975E5" w:rsidRDefault="00150A72" w:rsidP="00150A72">
      <w:pPr>
        <w:jc w:val="both"/>
        <w:rPr>
          <w:rFonts w:eastAsia="Calibri" w:cs="Cambria"/>
          <w:szCs w:val="20"/>
          <w:lang w:eastAsia="ar-SA"/>
        </w:rPr>
      </w:pPr>
      <w:r w:rsidRPr="00150A72">
        <w:rPr>
          <w:rFonts w:eastAsia="Calibri" w:cs="Cambria"/>
          <w:szCs w:val="20"/>
          <w:lang w:eastAsia="ar-SA"/>
        </w:rPr>
        <w:t>Les différentes variantes étudiées accréditent bien la robustesse de l’analyse du projet dans le dossier</w:t>
      </w:r>
      <w:r w:rsidR="00AD14B4">
        <w:rPr>
          <w:rFonts w:eastAsia="Calibri" w:cs="Cambria"/>
          <w:szCs w:val="20"/>
          <w:lang w:eastAsia="ar-SA"/>
        </w:rPr>
        <w:t>.</w:t>
      </w:r>
      <w:r w:rsidRPr="00150A72">
        <w:rPr>
          <w:rFonts w:eastAsia="Calibri" w:cs="Cambria"/>
          <w:szCs w:val="20"/>
          <w:lang w:eastAsia="ar-SA"/>
        </w:rPr>
        <w:t xml:space="preserve"> </w:t>
      </w:r>
    </w:p>
    <w:p w14:paraId="565127BE" w14:textId="77777777" w:rsidR="003975E5" w:rsidRPr="00150A72" w:rsidRDefault="003975E5" w:rsidP="00150A72">
      <w:pPr>
        <w:jc w:val="both"/>
        <w:rPr>
          <w:rFonts w:eastAsia="Calibri" w:cs="Cambria"/>
          <w:szCs w:val="20"/>
          <w:lang w:eastAsia="ar-SA"/>
        </w:rPr>
      </w:pPr>
      <w:r>
        <w:rPr>
          <w:rFonts w:eastAsia="Calibri" w:cs="Cambria"/>
          <w:szCs w:val="20"/>
          <w:lang w:eastAsia="ar-SA"/>
        </w:rPr>
        <w:tab/>
        <w:t xml:space="preserve">   </w:t>
      </w:r>
    </w:p>
    <w:tbl>
      <w:tblPr>
        <w:tblW w:w="7371" w:type="dxa"/>
        <w:tblInd w:w="983" w:type="dxa"/>
        <w:tblCellMar>
          <w:left w:w="70" w:type="dxa"/>
          <w:right w:w="70" w:type="dxa"/>
        </w:tblCellMar>
        <w:tblLook w:val="04A0" w:firstRow="1" w:lastRow="0" w:firstColumn="1" w:lastColumn="0" w:noHBand="0" w:noVBand="1"/>
      </w:tblPr>
      <w:tblGrid>
        <w:gridCol w:w="4252"/>
        <w:gridCol w:w="1701"/>
        <w:gridCol w:w="1418"/>
      </w:tblGrid>
      <w:tr w:rsidR="003975E5" w:rsidRPr="003975E5" w14:paraId="09CF4B7B" w14:textId="77777777" w:rsidTr="003975E5">
        <w:trPr>
          <w:trHeight w:val="20"/>
        </w:trPr>
        <w:tc>
          <w:tcPr>
            <w:tcW w:w="4252"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026E8223" w14:textId="169267EC" w:rsidR="003975E5" w:rsidRPr="003975E5" w:rsidRDefault="003975E5" w:rsidP="003975E5">
            <w:pPr>
              <w:jc w:val="both"/>
              <w:rPr>
                <w:rFonts w:eastAsia="Times New Roman" w:cs="Calibri"/>
                <w:color w:val="000000"/>
                <w:szCs w:val="20"/>
                <w:lang w:eastAsia="fr-FR"/>
              </w:rPr>
            </w:pPr>
            <w:r w:rsidRPr="003975E5">
              <w:rPr>
                <w:rFonts w:eastAsia="Times New Roman" w:cs="Calibri"/>
                <w:color w:val="000000"/>
                <w:szCs w:val="20"/>
                <w:lang w:eastAsia="fr-FR"/>
              </w:rPr>
              <w:t xml:space="preserve">Variantes </w:t>
            </w:r>
          </w:p>
        </w:tc>
        <w:tc>
          <w:tcPr>
            <w:tcW w:w="1701" w:type="dxa"/>
            <w:tcBorders>
              <w:top w:val="single" w:sz="8" w:space="0" w:color="auto"/>
              <w:left w:val="single" w:sz="8" w:space="0" w:color="auto"/>
              <w:bottom w:val="single" w:sz="8" w:space="0" w:color="000000"/>
              <w:right w:val="single" w:sz="8" w:space="0" w:color="auto"/>
            </w:tcBorders>
            <w:shd w:val="clear" w:color="000000" w:fill="FFFFFF"/>
            <w:vAlign w:val="center"/>
            <w:hideMark/>
          </w:tcPr>
          <w:p w14:paraId="64833195" w14:textId="77777777" w:rsidR="003975E5" w:rsidRPr="003975E5" w:rsidRDefault="003975E5" w:rsidP="003975E5">
            <w:pPr>
              <w:jc w:val="center"/>
              <w:rPr>
                <w:rFonts w:eastAsia="Times New Roman" w:cs="Calibri"/>
                <w:color w:val="000000"/>
                <w:szCs w:val="20"/>
                <w:lang w:eastAsia="fr-FR"/>
              </w:rPr>
            </w:pPr>
            <w:r w:rsidRPr="003975E5">
              <w:rPr>
                <w:rFonts w:eastAsia="Times New Roman" w:cs="Calibri"/>
                <w:color w:val="000000"/>
                <w:szCs w:val="20"/>
                <w:lang w:eastAsia="fr-FR"/>
              </w:rPr>
              <w:t>Avantages M€ 2015</w:t>
            </w:r>
          </w:p>
        </w:tc>
        <w:tc>
          <w:tcPr>
            <w:tcW w:w="1418" w:type="dxa"/>
            <w:tcBorders>
              <w:top w:val="single" w:sz="8" w:space="0" w:color="auto"/>
              <w:left w:val="nil"/>
              <w:right w:val="single" w:sz="8" w:space="0" w:color="auto"/>
            </w:tcBorders>
            <w:shd w:val="clear" w:color="000000" w:fill="FFFFFF"/>
            <w:vAlign w:val="center"/>
            <w:hideMark/>
          </w:tcPr>
          <w:p w14:paraId="030A71E8" w14:textId="77777777" w:rsidR="003975E5" w:rsidRPr="003975E5" w:rsidRDefault="003975E5" w:rsidP="003975E5">
            <w:pPr>
              <w:jc w:val="center"/>
              <w:rPr>
                <w:rFonts w:eastAsia="Times New Roman" w:cs="Calibri"/>
                <w:color w:val="000000"/>
                <w:szCs w:val="20"/>
                <w:lang w:eastAsia="fr-FR"/>
              </w:rPr>
            </w:pPr>
            <w:r w:rsidRPr="003975E5">
              <w:rPr>
                <w:rFonts w:eastAsia="Times New Roman" w:cs="Calibri"/>
                <w:color w:val="000000"/>
                <w:szCs w:val="20"/>
                <w:lang w:eastAsia="fr-FR"/>
              </w:rPr>
              <w:t>VAN</w:t>
            </w:r>
          </w:p>
          <w:p w14:paraId="18121C2B" w14:textId="42C09192" w:rsidR="003975E5" w:rsidRPr="003975E5" w:rsidRDefault="003975E5" w:rsidP="003975E5">
            <w:pPr>
              <w:jc w:val="center"/>
              <w:rPr>
                <w:rFonts w:eastAsia="Times New Roman" w:cs="Calibri"/>
                <w:color w:val="000000"/>
                <w:szCs w:val="20"/>
                <w:lang w:eastAsia="fr-FR"/>
              </w:rPr>
            </w:pPr>
            <w:r w:rsidRPr="003975E5">
              <w:rPr>
                <w:rFonts w:eastAsia="Times New Roman" w:cs="Calibri"/>
                <w:color w:val="000000"/>
                <w:szCs w:val="20"/>
                <w:lang w:eastAsia="fr-FR"/>
              </w:rPr>
              <w:t>M€ 2015</w:t>
            </w:r>
          </w:p>
        </w:tc>
      </w:tr>
      <w:tr w:rsidR="003975E5" w:rsidRPr="003975E5" w14:paraId="3F2290F6" w14:textId="77777777" w:rsidTr="003975E5">
        <w:trPr>
          <w:trHeight w:val="20"/>
        </w:trPr>
        <w:tc>
          <w:tcPr>
            <w:tcW w:w="4252" w:type="dxa"/>
            <w:vMerge/>
            <w:tcBorders>
              <w:top w:val="single" w:sz="8" w:space="0" w:color="auto"/>
              <w:left w:val="single" w:sz="8" w:space="0" w:color="auto"/>
              <w:bottom w:val="single" w:sz="8" w:space="0" w:color="000000"/>
              <w:right w:val="single" w:sz="8" w:space="0" w:color="auto"/>
            </w:tcBorders>
            <w:vAlign w:val="center"/>
            <w:hideMark/>
          </w:tcPr>
          <w:p w14:paraId="506D9EF2" w14:textId="77777777" w:rsidR="003975E5" w:rsidRPr="003975E5" w:rsidRDefault="003975E5" w:rsidP="003975E5">
            <w:pPr>
              <w:rPr>
                <w:rFonts w:eastAsia="Times New Roman" w:cs="Calibri"/>
                <w:color w:val="000000"/>
                <w:szCs w:val="20"/>
                <w:lang w:eastAsia="fr-FR"/>
              </w:rPr>
            </w:pPr>
          </w:p>
        </w:tc>
        <w:tc>
          <w:tcPr>
            <w:tcW w:w="3119" w:type="dxa"/>
            <w:gridSpan w:val="2"/>
            <w:tcBorders>
              <w:top w:val="single" w:sz="8" w:space="0" w:color="auto"/>
              <w:left w:val="nil"/>
              <w:bottom w:val="single" w:sz="8" w:space="0" w:color="auto"/>
              <w:right w:val="single" w:sz="8" w:space="0" w:color="000000"/>
            </w:tcBorders>
            <w:shd w:val="clear" w:color="000000" w:fill="FFFFFF"/>
            <w:vAlign w:val="center"/>
            <w:hideMark/>
          </w:tcPr>
          <w:p w14:paraId="18779883" w14:textId="77777777" w:rsidR="003975E5" w:rsidRPr="003975E5" w:rsidRDefault="003975E5" w:rsidP="003975E5">
            <w:pPr>
              <w:jc w:val="center"/>
              <w:rPr>
                <w:rFonts w:eastAsia="Times New Roman" w:cs="Calibri"/>
                <w:i/>
                <w:iCs/>
                <w:color w:val="000000"/>
                <w:szCs w:val="20"/>
                <w:lang w:eastAsia="fr-FR"/>
              </w:rPr>
            </w:pPr>
            <w:r w:rsidRPr="003975E5">
              <w:rPr>
                <w:rFonts w:eastAsia="Times New Roman" w:cs="Calibri"/>
                <w:i/>
                <w:iCs/>
                <w:color w:val="000000"/>
                <w:szCs w:val="20"/>
                <w:lang w:eastAsia="fr-FR"/>
              </w:rPr>
              <w:t>Avec COFP</w:t>
            </w:r>
          </w:p>
        </w:tc>
      </w:tr>
      <w:tr w:rsidR="003975E5" w:rsidRPr="003975E5" w14:paraId="2D970FC4" w14:textId="77777777" w:rsidTr="003975E5">
        <w:trPr>
          <w:trHeight w:val="20"/>
        </w:trPr>
        <w:tc>
          <w:tcPr>
            <w:tcW w:w="4252" w:type="dxa"/>
            <w:tcBorders>
              <w:top w:val="nil"/>
              <w:left w:val="single" w:sz="8" w:space="0" w:color="auto"/>
              <w:bottom w:val="single" w:sz="8" w:space="0" w:color="auto"/>
              <w:right w:val="single" w:sz="8" w:space="0" w:color="auto"/>
            </w:tcBorders>
            <w:shd w:val="clear" w:color="000000" w:fill="FFFFFF"/>
            <w:vAlign w:val="center"/>
            <w:hideMark/>
          </w:tcPr>
          <w:p w14:paraId="2C201020" w14:textId="77777777" w:rsidR="003975E5" w:rsidRPr="003975E5" w:rsidRDefault="003975E5" w:rsidP="003975E5">
            <w:pPr>
              <w:jc w:val="both"/>
              <w:rPr>
                <w:rFonts w:eastAsia="Times New Roman" w:cs="Calibri"/>
                <w:color w:val="931638"/>
                <w:szCs w:val="20"/>
                <w:lang w:eastAsia="fr-FR"/>
              </w:rPr>
            </w:pPr>
            <w:r w:rsidRPr="003975E5">
              <w:rPr>
                <w:rFonts w:eastAsia="Times New Roman" w:cs="Calibri"/>
                <w:color w:val="931638"/>
                <w:szCs w:val="20"/>
                <w:lang w:eastAsia="fr-FR"/>
              </w:rPr>
              <w:t xml:space="preserve">Option basse </w:t>
            </w:r>
          </w:p>
        </w:tc>
        <w:tc>
          <w:tcPr>
            <w:tcW w:w="1701" w:type="dxa"/>
            <w:tcBorders>
              <w:top w:val="nil"/>
              <w:left w:val="nil"/>
              <w:bottom w:val="single" w:sz="8" w:space="0" w:color="auto"/>
              <w:right w:val="single" w:sz="8" w:space="0" w:color="auto"/>
            </w:tcBorders>
            <w:shd w:val="clear" w:color="000000" w:fill="FFFFFF"/>
            <w:vAlign w:val="center"/>
            <w:hideMark/>
          </w:tcPr>
          <w:p w14:paraId="65175E89"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69,37</w:t>
            </w:r>
          </w:p>
        </w:tc>
        <w:tc>
          <w:tcPr>
            <w:tcW w:w="1418" w:type="dxa"/>
            <w:tcBorders>
              <w:top w:val="nil"/>
              <w:left w:val="nil"/>
              <w:bottom w:val="single" w:sz="8" w:space="0" w:color="auto"/>
              <w:right w:val="single" w:sz="8" w:space="0" w:color="auto"/>
            </w:tcBorders>
            <w:shd w:val="clear" w:color="000000" w:fill="FFFFFF"/>
            <w:vAlign w:val="center"/>
            <w:hideMark/>
          </w:tcPr>
          <w:p w14:paraId="4C928F7A"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25,64</w:t>
            </w:r>
          </w:p>
        </w:tc>
      </w:tr>
      <w:tr w:rsidR="003975E5" w:rsidRPr="003975E5" w14:paraId="5693819A" w14:textId="77777777" w:rsidTr="003975E5">
        <w:trPr>
          <w:trHeight w:val="20"/>
        </w:trPr>
        <w:tc>
          <w:tcPr>
            <w:tcW w:w="4252" w:type="dxa"/>
            <w:tcBorders>
              <w:top w:val="nil"/>
              <w:left w:val="single" w:sz="8" w:space="0" w:color="auto"/>
              <w:bottom w:val="single" w:sz="8" w:space="0" w:color="auto"/>
              <w:right w:val="single" w:sz="8" w:space="0" w:color="auto"/>
            </w:tcBorders>
            <w:shd w:val="clear" w:color="000000" w:fill="FFFFFF"/>
            <w:vAlign w:val="center"/>
            <w:hideMark/>
          </w:tcPr>
          <w:p w14:paraId="1744A0E1" w14:textId="77777777" w:rsidR="003975E5" w:rsidRPr="003975E5" w:rsidRDefault="003975E5" w:rsidP="003975E5">
            <w:pPr>
              <w:jc w:val="both"/>
              <w:rPr>
                <w:rFonts w:eastAsia="Times New Roman" w:cs="Calibri"/>
                <w:color w:val="931638"/>
                <w:szCs w:val="20"/>
                <w:lang w:eastAsia="fr-FR"/>
              </w:rPr>
            </w:pPr>
            <w:r w:rsidRPr="003975E5">
              <w:rPr>
                <w:rFonts w:eastAsia="Times New Roman" w:cs="Calibri"/>
                <w:color w:val="931638"/>
                <w:szCs w:val="20"/>
                <w:lang w:eastAsia="fr-FR"/>
              </w:rPr>
              <w:t>Option 0</w:t>
            </w:r>
          </w:p>
        </w:tc>
        <w:tc>
          <w:tcPr>
            <w:tcW w:w="1701" w:type="dxa"/>
            <w:tcBorders>
              <w:top w:val="nil"/>
              <w:left w:val="nil"/>
              <w:bottom w:val="single" w:sz="8" w:space="0" w:color="auto"/>
              <w:right w:val="single" w:sz="8" w:space="0" w:color="auto"/>
            </w:tcBorders>
            <w:shd w:val="clear" w:color="000000" w:fill="FFFFFF"/>
            <w:vAlign w:val="center"/>
            <w:hideMark/>
          </w:tcPr>
          <w:p w14:paraId="3EDCA6F0"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39,07</w:t>
            </w:r>
          </w:p>
        </w:tc>
        <w:tc>
          <w:tcPr>
            <w:tcW w:w="1418" w:type="dxa"/>
            <w:tcBorders>
              <w:top w:val="nil"/>
              <w:left w:val="nil"/>
              <w:bottom w:val="single" w:sz="8" w:space="0" w:color="auto"/>
              <w:right w:val="single" w:sz="8" w:space="0" w:color="auto"/>
            </w:tcBorders>
            <w:shd w:val="clear" w:color="000000" w:fill="FFFFFF"/>
            <w:vAlign w:val="center"/>
            <w:hideMark/>
          </w:tcPr>
          <w:p w14:paraId="31FD1ECE"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-4,73</w:t>
            </w:r>
          </w:p>
        </w:tc>
      </w:tr>
      <w:tr w:rsidR="003975E5" w:rsidRPr="003975E5" w14:paraId="0C0CE9B7" w14:textId="77777777" w:rsidTr="003975E5">
        <w:trPr>
          <w:trHeight w:val="20"/>
        </w:trPr>
        <w:tc>
          <w:tcPr>
            <w:tcW w:w="4252" w:type="dxa"/>
            <w:tcBorders>
              <w:top w:val="nil"/>
              <w:left w:val="single" w:sz="8" w:space="0" w:color="auto"/>
              <w:bottom w:val="single" w:sz="8" w:space="0" w:color="auto"/>
              <w:right w:val="single" w:sz="8" w:space="0" w:color="auto"/>
            </w:tcBorders>
            <w:shd w:val="clear" w:color="000000" w:fill="FFFFFF"/>
            <w:vAlign w:val="center"/>
            <w:hideMark/>
          </w:tcPr>
          <w:p w14:paraId="73DFD6B2" w14:textId="77777777" w:rsidR="003975E5" w:rsidRPr="003975E5" w:rsidRDefault="003975E5" w:rsidP="003975E5">
            <w:pPr>
              <w:jc w:val="both"/>
              <w:rPr>
                <w:rFonts w:eastAsia="Times New Roman" w:cs="Calibri"/>
                <w:color w:val="931638"/>
                <w:szCs w:val="20"/>
                <w:lang w:eastAsia="fr-FR"/>
              </w:rPr>
            </w:pPr>
            <w:r w:rsidRPr="003975E5">
              <w:rPr>
                <w:rFonts w:eastAsia="Times New Roman" w:cs="Calibri"/>
                <w:color w:val="931638"/>
                <w:szCs w:val="20"/>
                <w:lang w:eastAsia="fr-FR"/>
              </w:rPr>
              <w:t xml:space="preserve">Option haute </w:t>
            </w:r>
          </w:p>
        </w:tc>
        <w:tc>
          <w:tcPr>
            <w:tcW w:w="1701" w:type="dxa"/>
            <w:tcBorders>
              <w:top w:val="nil"/>
              <w:left w:val="nil"/>
              <w:bottom w:val="single" w:sz="8" w:space="0" w:color="auto"/>
              <w:right w:val="single" w:sz="8" w:space="0" w:color="auto"/>
            </w:tcBorders>
            <w:shd w:val="clear" w:color="000000" w:fill="FFFFFF"/>
            <w:vAlign w:val="center"/>
            <w:hideMark/>
          </w:tcPr>
          <w:p w14:paraId="6D3C5E20"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120,18</w:t>
            </w:r>
          </w:p>
        </w:tc>
        <w:tc>
          <w:tcPr>
            <w:tcW w:w="1418" w:type="dxa"/>
            <w:tcBorders>
              <w:top w:val="nil"/>
              <w:left w:val="nil"/>
              <w:bottom w:val="single" w:sz="8" w:space="0" w:color="auto"/>
              <w:right w:val="single" w:sz="8" w:space="0" w:color="auto"/>
            </w:tcBorders>
            <w:shd w:val="clear" w:color="000000" w:fill="FFFFFF"/>
            <w:vAlign w:val="center"/>
            <w:hideMark/>
          </w:tcPr>
          <w:p w14:paraId="3FF3EE62"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76,16</w:t>
            </w:r>
          </w:p>
        </w:tc>
      </w:tr>
      <w:tr w:rsidR="003975E5" w:rsidRPr="003975E5" w14:paraId="6E2357F1" w14:textId="77777777" w:rsidTr="003975E5">
        <w:trPr>
          <w:trHeight w:val="20"/>
        </w:trPr>
        <w:tc>
          <w:tcPr>
            <w:tcW w:w="4252" w:type="dxa"/>
            <w:tcBorders>
              <w:top w:val="nil"/>
              <w:left w:val="single" w:sz="8" w:space="0" w:color="auto"/>
              <w:bottom w:val="single" w:sz="8" w:space="0" w:color="auto"/>
              <w:right w:val="single" w:sz="8" w:space="0" w:color="auto"/>
            </w:tcBorders>
            <w:shd w:val="clear" w:color="000000" w:fill="FFFFFF"/>
            <w:vAlign w:val="center"/>
            <w:hideMark/>
          </w:tcPr>
          <w:p w14:paraId="666EC93A" w14:textId="77777777" w:rsidR="003975E5" w:rsidRPr="003975E5" w:rsidRDefault="003975E5" w:rsidP="003975E5">
            <w:pPr>
              <w:jc w:val="both"/>
              <w:rPr>
                <w:rFonts w:eastAsia="Times New Roman" w:cs="Calibri"/>
                <w:color w:val="931638"/>
                <w:szCs w:val="20"/>
                <w:lang w:eastAsia="fr-FR"/>
              </w:rPr>
            </w:pPr>
            <w:r w:rsidRPr="003975E5">
              <w:rPr>
                <w:rFonts w:eastAsia="Times New Roman" w:cs="Calibri"/>
                <w:color w:val="931638"/>
                <w:szCs w:val="20"/>
                <w:lang w:eastAsia="fr-FR"/>
              </w:rPr>
              <w:t>Croissance PIB 0,5%</w:t>
            </w:r>
          </w:p>
        </w:tc>
        <w:tc>
          <w:tcPr>
            <w:tcW w:w="1701" w:type="dxa"/>
            <w:tcBorders>
              <w:top w:val="nil"/>
              <w:left w:val="nil"/>
              <w:bottom w:val="single" w:sz="8" w:space="0" w:color="auto"/>
              <w:right w:val="single" w:sz="8" w:space="0" w:color="auto"/>
            </w:tcBorders>
            <w:shd w:val="clear" w:color="000000" w:fill="FFFFFF"/>
            <w:vAlign w:val="center"/>
            <w:hideMark/>
          </w:tcPr>
          <w:p w14:paraId="432A954E"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58,97</w:t>
            </w:r>
          </w:p>
        </w:tc>
        <w:tc>
          <w:tcPr>
            <w:tcW w:w="1418" w:type="dxa"/>
            <w:tcBorders>
              <w:top w:val="nil"/>
              <w:left w:val="nil"/>
              <w:bottom w:val="single" w:sz="8" w:space="0" w:color="auto"/>
              <w:right w:val="single" w:sz="8" w:space="0" w:color="auto"/>
            </w:tcBorders>
            <w:shd w:val="clear" w:color="000000" w:fill="FFFFFF"/>
            <w:vAlign w:val="center"/>
            <w:hideMark/>
          </w:tcPr>
          <w:p w14:paraId="53AEA601"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15,19</w:t>
            </w:r>
          </w:p>
        </w:tc>
      </w:tr>
      <w:tr w:rsidR="003975E5" w:rsidRPr="003975E5" w14:paraId="5DCB711E" w14:textId="77777777" w:rsidTr="003975E5">
        <w:trPr>
          <w:trHeight w:val="20"/>
        </w:trPr>
        <w:tc>
          <w:tcPr>
            <w:tcW w:w="4252" w:type="dxa"/>
            <w:tcBorders>
              <w:top w:val="nil"/>
              <w:left w:val="single" w:sz="8" w:space="0" w:color="auto"/>
              <w:bottom w:val="single" w:sz="8" w:space="0" w:color="auto"/>
              <w:right w:val="single" w:sz="8" w:space="0" w:color="auto"/>
            </w:tcBorders>
            <w:shd w:val="clear" w:color="000000" w:fill="FFFFFF"/>
            <w:vAlign w:val="center"/>
            <w:hideMark/>
          </w:tcPr>
          <w:p w14:paraId="5CF1A1C0" w14:textId="77777777" w:rsidR="003975E5" w:rsidRPr="003975E5" w:rsidRDefault="003975E5" w:rsidP="003975E5">
            <w:pPr>
              <w:jc w:val="both"/>
              <w:rPr>
                <w:rFonts w:eastAsia="Times New Roman" w:cs="Calibri"/>
                <w:color w:val="931638"/>
                <w:szCs w:val="20"/>
                <w:lang w:eastAsia="fr-FR"/>
              </w:rPr>
            </w:pPr>
            <w:r w:rsidRPr="003975E5">
              <w:rPr>
                <w:rFonts w:eastAsia="Times New Roman" w:cs="Calibri"/>
                <w:color w:val="931638"/>
                <w:szCs w:val="20"/>
                <w:lang w:eastAsia="fr-FR"/>
              </w:rPr>
              <w:t>Croissance nulle après 2035</w:t>
            </w:r>
          </w:p>
        </w:tc>
        <w:tc>
          <w:tcPr>
            <w:tcW w:w="1701" w:type="dxa"/>
            <w:tcBorders>
              <w:top w:val="nil"/>
              <w:left w:val="nil"/>
              <w:bottom w:val="single" w:sz="8" w:space="0" w:color="auto"/>
              <w:right w:val="single" w:sz="8" w:space="0" w:color="auto"/>
            </w:tcBorders>
            <w:shd w:val="clear" w:color="000000" w:fill="FFFFFF"/>
            <w:vAlign w:val="center"/>
            <w:hideMark/>
          </w:tcPr>
          <w:p w14:paraId="3CD71D7D"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54,73</w:t>
            </w:r>
          </w:p>
        </w:tc>
        <w:tc>
          <w:tcPr>
            <w:tcW w:w="1418" w:type="dxa"/>
            <w:tcBorders>
              <w:top w:val="nil"/>
              <w:left w:val="nil"/>
              <w:bottom w:val="single" w:sz="8" w:space="0" w:color="auto"/>
              <w:right w:val="single" w:sz="8" w:space="0" w:color="auto"/>
            </w:tcBorders>
            <w:shd w:val="clear" w:color="000000" w:fill="FFFFFF"/>
            <w:vAlign w:val="center"/>
            <w:hideMark/>
          </w:tcPr>
          <w:p w14:paraId="23931CFA"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10,92</w:t>
            </w:r>
          </w:p>
        </w:tc>
      </w:tr>
      <w:tr w:rsidR="003975E5" w:rsidRPr="003975E5" w14:paraId="577B84D8" w14:textId="77777777" w:rsidTr="003975E5">
        <w:trPr>
          <w:trHeight w:val="20"/>
        </w:trPr>
        <w:tc>
          <w:tcPr>
            <w:tcW w:w="4252" w:type="dxa"/>
            <w:tcBorders>
              <w:top w:val="nil"/>
              <w:left w:val="single" w:sz="8" w:space="0" w:color="auto"/>
              <w:bottom w:val="single" w:sz="8" w:space="0" w:color="auto"/>
              <w:right w:val="single" w:sz="8" w:space="0" w:color="auto"/>
            </w:tcBorders>
            <w:shd w:val="clear" w:color="000000" w:fill="FFFFFF"/>
            <w:vAlign w:val="center"/>
            <w:hideMark/>
          </w:tcPr>
          <w:p w14:paraId="60BF84FB" w14:textId="77777777" w:rsidR="003975E5" w:rsidRPr="003975E5" w:rsidRDefault="003975E5" w:rsidP="003975E5">
            <w:pPr>
              <w:jc w:val="both"/>
              <w:rPr>
                <w:rFonts w:eastAsia="Times New Roman" w:cs="Calibri"/>
                <w:color w:val="931638"/>
                <w:szCs w:val="20"/>
                <w:lang w:eastAsia="fr-FR"/>
              </w:rPr>
            </w:pPr>
            <w:r w:rsidRPr="003975E5">
              <w:rPr>
                <w:rFonts w:eastAsia="Times New Roman" w:cs="Calibri"/>
                <w:color w:val="931638"/>
                <w:szCs w:val="20"/>
                <w:lang w:eastAsia="fr-FR"/>
              </w:rPr>
              <w:t xml:space="preserve">Doublement du coût voiture particulière </w:t>
            </w:r>
          </w:p>
        </w:tc>
        <w:tc>
          <w:tcPr>
            <w:tcW w:w="1701" w:type="dxa"/>
            <w:tcBorders>
              <w:top w:val="nil"/>
              <w:left w:val="nil"/>
              <w:bottom w:val="single" w:sz="8" w:space="0" w:color="auto"/>
              <w:right w:val="single" w:sz="8" w:space="0" w:color="auto"/>
            </w:tcBorders>
            <w:shd w:val="clear" w:color="000000" w:fill="FFFFFF"/>
            <w:vAlign w:val="center"/>
            <w:hideMark/>
          </w:tcPr>
          <w:p w14:paraId="2E5D7F68"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72,38</w:t>
            </w:r>
          </w:p>
        </w:tc>
        <w:tc>
          <w:tcPr>
            <w:tcW w:w="1418" w:type="dxa"/>
            <w:tcBorders>
              <w:top w:val="nil"/>
              <w:left w:val="nil"/>
              <w:bottom w:val="single" w:sz="8" w:space="0" w:color="auto"/>
              <w:right w:val="single" w:sz="8" w:space="0" w:color="auto"/>
            </w:tcBorders>
            <w:shd w:val="clear" w:color="000000" w:fill="FFFFFF"/>
            <w:vAlign w:val="center"/>
            <w:hideMark/>
          </w:tcPr>
          <w:p w14:paraId="53ED73AD" w14:textId="77777777"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28,55</w:t>
            </w:r>
          </w:p>
        </w:tc>
      </w:tr>
      <w:tr w:rsidR="003975E5" w:rsidRPr="003975E5" w14:paraId="421185D8" w14:textId="77777777" w:rsidTr="003975E5">
        <w:trPr>
          <w:trHeight w:val="20"/>
        </w:trPr>
        <w:tc>
          <w:tcPr>
            <w:tcW w:w="4252" w:type="dxa"/>
            <w:tcBorders>
              <w:top w:val="nil"/>
              <w:left w:val="single" w:sz="8" w:space="0" w:color="auto"/>
              <w:bottom w:val="single" w:sz="8" w:space="0" w:color="auto"/>
              <w:right w:val="single" w:sz="8" w:space="0" w:color="auto"/>
            </w:tcBorders>
            <w:shd w:val="clear" w:color="000000" w:fill="FFFFFF"/>
            <w:vAlign w:val="center"/>
            <w:hideMark/>
          </w:tcPr>
          <w:p w14:paraId="38A439DF" w14:textId="77777777" w:rsidR="003975E5" w:rsidRPr="003975E5" w:rsidRDefault="003975E5" w:rsidP="003975E5">
            <w:pPr>
              <w:jc w:val="both"/>
              <w:rPr>
                <w:rFonts w:eastAsia="Times New Roman" w:cs="Calibri"/>
                <w:color w:val="931638"/>
                <w:szCs w:val="20"/>
                <w:lang w:eastAsia="fr-FR"/>
              </w:rPr>
            </w:pPr>
            <w:r w:rsidRPr="003975E5">
              <w:rPr>
                <w:rFonts w:eastAsia="Times New Roman" w:cs="Calibri"/>
                <w:color w:val="931638"/>
                <w:szCs w:val="20"/>
                <w:lang w:eastAsia="fr-FR"/>
              </w:rPr>
              <w:t>PAI à 20% pour les lignes 15E et 15O</w:t>
            </w:r>
          </w:p>
        </w:tc>
        <w:tc>
          <w:tcPr>
            <w:tcW w:w="1701" w:type="dxa"/>
            <w:tcBorders>
              <w:top w:val="nil"/>
              <w:left w:val="nil"/>
              <w:bottom w:val="single" w:sz="8" w:space="0" w:color="auto"/>
              <w:right w:val="single" w:sz="8" w:space="0" w:color="auto"/>
            </w:tcBorders>
            <w:shd w:val="clear" w:color="000000" w:fill="FFFFFF"/>
            <w:vAlign w:val="center"/>
            <w:hideMark/>
          </w:tcPr>
          <w:p w14:paraId="0F4CECF7" w14:textId="3AEC1A39"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69,</w:t>
            </w:r>
            <w:r w:rsidR="006859A0">
              <w:rPr>
                <w:rFonts w:eastAsia="Times New Roman" w:cs="Calibri"/>
                <w:color w:val="00B050"/>
                <w:szCs w:val="20"/>
                <w:lang w:eastAsia="fr-FR"/>
              </w:rPr>
              <w:t>37</w:t>
            </w:r>
          </w:p>
        </w:tc>
        <w:tc>
          <w:tcPr>
            <w:tcW w:w="1418" w:type="dxa"/>
            <w:tcBorders>
              <w:top w:val="nil"/>
              <w:left w:val="nil"/>
              <w:bottom w:val="single" w:sz="8" w:space="0" w:color="auto"/>
              <w:right w:val="single" w:sz="8" w:space="0" w:color="auto"/>
            </w:tcBorders>
            <w:shd w:val="clear" w:color="000000" w:fill="FFFFFF"/>
            <w:vAlign w:val="center"/>
            <w:hideMark/>
          </w:tcPr>
          <w:p w14:paraId="152B881D" w14:textId="47CFBD60" w:rsidR="003975E5" w:rsidRPr="003975E5" w:rsidRDefault="003975E5" w:rsidP="003975E5">
            <w:pPr>
              <w:jc w:val="center"/>
              <w:rPr>
                <w:rFonts w:eastAsia="Times New Roman" w:cs="Calibri"/>
                <w:color w:val="00B050"/>
                <w:szCs w:val="20"/>
                <w:lang w:eastAsia="fr-FR"/>
              </w:rPr>
            </w:pPr>
            <w:r w:rsidRPr="003975E5">
              <w:rPr>
                <w:rFonts w:eastAsia="Times New Roman" w:cs="Calibri"/>
                <w:color w:val="00B050"/>
                <w:szCs w:val="20"/>
                <w:lang w:eastAsia="fr-FR"/>
              </w:rPr>
              <w:t>25,</w:t>
            </w:r>
            <w:r w:rsidR="006859A0">
              <w:rPr>
                <w:rFonts w:eastAsia="Times New Roman" w:cs="Calibri"/>
                <w:color w:val="00B050"/>
                <w:szCs w:val="20"/>
                <w:lang w:eastAsia="fr-FR"/>
              </w:rPr>
              <w:t>06</w:t>
            </w:r>
          </w:p>
        </w:tc>
      </w:tr>
    </w:tbl>
    <w:p w14:paraId="45458527" w14:textId="59D83409" w:rsidR="003975E5" w:rsidRPr="00150A72" w:rsidRDefault="003975E5" w:rsidP="00150A72">
      <w:pPr>
        <w:jc w:val="both"/>
        <w:rPr>
          <w:rFonts w:eastAsia="Calibri" w:cs="Cambria"/>
          <w:szCs w:val="20"/>
          <w:lang w:eastAsia="ar-SA"/>
        </w:rPr>
      </w:pPr>
    </w:p>
    <w:p w14:paraId="5A9CDB63" w14:textId="77777777" w:rsidR="00617FAA" w:rsidRDefault="00617FAA" w:rsidP="00150A72">
      <w:pPr>
        <w:jc w:val="both"/>
        <w:rPr>
          <w:szCs w:val="20"/>
        </w:rPr>
      </w:pPr>
    </w:p>
    <w:p w14:paraId="7D70931B" w14:textId="77777777" w:rsidR="00150A72" w:rsidRPr="00150A72" w:rsidRDefault="00150A72" w:rsidP="00150A72">
      <w:pPr>
        <w:jc w:val="both"/>
        <w:rPr>
          <w:szCs w:val="20"/>
        </w:rPr>
      </w:pPr>
      <w:r w:rsidRPr="00150A72">
        <w:rPr>
          <w:szCs w:val="20"/>
        </w:rPr>
        <w:t xml:space="preserve">Le projet concourt à </w:t>
      </w:r>
      <w:r w:rsidRPr="00150A72">
        <w:rPr>
          <w:b/>
          <w:szCs w:val="20"/>
        </w:rPr>
        <w:t>réduire les déséquilibres sociaux et territoriaux.</w:t>
      </w:r>
      <w:r w:rsidRPr="00150A72">
        <w:rPr>
          <w:szCs w:val="20"/>
        </w:rPr>
        <w:t xml:space="preserve"> Comme on l’a vu plus haut, les gains concernent principalement les classes de revenu les plus modestes. Il permet une </w:t>
      </w:r>
      <w:r w:rsidRPr="00150A72">
        <w:rPr>
          <w:b/>
          <w:szCs w:val="20"/>
        </w:rPr>
        <w:t>meilleure accessibilité aux emplois</w:t>
      </w:r>
      <w:r w:rsidRPr="00150A72">
        <w:rPr>
          <w:bCs/>
          <w:szCs w:val="20"/>
        </w:rPr>
        <w:t>,</w:t>
      </w:r>
      <w:r w:rsidRPr="00150A72">
        <w:rPr>
          <w:szCs w:val="20"/>
        </w:rPr>
        <w:t xml:space="preserve"> ce qui est un élément majeur de la réussite des politiques d’incitation à l’emploi dans les zones urbaines sensibles. Il s’inscrit dans la perspective d’</w:t>
      </w:r>
      <w:r w:rsidRPr="00150A72">
        <w:rPr>
          <w:b/>
          <w:szCs w:val="20"/>
        </w:rPr>
        <w:t>une option robuste de développement métropolitain durable</w:t>
      </w:r>
      <w:r w:rsidRPr="00150A72">
        <w:rPr>
          <w:bCs/>
          <w:szCs w:val="20"/>
        </w:rPr>
        <w:t>,</w:t>
      </w:r>
      <w:r w:rsidRPr="00150A72">
        <w:rPr>
          <w:b/>
          <w:szCs w:val="20"/>
        </w:rPr>
        <w:t xml:space="preserve"> </w:t>
      </w:r>
      <w:r w:rsidRPr="00150A72">
        <w:rPr>
          <w:szCs w:val="20"/>
        </w:rPr>
        <w:t xml:space="preserve">car la tendance récente de densification sur le cœur d’agglomération observée après des décennies d’étalement urbain dans la région d’Île-de-France sera consolidée et renforcée. Les effets à très long terme sont des plus importants du fait d’une certaine forme d’effet « boule de neige » dans le développement urbain. </w:t>
      </w:r>
    </w:p>
    <w:p w14:paraId="62C87D0D" w14:textId="77777777" w:rsidR="00150A72" w:rsidRPr="00B472BD" w:rsidRDefault="00150A72" w:rsidP="00150A72">
      <w:pPr>
        <w:jc w:val="both"/>
        <w:rPr>
          <w:b/>
          <w:sz w:val="22"/>
          <w:szCs w:val="22"/>
        </w:rPr>
      </w:pPr>
    </w:p>
    <w:p w14:paraId="40723A82" w14:textId="2FF26B00" w:rsidR="00A51C82" w:rsidRPr="00121A2D" w:rsidRDefault="00150A72" w:rsidP="00F93119">
      <w:pPr>
        <w:jc w:val="both"/>
        <w:rPr>
          <w:b/>
          <w:szCs w:val="20"/>
        </w:rPr>
      </w:pPr>
      <w:r w:rsidRPr="00121A2D">
        <w:rPr>
          <w:b/>
          <w:szCs w:val="20"/>
        </w:rPr>
        <w:t xml:space="preserve">La quantification des effets monétarisables ainsi que les calculs des variantes de sensibilité accréditent la conclusion d’un investissement de très haute rentabilité sociale : au total, l’ensemble des bénéfices </w:t>
      </w:r>
      <w:r w:rsidR="00AD14B4" w:rsidRPr="00121A2D">
        <w:rPr>
          <w:b/>
          <w:szCs w:val="20"/>
        </w:rPr>
        <w:t xml:space="preserve">est </w:t>
      </w:r>
      <w:r w:rsidRPr="00121A2D">
        <w:rPr>
          <w:b/>
          <w:szCs w:val="20"/>
        </w:rPr>
        <w:t xml:space="preserve">apprécié </w:t>
      </w:r>
      <w:r w:rsidR="004366F5" w:rsidRPr="00121A2D">
        <w:rPr>
          <w:b/>
          <w:szCs w:val="20"/>
        </w:rPr>
        <w:t>à</w:t>
      </w:r>
      <w:r w:rsidRPr="00121A2D">
        <w:rPr>
          <w:b/>
          <w:szCs w:val="20"/>
        </w:rPr>
        <w:t xml:space="preserve"> </w:t>
      </w:r>
      <w:r w:rsidR="003975E5" w:rsidRPr="003975E5">
        <w:rPr>
          <w:b/>
          <w:color w:val="00B050"/>
          <w:szCs w:val="20"/>
        </w:rPr>
        <w:t>près de 70</w:t>
      </w:r>
      <w:r w:rsidR="00EC2F3D" w:rsidRPr="003975E5">
        <w:rPr>
          <w:b/>
          <w:color w:val="00B050"/>
          <w:szCs w:val="20"/>
        </w:rPr>
        <w:t xml:space="preserve"> </w:t>
      </w:r>
      <w:r w:rsidRPr="003975E5">
        <w:rPr>
          <w:b/>
          <w:color w:val="00B050"/>
          <w:szCs w:val="20"/>
        </w:rPr>
        <w:t xml:space="preserve">milliards d’euros </w:t>
      </w:r>
      <w:r w:rsidRPr="00121A2D">
        <w:rPr>
          <w:b/>
          <w:szCs w:val="20"/>
        </w:rPr>
        <w:t>en valeur 201</w:t>
      </w:r>
      <w:r w:rsidR="00AD14B4" w:rsidRPr="00121A2D">
        <w:rPr>
          <w:b/>
          <w:szCs w:val="20"/>
        </w:rPr>
        <w:t>5</w:t>
      </w:r>
      <w:r w:rsidRPr="00121A2D">
        <w:rPr>
          <w:b/>
          <w:szCs w:val="20"/>
        </w:rPr>
        <w:t xml:space="preserve"> </w:t>
      </w:r>
      <w:r w:rsidR="00EC2F3D" w:rsidRPr="00121A2D">
        <w:rPr>
          <w:b/>
          <w:szCs w:val="20"/>
        </w:rPr>
        <w:t xml:space="preserve">(et probablement </w:t>
      </w:r>
      <w:r w:rsidR="00C1742C">
        <w:rPr>
          <w:b/>
          <w:szCs w:val="20"/>
        </w:rPr>
        <w:t xml:space="preserve">voisin de 115 </w:t>
      </w:r>
      <w:r w:rsidR="00EC2F3D" w:rsidRPr="00121A2D">
        <w:rPr>
          <w:b/>
          <w:szCs w:val="20"/>
        </w:rPr>
        <w:t xml:space="preserve">milliards d’euros, compte tenu des </w:t>
      </w:r>
      <w:r w:rsidR="00C1742C">
        <w:rPr>
          <w:b/>
          <w:szCs w:val="20"/>
        </w:rPr>
        <w:t xml:space="preserve">choix très prudents effectués dans cette évaluation) </w:t>
      </w:r>
      <w:r w:rsidRPr="00121A2D">
        <w:rPr>
          <w:b/>
          <w:szCs w:val="20"/>
        </w:rPr>
        <w:t xml:space="preserve">pour un coût global d’investissement de </w:t>
      </w:r>
      <w:r w:rsidR="00A83EEF">
        <w:rPr>
          <w:b/>
          <w:bCs/>
          <w:szCs w:val="20"/>
        </w:rPr>
        <w:t>44</w:t>
      </w:r>
      <w:r w:rsidRPr="00121A2D">
        <w:rPr>
          <w:b/>
          <w:szCs w:val="20"/>
        </w:rPr>
        <w:t xml:space="preserve"> milliards d’euros en valeur actualisée 201</w:t>
      </w:r>
      <w:r w:rsidR="00AD14B4" w:rsidRPr="00121A2D">
        <w:rPr>
          <w:b/>
          <w:szCs w:val="20"/>
        </w:rPr>
        <w:t>5</w:t>
      </w:r>
      <w:r w:rsidRPr="00121A2D">
        <w:rPr>
          <w:b/>
          <w:szCs w:val="20"/>
        </w:rPr>
        <w:t xml:space="preserve">. </w:t>
      </w:r>
      <w:bookmarkEnd w:id="115"/>
    </w:p>
    <w:p w14:paraId="0C2B9777" w14:textId="77777777" w:rsidR="00114ABB" w:rsidRDefault="00114ABB" w:rsidP="00F93119">
      <w:pPr>
        <w:jc w:val="both"/>
      </w:pPr>
    </w:p>
    <w:p w14:paraId="7B590B86" w14:textId="77777777" w:rsidR="006B3C49" w:rsidRDefault="00390410" w:rsidP="00390410">
      <w:pPr>
        <w:jc w:val="both"/>
        <w:rPr>
          <w:rFonts w:eastAsia="Calibri" w:cs="Cambria"/>
          <w:b/>
          <w:bCs/>
          <w:szCs w:val="20"/>
          <w:lang w:eastAsia="ar-SA"/>
        </w:rPr>
      </w:pPr>
      <w:r w:rsidRPr="00390410">
        <w:rPr>
          <w:rFonts w:eastAsia="Calibri" w:cs="Cambria"/>
          <w:b/>
          <w:bCs/>
          <w:szCs w:val="20"/>
          <w:lang w:eastAsia="ar-SA"/>
        </w:rPr>
        <w:t>Le projet contribue à la croissance de l’emploi, à la réduction du chômage dans la région, à la productivité des entreprises, et à la réduction de l’endettement public à long terme</w:t>
      </w:r>
      <w:r w:rsidR="00E818B3" w:rsidRPr="00390410">
        <w:rPr>
          <w:rFonts w:eastAsia="Calibri" w:cs="Cambria"/>
          <w:b/>
          <w:bCs/>
          <w:szCs w:val="20"/>
          <w:lang w:eastAsia="ar-SA"/>
        </w:rPr>
        <w:t>. Il représente un puissant levier dans la lutte contre le réchauffement climatique.</w:t>
      </w:r>
      <w:r>
        <w:rPr>
          <w:rFonts w:eastAsia="Calibri" w:cs="Cambria"/>
          <w:b/>
          <w:bCs/>
          <w:szCs w:val="20"/>
          <w:lang w:eastAsia="ar-SA"/>
        </w:rPr>
        <w:t> </w:t>
      </w:r>
    </w:p>
    <w:p w14:paraId="2C1F20CF" w14:textId="77777777" w:rsidR="006B3C49" w:rsidRDefault="006B3C49" w:rsidP="00390410">
      <w:pPr>
        <w:jc w:val="both"/>
        <w:rPr>
          <w:rFonts w:eastAsia="Calibri" w:cs="Cambria"/>
          <w:b/>
          <w:bCs/>
          <w:szCs w:val="20"/>
          <w:lang w:eastAsia="ar-SA"/>
        </w:rPr>
      </w:pPr>
    </w:p>
    <w:p w14:paraId="65774B51" w14:textId="221C20B2" w:rsidR="00390410" w:rsidRDefault="00E818B3" w:rsidP="00390410">
      <w:pPr>
        <w:jc w:val="both"/>
        <w:rPr>
          <w:rFonts w:eastAsia="Calibri" w:cs="Cambria"/>
          <w:b/>
          <w:bCs/>
          <w:szCs w:val="20"/>
          <w:lang w:eastAsia="ar-SA"/>
        </w:rPr>
      </w:pPr>
      <w:r>
        <w:rPr>
          <w:rFonts w:eastAsia="Calibri" w:cs="Cambria"/>
          <w:b/>
          <w:bCs/>
          <w:szCs w:val="20"/>
          <w:lang w:eastAsia="ar-SA"/>
        </w:rPr>
        <w:t>I</w:t>
      </w:r>
      <w:r w:rsidR="00390410">
        <w:rPr>
          <w:rFonts w:eastAsia="Calibri" w:cs="Cambria"/>
          <w:b/>
          <w:bCs/>
          <w:szCs w:val="20"/>
          <w:lang w:eastAsia="ar-SA"/>
        </w:rPr>
        <w:t xml:space="preserve">l est </w:t>
      </w:r>
      <w:r>
        <w:rPr>
          <w:rFonts w:eastAsia="Calibri" w:cs="Cambria"/>
          <w:b/>
          <w:bCs/>
          <w:szCs w:val="20"/>
          <w:lang w:eastAsia="ar-SA"/>
        </w:rPr>
        <w:t xml:space="preserve">donc </w:t>
      </w:r>
      <w:r w:rsidR="00390410">
        <w:rPr>
          <w:rFonts w:eastAsia="Calibri" w:cs="Cambria"/>
          <w:b/>
          <w:bCs/>
          <w:szCs w:val="20"/>
          <w:lang w:eastAsia="ar-SA"/>
        </w:rPr>
        <w:t>un vecteur de la politique de relance</w:t>
      </w:r>
      <w:r w:rsidR="00680E13">
        <w:rPr>
          <w:rFonts w:eastAsia="Calibri" w:cs="Cambria"/>
          <w:b/>
          <w:bCs/>
          <w:szCs w:val="20"/>
          <w:lang w:eastAsia="ar-SA"/>
        </w:rPr>
        <w:t xml:space="preserve"> </w:t>
      </w:r>
      <w:r>
        <w:rPr>
          <w:rFonts w:eastAsia="Calibri" w:cs="Cambria"/>
          <w:b/>
          <w:bCs/>
          <w:szCs w:val="20"/>
          <w:lang w:eastAsia="ar-SA"/>
        </w:rPr>
        <w:t>de l’ère post COVID</w:t>
      </w:r>
    </w:p>
    <w:p w14:paraId="22765D47" w14:textId="31E542A9" w:rsidR="00A13130" w:rsidRDefault="00A13130" w:rsidP="00390410">
      <w:pPr>
        <w:jc w:val="both"/>
        <w:rPr>
          <w:rFonts w:eastAsia="Calibri" w:cs="Cambria"/>
          <w:b/>
          <w:bCs/>
          <w:szCs w:val="20"/>
          <w:lang w:eastAsia="ar-SA"/>
        </w:rPr>
      </w:pPr>
    </w:p>
    <w:p w14:paraId="433B2D61" w14:textId="77777777" w:rsidR="00A13130" w:rsidRPr="00390410" w:rsidRDefault="00A13130" w:rsidP="00390410">
      <w:pPr>
        <w:jc w:val="both"/>
        <w:rPr>
          <w:rFonts w:eastAsia="Calibri" w:cs="Cambria"/>
          <w:b/>
          <w:bCs/>
          <w:szCs w:val="20"/>
          <w:lang w:eastAsia="ar-SA"/>
        </w:rPr>
      </w:pPr>
    </w:p>
    <w:p w14:paraId="793B5E72" w14:textId="1AFD8D8A" w:rsidR="00B472BD" w:rsidRPr="00A51C82" w:rsidRDefault="00B472BD" w:rsidP="00F93119">
      <w:pPr>
        <w:jc w:val="both"/>
        <w:sectPr w:rsidR="00B472BD" w:rsidRPr="00A51C82" w:rsidSect="00822CCC">
          <w:pgSz w:w="23818" w:h="16838" w:orient="landscape"/>
          <w:pgMar w:top="1418" w:right="1418" w:bottom="1418" w:left="1418" w:header="709" w:footer="709" w:gutter="0"/>
          <w:cols w:num="2" w:space="708"/>
        </w:sectPr>
      </w:pPr>
    </w:p>
    <w:p w14:paraId="66DF13DD" w14:textId="69A73587" w:rsidR="00A51C82" w:rsidRPr="0055381A" w:rsidRDefault="00A51C82" w:rsidP="003D0219">
      <w:pPr>
        <w:pStyle w:val="Titre2"/>
        <w:numPr>
          <w:ilvl w:val="0"/>
          <w:numId w:val="0"/>
        </w:numPr>
        <w:jc w:val="both"/>
        <w:rPr>
          <w:color w:val="FF0000"/>
        </w:rPr>
      </w:pPr>
      <w:bookmarkStart w:id="170" w:name="_Toc46917085"/>
      <w:bookmarkStart w:id="171" w:name="_Toc63352157"/>
      <w:r w:rsidRPr="00A51C82">
        <w:rPr>
          <w:lang w:eastAsia="fr-FR"/>
        </w:rPr>
        <w:lastRenderedPageBreak/>
        <w:t>Annexe </w:t>
      </w:r>
      <w:r w:rsidR="00A45BC3" w:rsidRPr="00A51C82">
        <w:rPr>
          <w:lang w:eastAsia="fr-FR"/>
        </w:rPr>
        <w:t>1 :</w:t>
      </w:r>
      <w:r w:rsidRPr="00A51C82">
        <w:rPr>
          <w:lang w:eastAsia="fr-FR"/>
        </w:rPr>
        <w:t xml:space="preserve"> Synthèse des hypothèses </w:t>
      </w:r>
      <w:r w:rsidR="008B4DE3">
        <w:rPr>
          <w:lang w:eastAsia="fr-FR"/>
        </w:rPr>
        <w:t>et des résultats</w:t>
      </w:r>
      <w:bookmarkEnd w:id="170"/>
      <w:bookmarkEnd w:id="171"/>
      <w:r w:rsidR="0055381A">
        <w:rPr>
          <w:lang w:eastAsia="fr-FR"/>
        </w:rPr>
        <w:t xml:space="preserve"> </w:t>
      </w:r>
    </w:p>
    <w:p w14:paraId="1709F289" w14:textId="77777777" w:rsidR="008B4DE3" w:rsidRDefault="008B4DE3" w:rsidP="004C4CA3">
      <w:pPr>
        <w:jc w:val="both"/>
        <w:rPr>
          <w:b/>
          <w:i/>
          <w:u w:val="single"/>
        </w:rPr>
      </w:pPr>
    </w:p>
    <w:p w14:paraId="3D44BBBE" w14:textId="034B75FD" w:rsidR="00A51C82" w:rsidRPr="00A51C82" w:rsidRDefault="00A51C82" w:rsidP="0027076D">
      <w:pPr>
        <w:jc w:val="both"/>
      </w:pPr>
      <w:r w:rsidRPr="00A51C82">
        <w:rPr>
          <w:b/>
          <w:i/>
          <w:u w:val="single"/>
        </w:rPr>
        <w:t>Hypothèses de croissance socio-démographique (</w:t>
      </w:r>
      <w:r w:rsidR="00A45BC3" w:rsidRPr="00A51C82">
        <w:rPr>
          <w:b/>
          <w:i/>
          <w:u w:val="single"/>
        </w:rPr>
        <w:t xml:space="preserve">option </w:t>
      </w:r>
      <w:r w:rsidR="0027076D">
        <w:rPr>
          <w:b/>
          <w:i/>
          <w:u w:val="single"/>
        </w:rPr>
        <w:t>basse</w:t>
      </w:r>
      <w:r w:rsidR="000E53E5" w:rsidRPr="00A51C82">
        <w:rPr>
          <w:b/>
          <w:i/>
          <w:u w:val="single"/>
        </w:rPr>
        <w:t>)</w:t>
      </w:r>
      <w:r w:rsidR="000E53E5" w:rsidRPr="00A51C82">
        <w:rPr>
          <w:b/>
          <w:i/>
        </w:rPr>
        <w:t> :</w:t>
      </w:r>
      <w:r w:rsidR="0027076D" w:rsidRPr="00A51C82">
        <w:t xml:space="preserve"> </w:t>
      </w:r>
    </w:p>
    <w:p w14:paraId="2E19D5EC" w14:textId="77777777" w:rsidR="0027076D" w:rsidRPr="00A51C82" w:rsidRDefault="0027076D" w:rsidP="004C4CA3">
      <w:pPr>
        <w:jc w:val="both"/>
      </w:pPr>
      <w:r>
        <w:t xml:space="preserve">    </w:t>
      </w:r>
    </w:p>
    <w:tbl>
      <w:tblPr>
        <w:tblStyle w:val="Grilledutableau"/>
        <w:tblW w:w="0" w:type="auto"/>
        <w:jc w:val="center"/>
        <w:tblLook w:val="04A0" w:firstRow="1" w:lastRow="0" w:firstColumn="1" w:lastColumn="0" w:noHBand="0" w:noVBand="1"/>
      </w:tblPr>
      <w:tblGrid>
        <w:gridCol w:w="2529"/>
        <w:gridCol w:w="1865"/>
        <w:gridCol w:w="2552"/>
      </w:tblGrid>
      <w:tr w:rsidR="0027076D" w14:paraId="7AAEC491" w14:textId="77777777" w:rsidTr="0084080B">
        <w:trPr>
          <w:trHeight w:val="312"/>
          <w:jc w:val="center"/>
        </w:trPr>
        <w:tc>
          <w:tcPr>
            <w:tcW w:w="2529" w:type="dxa"/>
            <w:vAlign w:val="center"/>
          </w:tcPr>
          <w:p w14:paraId="23DAE76B" w14:textId="1295E975" w:rsidR="0027076D" w:rsidRDefault="0027076D" w:rsidP="0027076D">
            <w:pPr>
              <w:jc w:val="center"/>
            </w:pPr>
            <w:r w:rsidRPr="00A51C82">
              <w:rPr>
                <w:b/>
                <w:i/>
                <w:color w:val="931638"/>
                <w:sz w:val="18"/>
                <w:szCs w:val="18"/>
              </w:rPr>
              <w:t>Croissance</w:t>
            </w:r>
            <w:r>
              <w:rPr>
                <w:b/>
                <w:i/>
                <w:color w:val="931638"/>
                <w:sz w:val="18"/>
                <w:szCs w:val="18"/>
              </w:rPr>
              <w:t xml:space="preserve"> </w:t>
            </w:r>
            <w:r w:rsidRPr="00A51C82">
              <w:rPr>
                <w:b/>
                <w:i/>
                <w:color w:val="931638"/>
                <w:sz w:val="18"/>
                <w:szCs w:val="18"/>
              </w:rPr>
              <w:t>2005-2030</w:t>
            </w:r>
          </w:p>
        </w:tc>
        <w:tc>
          <w:tcPr>
            <w:tcW w:w="1865" w:type="dxa"/>
            <w:vAlign w:val="center"/>
          </w:tcPr>
          <w:p w14:paraId="1FECBEE1" w14:textId="10AEC010" w:rsidR="0027076D" w:rsidRDefault="0027076D" w:rsidP="0027076D">
            <w:pPr>
              <w:jc w:val="center"/>
            </w:pPr>
            <w:r>
              <w:rPr>
                <w:b/>
                <w:i/>
                <w:color w:val="931638"/>
                <w:szCs w:val="20"/>
              </w:rPr>
              <w:t>Référence</w:t>
            </w:r>
          </w:p>
        </w:tc>
        <w:tc>
          <w:tcPr>
            <w:tcW w:w="2552" w:type="dxa"/>
            <w:vAlign w:val="center"/>
          </w:tcPr>
          <w:p w14:paraId="586375E5" w14:textId="5A267163" w:rsidR="0027076D" w:rsidRDefault="0027076D" w:rsidP="0027076D">
            <w:pPr>
              <w:jc w:val="center"/>
            </w:pPr>
            <w:r w:rsidRPr="00A51C82">
              <w:rPr>
                <w:b/>
                <w:i/>
                <w:color w:val="931638"/>
                <w:szCs w:val="20"/>
              </w:rPr>
              <w:t xml:space="preserve">Option </w:t>
            </w:r>
            <w:r>
              <w:rPr>
                <w:b/>
                <w:i/>
                <w:color w:val="931638"/>
                <w:szCs w:val="20"/>
              </w:rPr>
              <w:t>b</w:t>
            </w:r>
            <w:r w:rsidRPr="00A51C82">
              <w:rPr>
                <w:b/>
                <w:i/>
                <w:color w:val="931638"/>
                <w:szCs w:val="20"/>
              </w:rPr>
              <w:t>a</w:t>
            </w:r>
            <w:r>
              <w:rPr>
                <w:b/>
                <w:i/>
                <w:color w:val="931638"/>
                <w:szCs w:val="20"/>
              </w:rPr>
              <w:t>ss</w:t>
            </w:r>
            <w:r w:rsidRPr="00A51C82">
              <w:rPr>
                <w:b/>
                <w:i/>
                <w:color w:val="931638"/>
                <w:szCs w:val="20"/>
              </w:rPr>
              <w:t>e</w:t>
            </w:r>
            <w:r>
              <w:rPr>
                <w:b/>
                <w:i/>
                <w:color w:val="931638"/>
                <w:szCs w:val="20"/>
              </w:rPr>
              <w:t xml:space="preserve"> </w:t>
            </w:r>
            <w:r w:rsidRPr="00A51C82">
              <w:rPr>
                <w:b/>
                <w:i/>
                <w:color w:val="931638"/>
                <w:szCs w:val="20"/>
              </w:rPr>
              <w:t>(S1</w:t>
            </w:r>
            <w:r>
              <w:rPr>
                <w:b/>
                <w:i/>
                <w:color w:val="931638"/>
                <w:szCs w:val="20"/>
              </w:rPr>
              <w:t>)</w:t>
            </w:r>
          </w:p>
        </w:tc>
      </w:tr>
      <w:tr w:rsidR="0027076D" w14:paraId="118FA6AE" w14:textId="77777777" w:rsidTr="0084080B">
        <w:trPr>
          <w:trHeight w:val="680"/>
          <w:jc w:val="center"/>
        </w:trPr>
        <w:tc>
          <w:tcPr>
            <w:tcW w:w="2529" w:type="dxa"/>
            <w:vAlign w:val="center"/>
          </w:tcPr>
          <w:p w14:paraId="1DB7E644" w14:textId="606304A4" w:rsidR="0027076D" w:rsidRDefault="0027076D" w:rsidP="0027076D">
            <w:r w:rsidRPr="00A51C82">
              <w:rPr>
                <w:color w:val="931638"/>
                <w:sz w:val="18"/>
                <w:szCs w:val="18"/>
              </w:rPr>
              <w:t>Population Île-de-France</w:t>
            </w:r>
          </w:p>
        </w:tc>
        <w:tc>
          <w:tcPr>
            <w:tcW w:w="1865" w:type="dxa"/>
            <w:vAlign w:val="center"/>
          </w:tcPr>
          <w:p w14:paraId="33096E49" w14:textId="7C3FA5AA" w:rsidR="0027076D" w:rsidRDefault="0027076D" w:rsidP="0027076D">
            <w:pPr>
              <w:jc w:val="center"/>
            </w:pPr>
            <w:r>
              <w:rPr>
                <w:b/>
                <w:sz w:val="18"/>
                <w:szCs w:val="18"/>
              </w:rPr>
              <w:t>+1 350 000</w:t>
            </w:r>
          </w:p>
        </w:tc>
        <w:tc>
          <w:tcPr>
            <w:tcW w:w="2552" w:type="dxa"/>
            <w:vAlign w:val="center"/>
          </w:tcPr>
          <w:p w14:paraId="0BD8A71C" w14:textId="79DEF1F1" w:rsidR="0027076D" w:rsidRPr="0027076D" w:rsidRDefault="0027076D" w:rsidP="0027076D">
            <w:pPr>
              <w:jc w:val="center"/>
              <w:rPr>
                <w:b/>
                <w:sz w:val="18"/>
                <w:szCs w:val="18"/>
              </w:rPr>
            </w:pPr>
            <w:r w:rsidRPr="00A51C82">
              <w:rPr>
                <w:b/>
                <w:sz w:val="18"/>
                <w:szCs w:val="18"/>
              </w:rPr>
              <w:t xml:space="preserve">+1 400 000 </w:t>
            </w:r>
          </w:p>
        </w:tc>
      </w:tr>
      <w:tr w:rsidR="0027076D" w14:paraId="4E3386DB" w14:textId="77777777" w:rsidTr="0084080B">
        <w:trPr>
          <w:trHeight w:val="680"/>
          <w:jc w:val="center"/>
        </w:trPr>
        <w:tc>
          <w:tcPr>
            <w:tcW w:w="2529" w:type="dxa"/>
            <w:vAlign w:val="center"/>
          </w:tcPr>
          <w:p w14:paraId="4EFA1BF4" w14:textId="51B6017C" w:rsidR="0027076D" w:rsidRDefault="0027076D" w:rsidP="0027076D">
            <w:r w:rsidRPr="00A51C82">
              <w:rPr>
                <w:color w:val="931638"/>
                <w:sz w:val="18"/>
                <w:szCs w:val="18"/>
              </w:rPr>
              <w:t>Emplois</w:t>
            </w:r>
            <w:r>
              <w:rPr>
                <w:color w:val="931638"/>
                <w:sz w:val="18"/>
                <w:szCs w:val="18"/>
              </w:rPr>
              <w:t xml:space="preserve"> </w:t>
            </w:r>
            <w:r w:rsidRPr="00A51C82">
              <w:rPr>
                <w:color w:val="931638"/>
                <w:sz w:val="18"/>
                <w:szCs w:val="18"/>
              </w:rPr>
              <w:t>Île-de-France</w:t>
            </w:r>
          </w:p>
        </w:tc>
        <w:tc>
          <w:tcPr>
            <w:tcW w:w="1865" w:type="dxa"/>
            <w:vAlign w:val="center"/>
          </w:tcPr>
          <w:p w14:paraId="6C0F4910" w14:textId="7367638D" w:rsidR="0027076D" w:rsidRDefault="0027076D" w:rsidP="0027076D">
            <w:pPr>
              <w:jc w:val="center"/>
            </w:pPr>
            <w:r>
              <w:rPr>
                <w:b/>
                <w:sz w:val="18"/>
                <w:szCs w:val="18"/>
              </w:rPr>
              <w:t>+685 000</w:t>
            </w:r>
          </w:p>
        </w:tc>
        <w:tc>
          <w:tcPr>
            <w:tcW w:w="2552" w:type="dxa"/>
            <w:vAlign w:val="center"/>
          </w:tcPr>
          <w:p w14:paraId="2172DA75" w14:textId="78F49A31" w:rsidR="0027076D" w:rsidRPr="0027076D" w:rsidRDefault="0027076D" w:rsidP="0027076D">
            <w:pPr>
              <w:jc w:val="center"/>
              <w:rPr>
                <w:b/>
                <w:sz w:val="18"/>
                <w:szCs w:val="18"/>
              </w:rPr>
            </w:pPr>
            <w:r w:rsidRPr="00A51C82">
              <w:rPr>
                <w:b/>
                <w:sz w:val="18"/>
                <w:szCs w:val="18"/>
              </w:rPr>
              <w:t xml:space="preserve">+800 000 </w:t>
            </w:r>
          </w:p>
        </w:tc>
      </w:tr>
    </w:tbl>
    <w:p w14:paraId="10E33C65" w14:textId="0136CB17" w:rsidR="00A51C82" w:rsidRPr="00A51C82" w:rsidRDefault="00A51C82" w:rsidP="004C4CA3">
      <w:pPr>
        <w:jc w:val="both"/>
      </w:pPr>
    </w:p>
    <w:p w14:paraId="0DD6B064" w14:textId="77777777" w:rsidR="008C561B" w:rsidRPr="008C561B" w:rsidRDefault="008C561B" w:rsidP="004C4CA3">
      <w:pPr>
        <w:jc w:val="both"/>
        <w:rPr>
          <w:b/>
        </w:rPr>
      </w:pPr>
    </w:p>
    <w:p w14:paraId="326E3B8E" w14:textId="77777777" w:rsidR="006A6334" w:rsidRPr="00A51C82" w:rsidRDefault="006A6334" w:rsidP="004C4CA3">
      <w:pPr>
        <w:jc w:val="both"/>
        <w:rPr>
          <w:b/>
          <w:i/>
          <w:u w:val="single"/>
        </w:rPr>
      </w:pPr>
      <w:r w:rsidRPr="00A51C82">
        <w:rPr>
          <w:b/>
          <w:i/>
          <w:u w:val="single"/>
        </w:rPr>
        <w:t>Prévisions de trafic</w:t>
      </w:r>
      <w:r w:rsidRPr="00A51C82">
        <w:rPr>
          <w:b/>
          <w:i/>
        </w:rPr>
        <w:t> :</w:t>
      </w:r>
    </w:p>
    <w:p w14:paraId="49EF7826" w14:textId="67CAD502" w:rsidR="006A6334" w:rsidRPr="003F2C41" w:rsidRDefault="006A6334" w:rsidP="004C4CA3">
      <w:pPr>
        <w:jc w:val="both"/>
        <w:rPr>
          <w:strike/>
        </w:rPr>
      </w:pPr>
      <w:r w:rsidRPr="003F2C41">
        <w:t xml:space="preserve">Les prévisions de trafic </w:t>
      </w:r>
      <w:r w:rsidR="00F42BD7" w:rsidRPr="003F2C41">
        <w:t xml:space="preserve">obtenues début 2020 </w:t>
      </w:r>
      <w:r w:rsidRPr="003F2C41">
        <w:t xml:space="preserve">résultent de la mise en œuvre </w:t>
      </w:r>
      <w:r w:rsidR="003F2C41" w:rsidRPr="003F2C41">
        <w:t xml:space="preserve">du modèle MODUS-3, une nouvelle </w:t>
      </w:r>
      <w:r w:rsidRPr="003F2C41">
        <w:t xml:space="preserve">du </w:t>
      </w:r>
      <w:r w:rsidRPr="003F2C41">
        <w:rPr>
          <w:b/>
        </w:rPr>
        <w:t>modèle MODUS</w:t>
      </w:r>
      <w:r w:rsidR="00F42BD7" w:rsidRPr="003F2C41">
        <w:t>, géré par la DRIEA</w:t>
      </w:r>
      <w:r w:rsidR="00114284" w:rsidRPr="003F2C41">
        <w:t>.</w:t>
      </w:r>
      <w:r w:rsidRPr="003F2C41">
        <w:t xml:space="preserve"> </w:t>
      </w:r>
    </w:p>
    <w:p w14:paraId="02E1212D" w14:textId="77777777" w:rsidR="006A6334" w:rsidRPr="00A51C82" w:rsidRDefault="006A6334" w:rsidP="004C4CA3">
      <w:pPr>
        <w:jc w:val="both"/>
      </w:pPr>
      <w:r w:rsidRPr="00A51C82">
        <w:t xml:space="preserve"> </w:t>
      </w:r>
    </w:p>
    <w:p w14:paraId="11C266E2" w14:textId="77777777" w:rsidR="006A6334" w:rsidRPr="00A51C82" w:rsidRDefault="006A6334" w:rsidP="004C4CA3">
      <w:pPr>
        <w:jc w:val="both"/>
        <w:rPr>
          <w:b/>
          <w:i/>
          <w:u w:val="single"/>
        </w:rPr>
      </w:pPr>
      <w:r w:rsidRPr="00A51C82">
        <w:rPr>
          <w:b/>
          <w:i/>
          <w:u w:val="single"/>
        </w:rPr>
        <w:t>Prévisions de répartition de l’emploi et de la population</w:t>
      </w:r>
      <w:r w:rsidRPr="00A51C82">
        <w:rPr>
          <w:b/>
          <w:i/>
        </w:rPr>
        <w:t> :</w:t>
      </w:r>
    </w:p>
    <w:p w14:paraId="69F1B408" w14:textId="77777777" w:rsidR="006A6334" w:rsidRPr="00A51C82" w:rsidRDefault="006A6334" w:rsidP="004C4CA3">
      <w:pPr>
        <w:tabs>
          <w:tab w:val="left" w:pos="284"/>
        </w:tabs>
        <w:jc w:val="both"/>
      </w:pPr>
    </w:p>
    <w:p w14:paraId="78949622" w14:textId="730FDE93" w:rsidR="006A6334" w:rsidRPr="00A51C82" w:rsidRDefault="006A6334" w:rsidP="004C4CA3">
      <w:pPr>
        <w:tabs>
          <w:tab w:val="left" w:pos="284"/>
        </w:tabs>
        <w:jc w:val="both"/>
        <w:rPr>
          <w:b/>
          <w:i/>
        </w:rPr>
      </w:pPr>
      <w:r w:rsidRPr="00A51C82">
        <w:t xml:space="preserve">Les données de cadrage </w:t>
      </w:r>
      <w:r w:rsidR="003F2C41">
        <w:t>viennent</w:t>
      </w:r>
      <w:r w:rsidRPr="00A51C82">
        <w:t xml:space="preserve"> des prévisions globales à l’échelle de la région résultant </w:t>
      </w:r>
      <w:r w:rsidR="003F2C41">
        <w:t xml:space="preserve">des nombreuses recherches effectuées sous l’égide la Société du Grand Paris sous le contrôle d’un conseil scientifique international et indépendant, </w:t>
      </w:r>
      <w:r w:rsidRPr="00A51C82">
        <w:t xml:space="preserve">de l’application du </w:t>
      </w:r>
      <w:r w:rsidRPr="00A51C82">
        <w:rPr>
          <w:b/>
        </w:rPr>
        <w:t>modèle URBANSIM</w:t>
      </w:r>
      <w:r w:rsidRPr="00A51C82">
        <w:t xml:space="preserve">, modèle de prévision intégrée de la répartition spatiale de l’emploi et de la population sur la base des dernières connaissances économiques en matière de localisation des résidents et des activités. Les résultats de ce modèle montrent que la réalisation de l’infrastructure de transport entraînera une densification de la croissance de l’emploi dans le périmètre de l’infrastructure, facilitée par la disponibilité de terrains mutables. </w:t>
      </w:r>
    </w:p>
    <w:p w14:paraId="77508086" w14:textId="77777777" w:rsidR="006A6334" w:rsidRPr="00A51C82" w:rsidRDefault="006A6334" w:rsidP="004C4CA3">
      <w:pPr>
        <w:tabs>
          <w:tab w:val="left" w:pos="284"/>
        </w:tabs>
        <w:jc w:val="both"/>
        <w:rPr>
          <w:b/>
          <w:i/>
        </w:rPr>
      </w:pPr>
    </w:p>
    <w:p w14:paraId="665F7D5A" w14:textId="77777777" w:rsidR="006A6334" w:rsidRPr="00A51C82" w:rsidRDefault="006A6334" w:rsidP="004C4CA3">
      <w:pPr>
        <w:jc w:val="both"/>
        <w:rPr>
          <w:b/>
          <w:i/>
        </w:rPr>
      </w:pPr>
      <w:r w:rsidRPr="00A51C82">
        <w:rPr>
          <w:b/>
          <w:i/>
        </w:rPr>
        <w:t> </w:t>
      </w:r>
      <w:r w:rsidRPr="00A51C82">
        <w:rPr>
          <w:b/>
          <w:i/>
          <w:u w:val="single"/>
        </w:rPr>
        <w:t>Trafic prévisionnel sur le réseau Grand Paris Express</w:t>
      </w:r>
      <w:r w:rsidRPr="00A51C82">
        <w:rPr>
          <w:b/>
          <w:i/>
        </w:rPr>
        <w:t> :</w:t>
      </w:r>
    </w:p>
    <w:p w14:paraId="7858DC74" w14:textId="77777777" w:rsidR="006A6334" w:rsidRPr="00A51C82" w:rsidRDefault="006A6334" w:rsidP="004C4CA3">
      <w:pPr>
        <w:jc w:val="both"/>
        <w:rPr>
          <w:b/>
          <w:i/>
        </w:rPr>
      </w:pPr>
    </w:p>
    <w:p w14:paraId="040E4A87" w14:textId="77777777" w:rsidR="006A6334" w:rsidRPr="00A51C82" w:rsidRDefault="006A6334" w:rsidP="004C4CA3">
      <w:pPr>
        <w:jc w:val="both"/>
        <w:rPr>
          <w:b/>
          <w:i/>
        </w:rPr>
      </w:pPr>
      <w:r w:rsidRPr="00A51C82">
        <w:rPr>
          <w:b/>
          <w:i/>
        </w:rPr>
        <w:t>Horizon 2030 </w:t>
      </w:r>
      <w:r w:rsidRPr="00A51C82">
        <w:rPr>
          <w:i/>
        </w:rPr>
        <w:t>:</w:t>
      </w:r>
    </w:p>
    <w:p w14:paraId="334DBE3D" w14:textId="42DAB386" w:rsidR="006A6334" w:rsidRPr="003F2C41" w:rsidRDefault="0040200F" w:rsidP="0083506E">
      <w:pPr>
        <w:numPr>
          <w:ilvl w:val="0"/>
          <w:numId w:val="9"/>
        </w:numPr>
        <w:jc w:val="both"/>
        <w:rPr>
          <w:b/>
          <w:i/>
        </w:rPr>
      </w:pPr>
      <w:r w:rsidRPr="003F2C41">
        <w:rPr>
          <w:b/>
        </w:rPr>
        <w:t xml:space="preserve">environ 400 000 </w:t>
      </w:r>
      <w:r w:rsidR="006A6334" w:rsidRPr="003F2C41">
        <w:rPr>
          <w:b/>
        </w:rPr>
        <w:t>voyageurs</w:t>
      </w:r>
      <w:r w:rsidR="006A6334" w:rsidRPr="003F2C41">
        <w:rPr>
          <w:b/>
          <w:i/>
        </w:rPr>
        <w:t xml:space="preserve"> </w:t>
      </w:r>
      <w:r w:rsidR="006A6334" w:rsidRPr="003F2C41">
        <w:t xml:space="preserve">à l’heure de pointe du matin </w:t>
      </w:r>
    </w:p>
    <w:p w14:paraId="4887EF8B" w14:textId="5B25FAEA" w:rsidR="006A6334" w:rsidRPr="003F2C41" w:rsidRDefault="00A34660" w:rsidP="0083506E">
      <w:pPr>
        <w:numPr>
          <w:ilvl w:val="0"/>
          <w:numId w:val="9"/>
        </w:numPr>
        <w:jc w:val="both"/>
        <w:rPr>
          <w:b/>
          <w:i/>
        </w:rPr>
      </w:pPr>
      <w:r w:rsidRPr="003F2C41">
        <w:rPr>
          <w:b/>
        </w:rPr>
        <w:t>2,</w:t>
      </w:r>
      <w:r w:rsidR="002520E7" w:rsidRPr="003F2C41">
        <w:rPr>
          <w:b/>
        </w:rPr>
        <w:t>87</w:t>
      </w:r>
      <w:r w:rsidRPr="003F2C41">
        <w:rPr>
          <w:b/>
        </w:rPr>
        <w:t xml:space="preserve"> </w:t>
      </w:r>
      <w:r w:rsidR="006A6334" w:rsidRPr="003F2C41">
        <w:rPr>
          <w:b/>
        </w:rPr>
        <w:t xml:space="preserve">millions de voyages quotidiens </w:t>
      </w:r>
      <w:r w:rsidR="006A6334" w:rsidRPr="003F2C41">
        <w:t>en semaine</w:t>
      </w:r>
      <w:r w:rsidR="006A6334" w:rsidRPr="003F2C41">
        <w:rPr>
          <w:b/>
        </w:rPr>
        <w:t xml:space="preserve"> </w:t>
      </w:r>
    </w:p>
    <w:p w14:paraId="21FD88FB" w14:textId="77777777" w:rsidR="006A6334" w:rsidRPr="00A51C82" w:rsidRDefault="006A6334" w:rsidP="004C4CA3">
      <w:pPr>
        <w:jc w:val="both"/>
        <w:rPr>
          <w:b/>
          <w:i/>
        </w:rPr>
      </w:pPr>
    </w:p>
    <w:p w14:paraId="24E421CD" w14:textId="40208DD9" w:rsidR="008B4DE3" w:rsidRPr="003F2C41" w:rsidRDefault="00192A76" w:rsidP="004C4CA3">
      <w:pPr>
        <w:jc w:val="both"/>
        <w:rPr>
          <w:b/>
          <w:i/>
          <w:u w:val="single"/>
        </w:rPr>
      </w:pPr>
      <w:r w:rsidRPr="003F2C41">
        <w:rPr>
          <w:b/>
          <w:i/>
          <w:u w:val="single"/>
        </w:rPr>
        <w:t>Résultats socio-</w:t>
      </w:r>
      <w:r w:rsidR="008B4DE3" w:rsidRPr="003F2C41">
        <w:rPr>
          <w:b/>
          <w:i/>
          <w:u w:val="single"/>
        </w:rPr>
        <w:t>économiques</w:t>
      </w:r>
      <w:r w:rsidR="0055381A" w:rsidRPr="003F2C41">
        <w:rPr>
          <w:b/>
          <w:i/>
          <w:u w:val="single"/>
        </w:rPr>
        <w:t xml:space="preserve"> </w:t>
      </w:r>
      <w:r w:rsidR="00AB37AA" w:rsidRPr="003F2C41">
        <w:rPr>
          <w:b/>
          <w:i/>
          <w:u w:val="single"/>
        </w:rPr>
        <w:t xml:space="preserve">du schéma d’ensemble </w:t>
      </w:r>
    </w:p>
    <w:p w14:paraId="5EF187BE" w14:textId="77777777" w:rsidR="00C74717" w:rsidRDefault="00C74717" w:rsidP="004C4CA3">
      <w:pPr>
        <w:jc w:val="both"/>
        <w:rPr>
          <w:b/>
          <w:i/>
          <w:u w:val="single"/>
        </w:rPr>
      </w:pPr>
    </w:p>
    <w:tbl>
      <w:tblPr>
        <w:tblW w:w="9809" w:type="dxa"/>
        <w:jc w:val="center"/>
        <w:tblCellMar>
          <w:left w:w="70" w:type="dxa"/>
          <w:right w:w="70" w:type="dxa"/>
        </w:tblCellMar>
        <w:tblLook w:val="04A0" w:firstRow="1" w:lastRow="0" w:firstColumn="1" w:lastColumn="0" w:noHBand="0" w:noVBand="1"/>
      </w:tblPr>
      <w:tblGrid>
        <w:gridCol w:w="4139"/>
        <w:gridCol w:w="2835"/>
        <w:gridCol w:w="2835"/>
      </w:tblGrid>
      <w:tr w:rsidR="00C74717" w:rsidRPr="00C74717" w14:paraId="48BE86BE" w14:textId="77777777" w:rsidTr="0084080B">
        <w:trPr>
          <w:trHeight w:val="227"/>
          <w:jc w:val="center"/>
        </w:trPr>
        <w:tc>
          <w:tcPr>
            <w:tcW w:w="4139" w:type="dxa"/>
            <w:tcBorders>
              <w:top w:val="single" w:sz="8" w:space="0" w:color="auto"/>
              <w:left w:val="single" w:sz="8" w:space="0" w:color="auto"/>
              <w:bottom w:val="single" w:sz="4" w:space="0" w:color="auto"/>
              <w:right w:val="single" w:sz="4" w:space="0" w:color="auto"/>
            </w:tcBorders>
            <w:shd w:val="clear" w:color="auto" w:fill="943634" w:themeFill="accent2" w:themeFillShade="BF"/>
            <w:noWrap/>
            <w:vAlign w:val="bottom"/>
            <w:hideMark/>
          </w:tcPr>
          <w:p w14:paraId="72F16ECB" w14:textId="77777777" w:rsidR="00C74717" w:rsidRPr="0054340B" w:rsidRDefault="00C74717" w:rsidP="00C74717">
            <w:pPr>
              <w:spacing w:before="120" w:after="120"/>
              <w:rPr>
                <w:rFonts w:eastAsia="Times New Roman"/>
                <w:b/>
                <w:color w:val="000000"/>
                <w:szCs w:val="20"/>
                <w:lang w:eastAsia="fr-FR"/>
              </w:rPr>
            </w:pPr>
            <w:r w:rsidRPr="0054340B">
              <w:rPr>
                <w:rFonts w:eastAsia="Times New Roman"/>
                <w:b/>
                <w:color w:val="FFFFFF" w:themeColor="background1"/>
                <w:szCs w:val="20"/>
                <w:lang w:eastAsia="fr-FR"/>
              </w:rPr>
              <w:t>Scénario bas</w:t>
            </w:r>
          </w:p>
        </w:tc>
        <w:tc>
          <w:tcPr>
            <w:tcW w:w="2835" w:type="dxa"/>
            <w:tcBorders>
              <w:top w:val="single" w:sz="8" w:space="0" w:color="auto"/>
              <w:left w:val="nil"/>
              <w:bottom w:val="single" w:sz="4" w:space="0" w:color="auto"/>
              <w:right w:val="single" w:sz="4" w:space="0" w:color="auto"/>
            </w:tcBorders>
            <w:shd w:val="clear" w:color="auto" w:fill="auto"/>
            <w:noWrap/>
            <w:vAlign w:val="bottom"/>
            <w:hideMark/>
          </w:tcPr>
          <w:p w14:paraId="33345BBB" w14:textId="73E29709" w:rsidR="00C74717" w:rsidRPr="00C74717" w:rsidRDefault="00C74717" w:rsidP="00C74717">
            <w:pPr>
              <w:spacing w:before="120" w:after="120"/>
              <w:jc w:val="center"/>
              <w:rPr>
                <w:rFonts w:eastAsia="Times New Roman"/>
                <w:b/>
                <w:color w:val="943634" w:themeColor="accent2" w:themeShade="BF"/>
                <w:szCs w:val="20"/>
                <w:lang w:eastAsia="fr-FR"/>
              </w:rPr>
            </w:pPr>
            <w:r w:rsidRPr="00C74717">
              <w:rPr>
                <w:rFonts w:eastAsia="Times New Roman"/>
                <w:b/>
                <w:color w:val="943634" w:themeColor="accent2" w:themeShade="BF"/>
                <w:szCs w:val="20"/>
                <w:lang w:eastAsia="fr-FR"/>
              </w:rPr>
              <w:t xml:space="preserve">VAN en </w:t>
            </w:r>
            <w:r w:rsidR="00594E99">
              <w:rPr>
                <w:rFonts w:eastAsia="Times New Roman"/>
                <w:b/>
                <w:color w:val="943634" w:themeColor="accent2" w:themeShade="BF"/>
                <w:szCs w:val="20"/>
                <w:lang w:eastAsia="fr-FR"/>
              </w:rPr>
              <w:t>m</w:t>
            </w:r>
            <w:r w:rsidRPr="00C74717">
              <w:rPr>
                <w:rFonts w:eastAsia="Times New Roman"/>
                <w:b/>
                <w:color w:val="943634" w:themeColor="accent2" w:themeShade="BF"/>
                <w:szCs w:val="20"/>
                <w:lang w:eastAsia="fr-FR"/>
              </w:rPr>
              <w:t>illiards €201</w:t>
            </w:r>
            <w:r w:rsidR="003F2C41">
              <w:rPr>
                <w:rFonts w:eastAsia="Times New Roman"/>
                <w:b/>
                <w:color w:val="943634" w:themeColor="accent2" w:themeShade="BF"/>
                <w:szCs w:val="20"/>
                <w:lang w:eastAsia="fr-FR"/>
              </w:rPr>
              <w:t>5</w:t>
            </w:r>
            <w:r w:rsidRPr="00C74717">
              <w:rPr>
                <w:rFonts w:eastAsia="Times New Roman"/>
                <w:b/>
                <w:color w:val="943634" w:themeColor="accent2" w:themeShade="BF"/>
                <w:szCs w:val="20"/>
                <w:lang w:eastAsia="fr-FR"/>
              </w:rPr>
              <w:t xml:space="preserve"> </w:t>
            </w:r>
          </w:p>
        </w:tc>
        <w:tc>
          <w:tcPr>
            <w:tcW w:w="2835" w:type="dxa"/>
            <w:tcBorders>
              <w:top w:val="single" w:sz="8" w:space="0" w:color="auto"/>
              <w:left w:val="nil"/>
              <w:bottom w:val="single" w:sz="4" w:space="0" w:color="auto"/>
              <w:right w:val="single" w:sz="8" w:space="0" w:color="auto"/>
            </w:tcBorders>
            <w:shd w:val="clear" w:color="auto" w:fill="auto"/>
            <w:noWrap/>
            <w:vAlign w:val="bottom"/>
            <w:hideMark/>
          </w:tcPr>
          <w:p w14:paraId="7AAFE3AE" w14:textId="77777777" w:rsidR="00C74717" w:rsidRPr="00C74717" w:rsidRDefault="00C74717" w:rsidP="00C74717">
            <w:pPr>
              <w:spacing w:before="120" w:after="120"/>
              <w:jc w:val="center"/>
              <w:rPr>
                <w:rFonts w:eastAsia="Times New Roman"/>
                <w:b/>
                <w:color w:val="943634" w:themeColor="accent2" w:themeShade="BF"/>
                <w:szCs w:val="20"/>
                <w:lang w:eastAsia="fr-FR"/>
              </w:rPr>
            </w:pPr>
            <w:r w:rsidRPr="00C74717">
              <w:rPr>
                <w:rFonts w:eastAsia="Times New Roman"/>
                <w:b/>
                <w:color w:val="943634" w:themeColor="accent2" w:themeShade="BF"/>
                <w:szCs w:val="20"/>
                <w:lang w:eastAsia="fr-FR"/>
              </w:rPr>
              <w:t>TRI</w:t>
            </w:r>
          </w:p>
        </w:tc>
      </w:tr>
      <w:tr w:rsidR="00C74717" w:rsidRPr="00C74717" w14:paraId="61A35C8F" w14:textId="77777777" w:rsidTr="0084080B">
        <w:trPr>
          <w:trHeight w:val="227"/>
          <w:jc w:val="center"/>
        </w:trPr>
        <w:tc>
          <w:tcPr>
            <w:tcW w:w="4139" w:type="dxa"/>
            <w:tcBorders>
              <w:top w:val="nil"/>
              <w:left w:val="single" w:sz="8" w:space="0" w:color="auto"/>
              <w:bottom w:val="single" w:sz="4" w:space="0" w:color="auto"/>
              <w:right w:val="single" w:sz="4" w:space="0" w:color="auto"/>
            </w:tcBorders>
            <w:shd w:val="clear" w:color="auto" w:fill="auto"/>
            <w:noWrap/>
            <w:vAlign w:val="bottom"/>
            <w:hideMark/>
          </w:tcPr>
          <w:p w14:paraId="5043FCAA" w14:textId="77777777" w:rsidR="00C74717" w:rsidRPr="00C74717" w:rsidRDefault="00C74717" w:rsidP="00C74717">
            <w:pPr>
              <w:spacing w:before="120" w:after="120"/>
              <w:rPr>
                <w:rFonts w:eastAsia="Times New Roman"/>
                <w:b/>
                <w:color w:val="943634" w:themeColor="accent2" w:themeShade="BF"/>
                <w:szCs w:val="20"/>
                <w:lang w:eastAsia="fr-FR"/>
              </w:rPr>
            </w:pPr>
            <w:r w:rsidRPr="00C74717">
              <w:rPr>
                <w:rFonts w:eastAsia="Times New Roman"/>
                <w:b/>
                <w:color w:val="943634" w:themeColor="accent2" w:themeShade="BF"/>
                <w:szCs w:val="20"/>
                <w:lang w:eastAsia="fr-FR"/>
              </w:rPr>
              <w:t>Programme du Grand Paris Express</w:t>
            </w:r>
          </w:p>
        </w:tc>
        <w:tc>
          <w:tcPr>
            <w:tcW w:w="2835" w:type="dxa"/>
            <w:tcBorders>
              <w:top w:val="nil"/>
              <w:left w:val="nil"/>
              <w:bottom w:val="single" w:sz="4" w:space="0" w:color="auto"/>
              <w:right w:val="single" w:sz="4" w:space="0" w:color="auto"/>
            </w:tcBorders>
            <w:shd w:val="clear" w:color="auto" w:fill="auto"/>
            <w:noWrap/>
            <w:vAlign w:val="bottom"/>
            <w:hideMark/>
          </w:tcPr>
          <w:p w14:paraId="5B40F733" w14:textId="0895228B" w:rsidR="00C74717" w:rsidRPr="00FA68A7" w:rsidRDefault="006770DE" w:rsidP="00C74717">
            <w:pPr>
              <w:spacing w:before="120" w:after="120"/>
              <w:jc w:val="center"/>
              <w:rPr>
                <w:rFonts w:eastAsia="Times New Roman"/>
                <w:b/>
                <w:color w:val="000000"/>
                <w:szCs w:val="20"/>
                <w:lang w:eastAsia="fr-FR"/>
              </w:rPr>
            </w:pPr>
            <w:r w:rsidRPr="006770DE">
              <w:rPr>
                <w:rFonts w:eastAsia="Times New Roman"/>
                <w:b/>
                <w:color w:val="00B050"/>
                <w:szCs w:val="20"/>
                <w:lang w:eastAsia="fr-FR"/>
              </w:rPr>
              <w:t>25,6</w:t>
            </w:r>
          </w:p>
        </w:tc>
        <w:tc>
          <w:tcPr>
            <w:tcW w:w="2835" w:type="dxa"/>
            <w:tcBorders>
              <w:top w:val="nil"/>
              <w:left w:val="nil"/>
              <w:bottom w:val="single" w:sz="4" w:space="0" w:color="auto"/>
              <w:right w:val="single" w:sz="8" w:space="0" w:color="auto"/>
            </w:tcBorders>
            <w:shd w:val="clear" w:color="auto" w:fill="auto"/>
            <w:noWrap/>
            <w:vAlign w:val="bottom"/>
            <w:hideMark/>
          </w:tcPr>
          <w:p w14:paraId="66583984" w14:textId="5BC8F18E" w:rsidR="00C74717" w:rsidRPr="00C74717" w:rsidRDefault="006770DE" w:rsidP="00C74717">
            <w:pPr>
              <w:spacing w:before="120" w:after="120"/>
              <w:jc w:val="center"/>
              <w:rPr>
                <w:rFonts w:eastAsia="Times New Roman"/>
                <w:b/>
                <w:color w:val="000000"/>
                <w:szCs w:val="20"/>
                <w:lang w:eastAsia="fr-FR"/>
              </w:rPr>
            </w:pPr>
            <w:r w:rsidRPr="006770DE">
              <w:rPr>
                <w:rFonts w:eastAsia="Times New Roman"/>
                <w:b/>
                <w:color w:val="00B050"/>
                <w:szCs w:val="20"/>
                <w:lang w:eastAsia="fr-FR"/>
              </w:rPr>
              <w:t>7,3</w:t>
            </w:r>
            <w:r w:rsidR="00C74717" w:rsidRPr="006770DE">
              <w:rPr>
                <w:rFonts w:eastAsia="Times New Roman"/>
                <w:b/>
                <w:color w:val="00B050"/>
                <w:szCs w:val="20"/>
                <w:lang w:eastAsia="fr-FR"/>
              </w:rPr>
              <w:t>%</w:t>
            </w:r>
          </w:p>
        </w:tc>
      </w:tr>
    </w:tbl>
    <w:p w14:paraId="050F629C" w14:textId="77777777" w:rsidR="00C74717" w:rsidRPr="00C74717" w:rsidRDefault="00C74717" w:rsidP="004C4CA3">
      <w:pPr>
        <w:jc w:val="both"/>
      </w:pPr>
    </w:p>
    <w:p w14:paraId="2A72FCA7" w14:textId="3BEE8E9B" w:rsidR="00AB37AA" w:rsidRPr="00EC34CF" w:rsidRDefault="00AB37AA" w:rsidP="00AB37AA">
      <w:pPr>
        <w:jc w:val="both"/>
        <w:rPr>
          <w:b/>
          <w:i/>
          <w:u w:val="single"/>
        </w:rPr>
      </w:pPr>
      <w:r w:rsidRPr="00EC34CF">
        <w:rPr>
          <w:b/>
          <w:i/>
          <w:u w:val="single"/>
        </w:rPr>
        <w:t xml:space="preserve">Résultats socio-économiques par ligne </w:t>
      </w:r>
    </w:p>
    <w:p w14:paraId="3A46A7DB" w14:textId="77777777" w:rsidR="00C74717" w:rsidRDefault="00C74717" w:rsidP="004C4CA3">
      <w:pPr>
        <w:jc w:val="both"/>
        <w:rPr>
          <w:b/>
          <w:i/>
          <w:u w:val="single"/>
        </w:rPr>
      </w:pPr>
    </w:p>
    <w:tbl>
      <w:tblPr>
        <w:tblW w:w="7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01"/>
        <w:gridCol w:w="2677"/>
      </w:tblGrid>
      <w:tr w:rsidR="00030B5A" w:rsidRPr="00030B5A" w14:paraId="03A9CFB0" w14:textId="77777777" w:rsidTr="0084080B">
        <w:trPr>
          <w:trHeight w:val="375"/>
          <w:jc w:val="center"/>
        </w:trPr>
        <w:tc>
          <w:tcPr>
            <w:tcW w:w="7078" w:type="dxa"/>
            <w:gridSpan w:val="2"/>
            <w:shd w:val="clear" w:color="auto" w:fill="auto"/>
            <w:noWrap/>
            <w:vAlign w:val="center"/>
            <w:hideMark/>
          </w:tcPr>
          <w:p w14:paraId="7927B724" w14:textId="4B3D050D" w:rsidR="00030B5A" w:rsidRPr="00E469A6" w:rsidRDefault="00030B5A" w:rsidP="00030B5A">
            <w:pPr>
              <w:jc w:val="center"/>
              <w:rPr>
                <w:rFonts w:eastAsia="Times New Roman"/>
                <w:b/>
                <w:bCs/>
                <w:color w:val="931638"/>
                <w:szCs w:val="20"/>
                <w:lang w:eastAsia="fr-FR"/>
              </w:rPr>
            </w:pPr>
            <w:r w:rsidRPr="00E469A6">
              <w:rPr>
                <w:rFonts w:eastAsia="Times New Roman"/>
                <w:b/>
                <w:bCs/>
                <w:color w:val="931638"/>
                <w:szCs w:val="20"/>
                <w:lang w:eastAsia="fr-FR"/>
              </w:rPr>
              <w:t>VAN en milliards €201</w:t>
            </w:r>
            <w:r w:rsidR="003F2C41" w:rsidRPr="00E469A6">
              <w:rPr>
                <w:rFonts w:eastAsia="Times New Roman"/>
                <w:b/>
                <w:bCs/>
                <w:color w:val="931638"/>
                <w:szCs w:val="20"/>
                <w:lang w:eastAsia="fr-FR"/>
              </w:rPr>
              <w:t>5</w:t>
            </w:r>
          </w:p>
        </w:tc>
      </w:tr>
      <w:tr w:rsidR="006770DE" w:rsidRPr="00030B5A" w14:paraId="77AAAD09" w14:textId="77777777" w:rsidTr="0084080B">
        <w:trPr>
          <w:trHeight w:val="283"/>
          <w:jc w:val="center"/>
        </w:trPr>
        <w:tc>
          <w:tcPr>
            <w:tcW w:w="4401" w:type="dxa"/>
            <w:shd w:val="clear" w:color="auto" w:fill="auto"/>
            <w:noWrap/>
            <w:hideMark/>
          </w:tcPr>
          <w:p w14:paraId="24914883" w14:textId="31CD8EFB" w:rsidR="006770DE" w:rsidRPr="001E2A08" w:rsidRDefault="006770DE" w:rsidP="006770DE">
            <w:pPr>
              <w:rPr>
                <w:rFonts w:eastAsia="Times New Roman"/>
                <w:b/>
                <w:bCs/>
                <w:color w:val="943634" w:themeColor="accent2" w:themeShade="BF"/>
                <w:szCs w:val="20"/>
                <w:lang w:eastAsia="fr-FR"/>
              </w:rPr>
            </w:pPr>
            <w:r w:rsidRPr="001E2A08">
              <w:rPr>
                <w:b/>
                <w:bCs/>
              </w:rPr>
              <w:t>Ligne 14 Sud</w:t>
            </w:r>
          </w:p>
        </w:tc>
        <w:tc>
          <w:tcPr>
            <w:tcW w:w="2677" w:type="dxa"/>
            <w:shd w:val="clear" w:color="auto" w:fill="auto"/>
            <w:noWrap/>
            <w:hideMark/>
          </w:tcPr>
          <w:p w14:paraId="74979E8E" w14:textId="3F6F9D80" w:rsidR="006770DE" w:rsidRPr="006770DE" w:rsidRDefault="006770DE" w:rsidP="006770DE">
            <w:pPr>
              <w:jc w:val="center"/>
              <w:rPr>
                <w:rFonts w:eastAsia="Times New Roman"/>
                <w:b/>
                <w:bCs/>
                <w:color w:val="00B050"/>
                <w:szCs w:val="20"/>
                <w:lang w:eastAsia="fr-FR"/>
              </w:rPr>
            </w:pPr>
            <w:r w:rsidRPr="006770DE">
              <w:rPr>
                <w:b/>
                <w:bCs/>
                <w:color w:val="00B050"/>
              </w:rPr>
              <w:t>1,8</w:t>
            </w:r>
          </w:p>
        </w:tc>
      </w:tr>
      <w:tr w:rsidR="006770DE" w:rsidRPr="00030B5A" w14:paraId="07149848" w14:textId="77777777" w:rsidTr="0084080B">
        <w:trPr>
          <w:trHeight w:val="283"/>
          <w:jc w:val="center"/>
        </w:trPr>
        <w:tc>
          <w:tcPr>
            <w:tcW w:w="4401" w:type="dxa"/>
            <w:shd w:val="clear" w:color="auto" w:fill="auto"/>
            <w:noWrap/>
            <w:hideMark/>
          </w:tcPr>
          <w:p w14:paraId="69BD316C" w14:textId="3DE1530F" w:rsidR="006770DE" w:rsidRPr="001E2A08" w:rsidRDefault="006770DE" w:rsidP="006770DE">
            <w:pPr>
              <w:rPr>
                <w:rFonts w:eastAsia="Times New Roman"/>
                <w:b/>
                <w:bCs/>
                <w:color w:val="943634" w:themeColor="accent2" w:themeShade="BF"/>
                <w:szCs w:val="20"/>
                <w:lang w:eastAsia="fr-FR"/>
              </w:rPr>
            </w:pPr>
            <w:r w:rsidRPr="001E2A08">
              <w:rPr>
                <w:b/>
                <w:bCs/>
              </w:rPr>
              <w:t xml:space="preserve">Ligne 15 </w:t>
            </w:r>
            <w:r>
              <w:rPr>
                <w:b/>
                <w:bCs/>
              </w:rPr>
              <w:t>Ouest</w:t>
            </w:r>
          </w:p>
        </w:tc>
        <w:tc>
          <w:tcPr>
            <w:tcW w:w="2677" w:type="dxa"/>
            <w:shd w:val="clear" w:color="auto" w:fill="auto"/>
            <w:noWrap/>
            <w:hideMark/>
          </w:tcPr>
          <w:p w14:paraId="1A1DDF84" w14:textId="0F6C88CC" w:rsidR="006770DE" w:rsidRPr="006770DE" w:rsidRDefault="006770DE" w:rsidP="006770DE">
            <w:pPr>
              <w:jc w:val="center"/>
              <w:rPr>
                <w:rFonts w:eastAsia="Times New Roman"/>
                <w:b/>
                <w:bCs/>
                <w:color w:val="00B050"/>
                <w:szCs w:val="20"/>
                <w:lang w:eastAsia="fr-FR"/>
              </w:rPr>
            </w:pPr>
            <w:r w:rsidRPr="006770DE">
              <w:rPr>
                <w:b/>
                <w:bCs/>
                <w:color w:val="00B050"/>
              </w:rPr>
              <w:t>2,2</w:t>
            </w:r>
          </w:p>
        </w:tc>
      </w:tr>
      <w:tr w:rsidR="006770DE" w:rsidRPr="00030B5A" w14:paraId="4ADBB9B4" w14:textId="77777777" w:rsidTr="0084080B">
        <w:trPr>
          <w:trHeight w:val="283"/>
          <w:jc w:val="center"/>
        </w:trPr>
        <w:tc>
          <w:tcPr>
            <w:tcW w:w="4401" w:type="dxa"/>
            <w:shd w:val="clear" w:color="auto" w:fill="auto"/>
            <w:noWrap/>
            <w:hideMark/>
          </w:tcPr>
          <w:p w14:paraId="3C22C704" w14:textId="5FFC99B5" w:rsidR="006770DE" w:rsidRPr="001E2A08" w:rsidRDefault="006770DE" w:rsidP="006770DE">
            <w:pPr>
              <w:rPr>
                <w:rFonts w:eastAsia="Times New Roman"/>
                <w:b/>
                <w:bCs/>
                <w:color w:val="943634" w:themeColor="accent2" w:themeShade="BF"/>
                <w:szCs w:val="20"/>
                <w:lang w:eastAsia="fr-FR"/>
              </w:rPr>
            </w:pPr>
            <w:r w:rsidRPr="001E2A08">
              <w:rPr>
                <w:b/>
                <w:bCs/>
              </w:rPr>
              <w:t>Ligne 15 Sud</w:t>
            </w:r>
          </w:p>
        </w:tc>
        <w:tc>
          <w:tcPr>
            <w:tcW w:w="2677" w:type="dxa"/>
            <w:shd w:val="clear" w:color="auto" w:fill="auto"/>
            <w:noWrap/>
            <w:hideMark/>
          </w:tcPr>
          <w:p w14:paraId="1D39BB86" w14:textId="1D1F497E" w:rsidR="006770DE" w:rsidRPr="006770DE" w:rsidRDefault="006770DE" w:rsidP="006770DE">
            <w:pPr>
              <w:jc w:val="center"/>
              <w:rPr>
                <w:rFonts w:eastAsia="Times New Roman"/>
                <w:b/>
                <w:bCs/>
                <w:color w:val="00B050"/>
                <w:szCs w:val="20"/>
                <w:lang w:eastAsia="fr-FR"/>
              </w:rPr>
            </w:pPr>
            <w:r w:rsidRPr="006770DE">
              <w:rPr>
                <w:b/>
                <w:bCs/>
                <w:color w:val="00B050"/>
              </w:rPr>
              <w:t>2,8</w:t>
            </w:r>
          </w:p>
        </w:tc>
      </w:tr>
      <w:tr w:rsidR="006770DE" w:rsidRPr="00030B5A" w14:paraId="39A9B647" w14:textId="77777777" w:rsidTr="0084080B">
        <w:trPr>
          <w:trHeight w:val="283"/>
          <w:jc w:val="center"/>
        </w:trPr>
        <w:tc>
          <w:tcPr>
            <w:tcW w:w="4401" w:type="dxa"/>
            <w:shd w:val="clear" w:color="auto" w:fill="auto"/>
            <w:noWrap/>
            <w:hideMark/>
          </w:tcPr>
          <w:p w14:paraId="6A7006CE" w14:textId="09FF8E1F" w:rsidR="006770DE" w:rsidRPr="001E2A08" w:rsidRDefault="006770DE" w:rsidP="006770DE">
            <w:pPr>
              <w:rPr>
                <w:rFonts w:eastAsia="Times New Roman"/>
                <w:b/>
                <w:bCs/>
                <w:color w:val="943634" w:themeColor="accent2" w:themeShade="BF"/>
                <w:szCs w:val="20"/>
                <w:lang w:eastAsia="fr-FR"/>
              </w:rPr>
            </w:pPr>
            <w:r w:rsidRPr="001E2A08">
              <w:rPr>
                <w:b/>
                <w:bCs/>
              </w:rPr>
              <w:t>Ligne 15 E</w:t>
            </w:r>
            <w:r>
              <w:rPr>
                <w:b/>
                <w:bCs/>
              </w:rPr>
              <w:t>st</w:t>
            </w:r>
          </w:p>
        </w:tc>
        <w:tc>
          <w:tcPr>
            <w:tcW w:w="2677" w:type="dxa"/>
            <w:shd w:val="clear" w:color="auto" w:fill="auto"/>
            <w:noWrap/>
            <w:hideMark/>
          </w:tcPr>
          <w:p w14:paraId="66C1F390" w14:textId="1322DAED" w:rsidR="006770DE" w:rsidRPr="006770DE" w:rsidRDefault="006770DE" w:rsidP="006770DE">
            <w:pPr>
              <w:jc w:val="center"/>
              <w:rPr>
                <w:rFonts w:eastAsia="Times New Roman"/>
                <w:b/>
                <w:bCs/>
                <w:color w:val="00B050"/>
                <w:szCs w:val="20"/>
                <w:lang w:eastAsia="fr-FR"/>
              </w:rPr>
            </w:pPr>
            <w:r w:rsidRPr="006770DE">
              <w:rPr>
                <w:b/>
                <w:bCs/>
                <w:color w:val="00B050"/>
              </w:rPr>
              <w:t>2,3</w:t>
            </w:r>
          </w:p>
        </w:tc>
      </w:tr>
      <w:tr w:rsidR="006770DE" w:rsidRPr="00030B5A" w14:paraId="60A1F067" w14:textId="77777777" w:rsidTr="0084080B">
        <w:trPr>
          <w:trHeight w:val="283"/>
          <w:jc w:val="center"/>
        </w:trPr>
        <w:tc>
          <w:tcPr>
            <w:tcW w:w="4401" w:type="dxa"/>
            <w:shd w:val="clear" w:color="auto" w:fill="auto"/>
            <w:noWrap/>
            <w:hideMark/>
          </w:tcPr>
          <w:p w14:paraId="3EC288E6" w14:textId="5FE3479D" w:rsidR="006770DE" w:rsidRPr="001E2A08" w:rsidRDefault="006770DE" w:rsidP="006770DE">
            <w:pPr>
              <w:rPr>
                <w:rFonts w:eastAsia="Times New Roman"/>
                <w:b/>
                <w:bCs/>
                <w:color w:val="943634" w:themeColor="accent2" w:themeShade="BF"/>
                <w:szCs w:val="20"/>
                <w:lang w:eastAsia="fr-FR"/>
              </w:rPr>
            </w:pPr>
            <w:r w:rsidRPr="001E2A08">
              <w:rPr>
                <w:b/>
                <w:bCs/>
              </w:rPr>
              <w:t>Ligne 16</w:t>
            </w:r>
          </w:p>
        </w:tc>
        <w:tc>
          <w:tcPr>
            <w:tcW w:w="2677" w:type="dxa"/>
            <w:shd w:val="clear" w:color="auto" w:fill="auto"/>
            <w:noWrap/>
            <w:hideMark/>
          </w:tcPr>
          <w:p w14:paraId="480AC7DB" w14:textId="0B0EBEDB" w:rsidR="006770DE" w:rsidRPr="006770DE" w:rsidRDefault="006770DE" w:rsidP="006770DE">
            <w:pPr>
              <w:jc w:val="center"/>
              <w:rPr>
                <w:rFonts w:eastAsia="Times New Roman"/>
                <w:b/>
                <w:bCs/>
                <w:color w:val="00B050"/>
                <w:szCs w:val="20"/>
                <w:lang w:eastAsia="fr-FR"/>
              </w:rPr>
            </w:pPr>
            <w:r w:rsidRPr="006770DE">
              <w:rPr>
                <w:b/>
                <w:bCs/>
                <w:color w:val="00B050"/>
              </w:rPr>
              <w:t>1,4</w:t>
            </w:r>
          </w:p>
        </w:tc>
      </w:tr>
      <w:tr w:rsidR="006770DE" w:rsidRPr="00030B5A" w14:paraId="180FAB60" w14:textId="77777777" w:rsidTr="0084080B">
        <w:trPr>
          <w:trHeight w:val="283"/>
          <w:jc w:val="center"/>
        </w:trPr>
        <w:tc>
          <w:tcPr>
            <w:tcW w:w="4401" w:type="dxa"/>
            <w:shd w:val="clear" w:color="auto" w:fill="auto"/>
            <w:noWrap/>
            <w:hideMark/>
          </w:tcPr>
          <w:p w14:paraId="3F908313" w14:textId="246C3FB4" w:rsidR="006770DE" w:rsidRPr="001E2A08" w:rsidRDefault="006770DE" w:rsidP="006770DE">
            <w:pPr>
              <w:rPr>
                <w:rFonts w:eastAsia="Times New Roman"/>
                <w:b/>
                <w:bCs/>
                <w:color w:val="943634" w:themeColor="accent2" w:themeShade="BF"/>
                <w:szCs w:val="20"/>
                <w:lang w:eastAsia="fr-FR"/>
              </w:rPr>
            </w:pPr>
            <w:r w:rsidRPr="001E2A08">
              <w:rPr>
                <w:b/>
                <w:bCs/>
              </w:rPr>
              <w:t>Ligne 17 Nord</w:t>
            </w:r>
          </w:p>
        </w:tc>
        <w:tc>
          <w:tcPr>
            <w:tcW w:w="2677" w:type="dxa"/>
            <w:shd w:val="clear" w:color="auto" w:fill="auto"/>
            <w:noWrap/>
            <w:hideMark/>
          </w:tcPr>
          <w:p w14:paraId="260139B5" w14:textId="0D124242" w:rsidR="006770DE" w:rsidRPr="006770DE" w:rsidRDefault="006770DE" w:rsidP="006770DE">
            <w:pPr>
              <w:jc w:val="center"/>
              <w:rPr>
                <w:rFonts w:eastAsia="Times New Roman"/>
                <w:b/>
                <w:bCs/>
                <w:color w:val="00B050"/>
                <w:szCs w:val="20"/>
                <w:lang w:eastAsia="fr-FR"/>
              </w:rPr>
            </w:pPr>
            <w:r w:rsidRPr="006770DE">
              <w:rPr>
                <w:b/>
                <w:bCs/>
                <w:color w:val="00B050"/>
              </w:rPr>
              <w:t>7,2</w:t>
            </w:r>
          </w:p>
        </w:tc>
      </w:tr>
      <w:tr w:rsidR="006770DE" w:rsidRPr="00030B5A" w14:paraId="0858EBDB" w14:textId="77777777" w:rsidTr="0084080B">
        <w:trPr>
          <w:trHeight w:val="283"/>
          <w:jc w:val="center"/>
        </w:trPr>
        <w:tc>
          <w:tcPr>
            <w:tcW w:w="4401" w:type="dxa"/>
            <w:shd w:val="clear" w:color="auto" w:fill="auto"/>
            <w:noWrap/>
            <w:hideMark/>
          </w:tcPr>
          <w:p w14:paraId="2C2E3474" w14:textId="25111E96" w:rsidR="006770DE" w:rsidRPr="001E2A08" w:rsidRDefault="006770DE" w:rsidP="006770DE">
            <w:pPr>
              <w:rPr>
                <w:rFonts w:eastAsia="Times New Roman"/>
                <w:b/>
                <w:bCs/>
                <w:color w:val="943634" w:themeColor="accent2" w:themeShade="BF"/>
                <w:szCs w:val="20"/>
                <w:lang w:eastAsia="fr-FR"/>
              </w:rPr>
            </w:pPr>
            <w:r w:rsidRPr="001E2A08">
              <w:rPr>
                <w:b/>
                <w:bCs/>
              </w:rPr>
              <w:t>Ligne 18 Orly-Versailles</w:t>
            </w:r>
          </w:p>
        </w:tc>
        <w:tc>
          <w:tcPr>
            <w:tcW w:w="2677" w:type="dxa"/>
            <w:shd w:val="clear" w:color="auto" w:fill="auto"/>
            <w:noWrap/>
            <w:hideMark/>
          </w:tcPr>
          <w:p w14:paraId="039F10EC" w14:textId="49DB14A8" w:rsidR="006770DE" w:rsidRPr="006770DE" w:rsidRDefault="006770DE" w:rsidP="006770DE">
            <w:pPr>
              <w:jc w:val="center"/>
              <w:rPr>
                <w:rFonts w:eastAsia="Times New Roman"/>
                <w:b/>
                <w:bCs/>
                <w:color w:val="00B050"/>
                <w:szCs w:val="20"/>
                <w:lang w:eastAsia="fr-FR"/>
              </w:rPr>
            </w:pPr>
            <w:r w:rsidRPr="006770DE">
              <w:rPr>
                <w:b/>
                <w:bCs/>
                <w:color w:val="00B050"/>
              </w:rPr>
              <w:t>6,4</w:t>
            </w:r>
          </w:p>
        </w:tc>
      </w:tr>
      <w:tr w:rsidR="006770DE" w:rsidRPr="00030B5A" w14:paraId="678CCDF9" w14:textId="77777777" w:rsidTr="0084080B">
        <w:trPr>
          <w:trHeight w:val="283"/>
          <w:jc w:val="center"/>
        </w:trPr>
        <w:tc>
          <w:tcPr>
            <w:tcW w:w="4401" w:type="dxa"/>
            <w:shd w:val="clear" w:color="auto" w:fill="auto"/>
            <w:noWrap/>
          </w:tcPr>
          <w:p w14:paraId="09DABB7F" w14:textId="3ADFA53C" w:rsidR="006770DE" w:rsidRPr="001E2A08" w:rsidRDefault="006770DE" w:rsidP="006770DE">
            <w:pPr>
              <w:rPr>
                <w:rFonts w:eastAsia="Times New Roman"/>
                <w:b/>
                <w:bCs/>
                <w:color w:val="943634" w:themeColor="accent2" w:themeShade="BF"/>
                <w:szCs w:val="20"/>
                <w:lang w:eastAsia="fr-FR"/>
              </w:rPr>
            </w:pPr>
            <w:r w:rsidRPr="001E2A08">
              <w:rPr>
                <w:b/>
                <w:bCs/>
              </w:rPr>
              <w:t>Ligne 18 Versailles-Nanterre</w:t>
            </w:r>
          </w:p>
        </w:tc>
        <w:tc>
          <w:tcPr>
            <w:tcW w:w="2677" w:type="dxa"/>
            <w:shd w:val="clear" w:color="auto" w:fill="auto"/>
            <w:noWrap/>
          </w:tcPr>
          <w:p w14:paraId="27579F73" w14:textId="430825ED" w:rsidR="006770DE" w:rsidRPr="006770DE" w:rsidRDefault="006770DE" w:rsidP="006770DE">
            <w:pPr>
              <w:jc w:val="center"/>
              <w:rPr>
                <w:rFonts w:eastAsia="Times New Roman"/>
                <w:b/>
                <w:bCs/>
                <w:color w:val="00B050"/>
                <w:szCs w:val="20"/>
                <w:lang w:eastAsia="fr-FR"/>
              </w:rPr>
            </w:pPr>
            <w:r w:rsidRPr="006770DE">
              <w:rPr>
                <w:b/>
                <w:bCs/>
                <w:color w:val="00B050"/>
              </w:rPr>
              <w:t>1,5</w:t>
            </w:r>
          </w:p>
        </w:tc>
      </w:tr>
    </w:tbl>
    <w:p w14:paraId="0D5D0514" w14:textId="77777777" w:rsidR="00AB37AA" w:rsidRPr="00AB37AA" w:rsidRDefault="00AB37AA" w:rsidP="004C4CA3">
      <w:pPr>
        <w:jc w:val="both"/>
      </w:pPr>
    </w:p>
    <w:p w14:paraId="2DD22A6D" w14:textId="77777777" w:rsidR="00C568A2" w:rsidRDefault="00C568A2" w:rsidP="00C568A2">
      <w:pPr>
        <w:suppressAutoHyphens/>
        <w:jc w:val="both"/>
        <w:rPr>
          <w:b/>
          <w:i/>
        </w:rPr>
      </w:pPr>
      <w:r w:rsidRPr="00A51C82">
        <w:rPr>
          <w:b/>
          <w:i/>
          <w:u w:val="single"/>
        </w:rPr>
        <w:t>Valeurs tutélaires et paramètres retenus pour les options présentés</w:t>
      </w:r>
      <w:r w:rsidRPr="00A51C82">
        <w:rPr>
          <w:b/>
          <w:i/>
        </w:rPr>
        <w:t> :</w:t>
      </w:r>
    </w:p>
    <w:p w14:paraId="72B26658" w14:textId="77777777" w:rsidR="00C568A2" w:rsidRPr="00DD1CAF" w:rsidRDefault="00C568A2" w:rsidP="00C568A2">
      <w:pPr>
        <w:suppressAutoHyphens/>
        <w:jc w:val="both"/>
        <w:rPr>
          <w:b/>
          <w:i/>
          <w:iCs/>
          <w:szCs w:val="20"/>
        </w:rPr>
      </w:pPr>
    </w:p>
    <w:tbl>
      <w:tblPr>
        <w:tblW w:w="10780" w:type="dxa"/>
        <w:tblCellMar>
          <w:left w:w="70" w:type="dxa"/>
          <w:right w:w="70" w:type="dxa"/>
        </w:tblCellMar>
        <w:tblLook w:val="04A0" w:firstRow="1" w:lastRow="0" w:firstColumn="1" w:lastColumn="0" w:noHBand="0" w:noVBand="1"/>
      </w:tblPr>
      <w:tblGrid>
        <w:gridCol w:w="2548"/>
        <w:gridCol w:w="2484"/>
        <w:gridCol w:w="1842"/>
        <w:gridCol w:w="3906"/>
      </w:tblGrid>
      <w:tr w:rsidR="00C568A2" w:rsidRPr="00DD1CAF" w14:paraId="7D374C4D" w14:textId="77777777" w:rsidTr="009908F1">
        <w:trPr>
          <w:trHeight w:val="315"/>
        </w:trPr>
        <w:tc>
          <w:tcPr>
            <w:tcW w:w="2548" w:type="dxa"/>
            <w:tcBorders>
              <w:top w:val="single" w:sz="8" w:space="0" w:color="auto"/>
              <w:left w:val="single" w:sz="8" w:space="0" w:color="auto"/>
              <w:bottom w:val="single" w:sz="8" w:space="0" w:color="auto"/>
              <w:right w:val="single" w:sz="8" w:space="0" w:color="auto"/>
            </w:tcBorders>
            <w:shd w:val="clear" w:color="000000" w:fill="931638"/>
            <w:vAlign w:val="center"/>
            <w:hideMark/>
          </w:tcPr>
          <w:p w14:paraId="410D3A80" w14:textId="77777777" w:rsidR="00C568A2" w:rsidRPr="00DD1CAF" w:rsidRDefault="00C568A2" w:rsidP="009908F1">
            <w:pPr>
              <w:suppressAutoHyphens/>
              <w:jc w:val="center"/>
              <w:rPr>
                <w:rFonts w:eastAsia="Times New Roman"/>
                <w:b/>
                <w:bCs/>
                <w:color w:val="FFFFFF"/>
                <w:szCs w:val="20"/>
                <w:lang w:eastAsia="fr-FR"/>
              </w:rPr>
            </w:pPr>
            <w:r w:rsidRPr="00DD1CAF">
              <w:rPr>
                <w:rFonts w:eastAsia="Times New Roman"/>
                <w:b/>
                <w:bCs/>
                <w:color w:val="FFFFFF"/>
                <w:szCs w:val="20"/>
                <w:lang w:eastAsia="fr-FR"/>
              </w:rPr>
              <w:t xml:space="preserve">Année </w:t>
            </w:r>
          </w:p>
          <w:p w14:paraId="338A1625" w14:textId="77777777" w:rsidR="00C568A2" w:rsidRPr="00DD1CAF" w:rsidRDefault="00C568A2" w:rsidP="009908F1">
            <w:pPr>
              <w:suppressAutoHyphens/>
              <w:jc w:val="center"/>
              <w:rPr>
                <w:rFonts w:eastAsia="Times New Roman"/>
                <w:b/>
                <w:bCs/>
                <w:color w:val="FFFFFF"/>
                <w:szCs w:val="20"/>
                <w:lang w:eastAsia="fr-FR"/>
              </w:rPr>
            </w:pPr>
            <w:r w:rsidRPr="00DD1CAF">
              <w:rPr>
                <w:rFonts w:eastAsia="Times New Roman"/>
                <w:b/>
                <w:bCs/>
                <w:color w:val="FFFFFF"/>
                <w:szCs w:val="20"/>
                <w:lang w:eastAsia="fr-FR"/>
              </w:rPr>
              <w:t>d'actualisation</w:t>
            </w:r>
          </w:p>
        </w:tc>
        <w:tc>
          <w:tcPr>
            <w:tcW w:w="8232" w:type="dxa"/>
            <w:gridSpan w:val="3"/>
            <w:tcBorders>
              <w:top w:val="single" w:sz="8" w:space="0" w:color="auto"/>
              <w:left w:val="nil"/>
              <w:bottom w:val="single" w:sz="8" w:space="0" w:color="auto"/>
              <w:right w:val="single" w:sz="8" w:space="0" w:color="000000"/>
            </w:tcBorders>
            <w:shd w:val="clear" w:color="000000" w:fill="FFFFFF"/>
            <w:noWrap/>
            <w:vAlign w:val="center"/>
            <w:hideMark/>
          </w:tcPr>
          <w:p w14:paraId="53805485" w14:textId="77777777" w:rsidR="00C568A2" w:rsidRPr="00DD1CAF" w:rsidRDefault="00C568A2" w:rsidP="009908F1">
            <w:pPr>
              <w:suppressAutoHyphens/>
              <w:jc w:val="center"/>
              <w:rPr>
                <w:rFonts w:eastAsia="Times New Roman"/>
                <w:b/>
                <w:bCs/>
                <w:i/>
                <w:iCs/>
                <w:szCs w:val="20"/>
                <w:lang w:eastAsia="fr-FR"/>
              </w:rPr>
            </w:pPr>
            <w:r w:rsidRPr="00DD1CAF">
              <w:rPr>
                <w:rFonts w:eastAsia="Times New Roman"/>
                <w:b/>
                <w:bCs/>
                <w:i/>
                <w:iCs/>
                <w:szCs w:val="20"/>
                <w:lang w:eastAsia="fr-FR"/>
              </w:rPr>
              <w:t>2015</w:t>
            </w:r>
          </w:p>
        </w:tc>
      </w:tr>
      <w:tr w:rsidR="00C568A2" w:rsidRPr="00DD1CAF" w14:paraId="005F423F" w14:textId="77777777" w:rsidTr="009908F1">
        <w:trPr>
          <w:trHeight w:val="315"/>
        </w:trPr>
        <w:tc>
          <w:tcPr>
            <w:tcW w:w="2548" w:type="dxa"/>
            <w:vMerge w:val="restart"/>
            <w:tcBorders>
              <w:top w:val="nil"/>
              <w:left w:val="single" w:sz="8" w:space="0" w:color="auto"/>
              <w:bottom w:val="single" w:sz="8" w:space="0" w:color="000000"/>
              <w:right w:val="single" w:sz="8" w:space="0" w:color="auto"/>
            </w:tcBorders>
            <w:shd w:val="clear" w:color="000000" w:fill="931638"/>
            <w:vAlign w:val="center"/>
            <w:hideMark/>
          </w:tcPr>
          <w:p w14:paraId="4D772BF2" w14:textId="77777777" w:rsidR="00C568A2" w:rsidRPr="00DD1CAF" w:rsidRDefault="00C568A2" w:rsidP="009908F1">
            <w:pPr>
              <w:suppressAutoHyphens/>
              <w:jc w:val="center"/>
              <w:rPr>
                <w:rFonts w:eastAsia="Times New Roman"/>
                <w:b/>
                <w:bCs/>
                <w:color w:val="FFFFFF"/>
                <w:szCs w:val="20"/>
                <w:lang w:eastAsia="fr-FR"/>
              </w:rPr>
            </w:pPr>
            <w:r w:rsidRPr="00DD1CAF">
              <w:rPr>
                <w:rFonts w:eastAsia="Times New Roman"/>
                <w:b/>
                <w:bCs/>
                <w:color w:val="FFFFFF"/>
                <w:szCs w:val="20"/>
                <w:lang w:eastAsia="fr-FR"/>
              </w:rPr>
              <w:t>Taux d'actualisation</w:t>
            </w:r>
          </w:p>
        </w:tc>
        <w:tc>
          <w:tcPr>
            <w:tcW w:w="4326" w:type="dxa"/>
            <w:gridSpan w:val="2"/>
            <w:tcBorders>
              <w:top w:val="single" w:sz="8" w:space="0" w:color="auto"/>
              <w:left w:val="nil"/>
              <w:bottom w:val="single" w:sz="8" w:space="0" w:color="auto"/>
              <w:right w:val="single" w:sz="8" w:space="0" w:color="000000"/>
            </w:tcBorders>
            <w:shd w:val="clear" w:color="000000" w:fill="FFFFFF"/>
            <w:noWrap/>
            <w:vAlign w:val="center"/>
            <w:hideMark/>
          </w:tcPr>
          <w:p w14:paraId="6FDDB40F"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Calcul sans prise en compte du risque</w:t>
            </w:r>
          </w:p>
        </w:tc>
        <w:tc>
          <w:tcPr>
            <w:tcW w:w="3906" w:type="dxa"/>
            <w:tcBorders>
              <w:top w:val="nil"/>
              <w:left w:val="nil"/>
              <w:bottom w:val="single" w:sz="8" w:space="0" w:color="auto"/>
              <w:right w:val="single" w:sz="8" w:space="0" w:color="auto"/>
            </w:tcBorders>
            <w:shd w:val="clear" w:color="000000" w:fill="FFFFFF"/>
            <w:noWrap/>
            <w:vAlign w:val="center"/>
            <w:hideMark/>
          </w:tcPr>
          <w:p w14:paraId="275198CA"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4,00%</w:t>
            </w:r>
          </w:p>
        </w:tc>
      </w:tr>
      <w:tr w:rsidR="00C568A2" w:rsidRPr="00DD1CAF" w14:paraId="0061CDFB" w14:textId="77777777" w:rsidTr="009908F1">
        <w:trPr>
          <w:trHeight w:val="315"/>
        </w:trPr>
        <w:tc>
          <w:tcPr>
            <w:tcW w:w="2548" w:type="dxa"/>
            <w:vMerge/>
            <w:tcBorders>
              <w:top w:val="nil"/>
              <w:left w:val="single" w:sz="8" w:space="0" w:color="auto"/>
              <w:bottom w:val="single" w:sz="8" w:space="0" w:color="000000"/>
              <w:right w:val="single" w:sz="8" w:space="0" w:color="auto"/>
            </w:tcBorders>
            <w:vAlign w:val="center"/>
            <w:hideMark/>
          </w:tcPr>
          <w:p w14:paraId="617D1B97" w14:textId="77777777" w:rsidR="00C568A2" w:rsidRPr="00DD1CAF" w:rsidRDefault="00C568A2" w:rsidP="009908F1">
            <w:pPr>
              <w:suppressAutoHyphens/>
              <w:rPr>
                <w:rFonts w:eastAsia="Times New Roman"/>
                <w:b/>
                <w:bCs/>
                <w:color w:val="FFFFFF"/>
                <w:szCs w:val="20"/>
                <w:lang w:eastAsia="fr-FR"/>
              </w:rPr>
            </w:pPr>
          </w:p>
        </w:tc>
        <w:tc>
          <w:tcPr>
            <w:tcW w:w="2484"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7984C3F"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Avec prise en compte des risques</w:t>
            </w:r>
          </w:p>
        </w:tc>
        <w:tc>
          <w:tcPr>
            <w:tcW w:w="1842" w:type="dxa"/>
            <w:tcBorders>
              <w:top w:val="nil"/>
              <w:left w:val="nil"/>
              <w:bottom w:val="single" w:sz="8" w:space="0" w:color="auto"/>
              <w:right w:val="single" w:sz="8" w:space="0" w:color="auto"/>
            </w:tcBorders>
            <w:shd w:val="clear" w:color="000000" w:fill="FFFFFF"/>
            <w:noWrap/>
            <w:vAlign w:val="center"/>
            <w:hideMark/>
          </w:tcPr>
          <w:p w14:paraId="48B1CD53"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Calcul élémentaire</w:t>
            </w:r>
          </w:p>
        </w:tc>
        <w:tc>
          <w:tcPr>
            <w:tcW w:w="3906" w:type="dxa"/>
            <w:tcBorders>
              <w:top w:val="nil"/>
              <w:left w:val="nil"/>
              <w:bottom w:val="single" w:sz="4" w:space="0" w:color="auto"/>
              <w:right w:val="single" w:sz="8" w:space="0" w:color="auto"/>
            </w:tcBorders>
            <w:shd w:val="clear" w:color="000000" w:fill="FFFFFF"/>
            <w:noWrap/>
            <w:vAlign w:val="center"/>
            <w:hideMark/>
          </w:tcPr>
          <w:p w14:paraId="681ECB15"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4,50%</w:t>
            </w:r>
          </w:p>
        </w:tc>
      </w:tr>
      <w:tr w:rsidR="00C568A2" w:rsidRPr="00DD1CAF" w14:paraId="2CC8EEE4" w14:textId="77777777" w:rsidTr="009908F1">
        <w:trPr>
          <w:trHeight w:val="319"/>
        </w:trPr>
        <w:tc>
          <w:tcPr>
            <w:tcW w:w="2548" w:type="dxa"/>
            <w:vMerge/>
            <w:tcBorders>
              <w:top w:val="nil"/>
              <w:left w:val="single" w:sz="8" w:space="0" w:color="auto"/>
              <w:bottom w:val="single" w:sz="8" w:space="0" w:color="000000"/>
              <w:right w:val="single" w:sz="8" w:space="0" w:color="auto"/>
            </w:tcBorders>
            <w:vAlign w:val="center"/>
            <w:hideMark/>
          </w:tcPr>
          <w:p w14:paraId="4327D87F" w14:textId="77777777" w:rsidR="00C568A2" w:rsidRPr="00DD1CAF" w:rsidRDefault="00C568A2" w:rsidP="009908F1">
            <w:pPr>
              <w:suppressAutoHyphens/>
              <w:rPr>
                <w:rFonts w:eastAsia="Times New Roman"/>
                <w:b/>
                <w:bCs/>
                <w:color w:val="FFFFFF"/>
                <w:szCs w:val="20"/>
                <w:lang w:eastAsia="fr-FR"/>
              </w:rPr>
            </w:pPr>
          </w:p>
        </w:tc>
        <w:tc>
          <w:tcPr>
            <w:tcW w:w="2484" w:type="dxa"/>
            <w:vMerge/>
            <w:tcBorders>
              <w:top w:val="nil"/>
              <w:left w:val="single" w:sz="8" w:space="0" w:color="auto"/>
              <w:bottom w:val="single" w:sz="8" w:space="0" w:color="000000"/>
              <w:right w:val="single" w:sz="8" w:space="0" w:color="auto"/>
            </w:tcBorders>
            <w:vAlign w:val="center"/>
            <w:hideMark/>
          </w:tcPr>
          <w:p w14:paraId="6AA95076" w14:textId="77777777" w:rsidR="00C568A2" w:rsidRPr="00DD1CAF" w:rsidRDefault="00C568A2" w:rsidP="009908F1">
            <w:pPr>
              <w:suppressAutoHyphens/>
              <w:rPr>
                <w:rFonts w:eastAsia="Times New Roman"/>
                <w:szCs w:val="20"/>
                <w:lang w:eastAsia="fr-FR"/>
              </w:rPr>
            </w:pPr>
          </w:p>
        </w:tc>
        <w:tc>
          <w:tcPr>
            <w:tcW w:w="1842" w:type="dxa"/>
            <w:vMerge w:val="restart"/>
            <w:tcBorders>
              <w:top w:val="nil"/>
              <w:left w:val="single" w:sz="8" w:space="0" w:color="auto"/>
              <w:bottom w:val="single" w:sz="8" w:space="0" w:color="000000"/>
              <w:right w:val="single" w:sz="4" w:space="0" w:color="auto"/>
            </w:tcBorders>
            <w:shd w:val="clear" w:color="000000" w:fill="FFFFFF"/>
            <w:noWrap/>
            <w:vAlign w:val="center"/>
            <w:hideMark/>
          </w:tcPr>
          <w:p w14:paraId="7C809C4D"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Calcul paramétré</w:t>
            </w:r>
          </w:p>
        </w:tc>
        <w:tc>
          <w:tcPr>
            <w:tcW w:w="39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CF92337"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Avantages : 4,7% jusqu’à 2070</w:t>
            </w:r>
          </w:p>
        </w:tc>
      </w:tr>
      <w:tr w:rsidR="00C568A2" w:rsidRPr="00DD1CAF" w14:paraId="417A58BF" w14:textId="77777777" w:rsidTr="009908F1">
        <w:trPr>
          <w:trHeight w:val="300"/>
        </w:trPr>
        <w:tc>
          <w:tcPr>
            <w:tcW w:w="2548" w:type="dxa"/>
            <w:vMerge/>
            <w:tcBorders>
              <w:top w:val="nil"/>
              <w:left w:val="single" w:sz="8" w:space="0" w:color="auto"/>
              <w:bottom w:val="single" w:sz="8" w:space="0" w:color="000000"/>
              <w:right w:val="single" w:sz="8" w:space="0" w:color="auto"/>
            </w:tcBorders>
            <w:vAlign w:val="center"/>
            <w:hideMark/>
          </w:tcPr>
          <w:p w14:paraId="338168AF" w14:textId="77777777" w:rsidR="00C568A2" w:rsidRPr="00DD1CAF" w:rsidRDefault="00C568A2" w:rsidP="009908F1">
            <w:pPr>
              <w:suppressAutoHyphens/>
              <w:rPr>
                <w:rFonts w:eastAsia="Times New Roman"/>
                <w:b/>
                <w:bCs/>
                <w:color w:val="FFFFFF"/>
                <w:szCs w:val="20"/>
                <w:lang w:eastAsia="fr-FR"/>
              </w:rPr>
            </w:pPr>
          </w:p>
        </w:tc>
        <w:tc>
          <w:tcPr>
            <w:tcW w:w="2484" w:type="dxa"/>
            <w:vMerge/>
            <w:tcBorders>
              <w:top w:val="nil"/>
              <w:left w:val="single" w:sz="8" w:space="0" w:color="auto"/>
              <w:bottom w:val="single" w:sz="8" w:space="0" w:color="000000"/>
              <w:right w:val="single" w:sz="8" w:space="0" w:color="auto"/>
            </w:tcBorders>
            <w:vAlign w:val="center"/>
            <w:hideMark/>
          </w:tcPr>
          <w:p w14:paraId="0699E2D6" w14:textId="77777777" w:rsidR="00C568A2" w:rsidRPr="00DD1CAF" w:rsidRDefault="00C568A2" w:rsidP="009908F1">
            <w:pPr>
              <w:suppressAutoHyphens/>
              <w:rPr>
                <w:rFonts w:eastAsia="Times New Roman"/>
                <w:szCs w:val="20"/>
                <w:lang w:eastAsia="fr-FR"/>
              </w:rPr>
            </w:pPr>
          </w:p>
        </w:tc>
        <w:tc>
          <w:tcPr>
            <w:tcW w:w="1842" w:type="dxa"/>
            <w:vMerge/>
            <w:tcBorders>
              <w:top w:val="nil"/>
              <w:left w:val="single" w:sz="8" w:space="0" w:color="auto"/>
              <w:bottom w:val="single" w:sz="8" w:space="0" w:color="000000"/>
              <w:right w:val="single" w:sz="4" w:space="0" w:color="auto"/>
            </w:tcBorders>
            <w:vAlign w:val="center"/>
            <w:hideMark/>
          </w:tcPr>
          <w:p w14:paraId="589FD660" w14:textId="77777777" w:rsidR="00C568A2" w:rsidRPr="00DD1CAF" w:rsidRDefault="00C568A2" w:rsidP="009908F1">
            <w:pPr>
              <w:suppressAutoHyphens/>
              <w:rPr>
                <w:rFonts w:eastAsia="Times New Roman"/>
                <w:szCs w:val="20"/>
                <w:lang w:eastAsia="fr-FR"/>
              </w:rPr>
            </w:pPr>
          </w:p>
        </w:tc>
        <w:tc>
          <w:tcPr>
            <w:tcW w:w="39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6F00848"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CO</w:t>
            </w:r>
            <w:r w:rsidRPr="00DD1CAF">
              <w:rPr>
                <w:rFonts w:eastAsia="Times New Roman"/>
                <w:b/>
                <w:bCs/>
                <w:i/>
                <w:iCs/>
                <w:szCs w:val="20"/>
                <w:vertAlign w:val="subscript"/>
                <w:lang w:eastAsia="fr-FR"/>
              </w:rPr>
              <w:t>2</w:t>
            </w:r>
            <w:r w:rsidRPr="00DD1CAF">
              <w:rPr>
                <w:rFonts w:eastAsia="Times New Roman"/>
                <w:b/>
                <w:bCs/>
                <w:i/>
                <w:iCs/>
                <w:szCs w:val="20"/>
                <w:lang w:eastAsia="fr-FR"/>
              </w:rPr>
              <w:t xml:space="preserve"> : 4,5%</w:t>
            </w:r>
          </w:p>
        </w:tc>
      </w:tr>
      <w:tr w:rsidR="00C568A2" w:rsidRPr="00DD1CAF" w14:paraId="6FB62713" w14:textId="77777777" w:rsidTr="009908F1">
        <w:trPr>
          <w:trHeight w:val="300"/>
        </w:trPr>
        <w:tc>
          <w:tcPr>
            <w:tcW w:w="2548" w:type="dxa"/>
            <w:vMerge/>
            <w:tcBorders>
              <w:top w:val="nil"/>
              <w:left w:val="single" w:sz="8" w:space="0" w:color="auto"/>
              <w:bottom w:val="single" w:sz="8" w:space="0" w:color="000000"/>
              <w:right w:val="single" w:sz="8" w:space="0" w:color="auto"/>
            </w:tcBorders>
            <w:vAlign w:val="center"/>
            <w:hideMark/>
          </w:tcPr>
          <w:p w14:paraId="0DAB5FC5" w14:textId="77777777" w:rsidR="00C568A2" w:rsidRPr="00DD1CAF" w:rsidRDefault="00C568A2" w:rsidP="009908F1">
            <w:pPr>
              <w:suppressAutoHyphens/>
              <w:rPr>
                <w:rFonts w:eastAsia="Times New Roman"/>
                <w:b/>
                <w:bCs/>
                <w:color w:val="FFFFFF"/>
                <w:szCs w:val="20"/>
                <w:lang w:eastAsia="fr-FR"/>
              </w:rPr>
            </w:pPr>
          </w:p>
        </w:tc>
        <w:tc>
          <w:tcPr>
            <w:tcW w:w="2484" w:type="dxa"/>
            <w:vMerge/>
            <w:tcBorders>
              <w:top w:val="nil"/>
              <w:left w:val="single" w:sz="8" w:space="0" w:color="auto"/>
              <w:bottom w:val="single" w:sz="8" w:space="0" w:color="000000"/>
              <w:right w:val="single" w:sz="8" w:space="0" w:color="auto"/>
            </w:tcBorders>
            <w:vAlign w:val="center"/>
            <w:hideMark/>
          </w:tcPr>
          <w:p w14:paraId="0285CDE1" w14:textId="77777777" w:rsidR="00C568A2" w:rsidRPr="00DD1CAF" w:rsidRDefault="00C568A2" w:rsidP="009908F1">
            <w:pPr>
              <w:suppressAutoHyphens/>
              <w:rPr>
                <w:rFonts w:eastAsia="Times New Roman"/>
                <w:szCs w:val="20"/>
                <w:lang w:eastAsia="fr-FR"/>
              </w:rPr>
            </w:pPr>
          </w:p>
        </w:tc>
        <w:tc>
          <w:tcPr>
            <w:tcW w:w="1842" w:type="dxa"/>
            <w:vMerge/>
            <w:tcBorders>
              <w:top w:val="nil"/>
              <w:left w:val="single" w:sz="8" w:space="0" w:color="auto"/>
              <w:bottom w:val="single" w:sz="8" w:space="0" w:color="000000"/>
              <w:right w:val="single" w:sz="4" w:space="0" w:color="auto"/>
            </w:tcBorders>
            <w:vAlign w:val="center"/>
            <w:hideMark/>
          </w:tcPr>
          <w:p w14:paraId="6237E4E3" w14:textId="77777777" w:rsidR="00C568A2" w:rsidRPr="00DD1CAF" w:rsidRDefault="00C568A2" w:rsidP="009908F1">
            <w:pPr>
              <w:suppressAutoHyphens/>
              <w:rPr>
                <w:rFonts w:eastAsia="Times New Roman"/>
                <w:szCs w:val="20"/>
                <w:lang w:eastAsia="fr-FR"/>
              </w:rPr>
            </w:pPr>
          </w:p>
        </w:tc>
        <w:tc>
          <w:tcPr>
            <w:tcW w:w="39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554C27E"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(β = 1)</w:t>
            </w:r>
          </w:p>
        </w:tc>
      </w:tr>
      <w:tr w:rsidR="00C568A2" w:rsidRPr="00DD1CAF" w14:paraId="08A22F95" w14:textId="77777777" w:rsidTr="009908F1">
        <w:trPr>
          <w:trHeight w:val="300"/>
        </w:trPr>
        <w:tc>
          <w:tcPr>
            <w:tcW w:w="2548" w:type="dxa"/>
            <w:vMerge/>
            <w:tcBorders>
              <w:top w:val="nil"/>
              <w:left w:val="single" w:sz="8" w:space="0" w:color="auto"/>
              <w:bottom w:val="single" w:sz="8" w:space="0" w:color="000000"/>
              <w:right w:val="single" w:sz="8" w:space="0" w:color="auto"/>
            </w:tcBorders>
            <w:vAlign w:val="center"/>
            <w:hideMark/>
          </w:tcPr>
          <w:p w14:paraId="3A05F2CC" w14:textId="77777777" w:rsidR="00C568A2" w:rsidRPr="00DD1CAF" w:rsidRDefault="00C568A2" w:rsidP="009908F1">
            <w:pPr>
              <w:suppressAutoHyphens/>
              <w:rPr>
                <w:rFonts w:eastAsia="Times New Roman"/>
                <w:b/>
                <w:bCs/>
                <w:color w:val="FFFFFF"/>
                <w:szCs w:val="20"/>
                <w:lang w:eastAsia="fr-FR"/>
              </w:rPr>
            </w:pPr>
          </w:p>
        </w:tc>
        <w:tc>
          <w:tcPr>
            <w:tcW w:w="2484" w:type="dxa"/>
            <w:vMerge/>
            <w:tcBorders>
              <w:top w:val="nil"/>
              <w:left w:val="single" w:sz="8" w:space="0" w:color="auto"/>
              <w:bottom w:val="single" w:sz="8" w:space="0" w:color="000000"/>
              <w:right w:val="single" w:sz="8" w:space="0" w:color="auto"/>
            </w:tcBorders>
            <w:vAlign w:val="center"/>
            <w:hideMark/>
          </w:tcPr>
          <w:p w14:paraId="11404F5C" w14:textId="77777777" w:rsidR="00C568A2" w:rsidRPr="00DD1CAF" w:rsidRDefault="00C568A2" w:rsidP="009908F1">
            <w:pPr>
              <w:suppressAutoHyphens/>
              <w:rPr>
                <w:rFonts w:eastAsia="Times New Roman"/>
                <w:szCs w:val="20"/>
                <w:lang w:eastAsia="fr-FR"/>
              </w:rPr>
            </w:pPr>
          </w:p>
        </w:tc>
        <w:tc>
          <w:tcPr>
            <w:tcW w:w="1842" w:type="dxa"/>
            <w:vMerge/>
            <w:tcBorders>
              <w:top w:val="nil"/>
              <w:left w:val="single" w:sz="8" w:space="0" w:color="auto"/>
              <w:bottom w:val="single" w:sz="8" w:space="0" w:color="000000"/>
              <w:right w:val="single" w:sz="4" w:space="0" w:color="auto"/>
            </w:tcBorders>
            <w:vAlign w:val="center"/>
            <w:hideMark/>
          </w:tcPr>
          <w:p w14:paraId="6B312854" w14:textId="77777777" w:rsidR="00C568A2" w:rsidRPr="00DD1CAF" w:rsidRDefault="00C568A2" w:rsidP="009908F1">
            <w:pPr>
              <w:suppressAutoHyphens/>
              <w:rPr>
                <w:rFonts w:eastAsia="Times New Roman"/>
                <w:szCs w:val="20"/>
                <w:lang w:eastAsia="fr-FR"/>
              </w:rPr>
            </w:pPr>
          </w:p>
        </w:tc>
        <w:tc>
          <w:tcPr>
            <w:tcW w:w="39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E5094A"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Investissements : 3,5%</w:t>
            </w:r>
          </w:p>
        </w:tc>
      </w:tr>
      <w:tr w:rsidR="00C568A2" w:rsidRPr="00DD1CAF" w14:paraId="46F81EF2" w14:textId="77777777" w:rsidTr="009908F1">
        <w:trPr>
          <w:trHeight w:val="315"/>
        </w:trPr>
        <w:tc>
          <w:tcPr>
            <w:tcW w:w="2548" w:type="dxa"/>
            <w:vMerge/>
            <w:tcBorders>
              <w:top w:val="nil"/>
              <w:left w:val="single" w:sz="8" w:space="0" w:color="auto"/>
              <w:bottom w:val="single" w:sz="8" w:space="0" w:color="000000"/>
              <w:right w:val="single" w:sz="8" w:space="0" w:color="auto"/>
            </w:tcBorders>
            <w:vAlign w:val="center"/>
            <w:hideMark/>
          </w:tcPr>
          <w:p w14:paraId="5108167C" w14:textId="77777777" w:rsidR="00C568A2" w:rsidRPr="00DD1CAF" w:rsidRDefault="00C568A2" w:rsidP="009908F1">
            <w:pPr>
              <w:suppressAutoHyphens/>
              <w:rPr>
                <w:rFonts w:eastAsia="Times New Roman"/>
                <w:b/>
                <w:bCs/>
                <w:color w:val="FFFFFF"/>
                <w:szCs w:val="20"/>
                <w:lang w:eastAsia="fr-FR"/>
              </w:rPr>
            </w:pPr>
          </w:p>
        </w:tc>
        <w:tc>
          <w:tcPr>
            <w:tcW w:w="2484" w:type="dxa"/>
            <w:vMerge/>
            <w:tcBorders>
              <w:top w:val="nil"/>
              <w:left w:val="single" w:sz="8" w:space="0" w:color="auto"/>
              <w:bottom w:val="single" w:sz="8" w:space="0" w:color="000000"/>
              <w:right w:val="single" w:sz="8" w:space="0" w:color="auto"/>
            </w:tcBorders>
            <w:vAlign w:val="center"/>
            <w:hideMark/>
          </w:tcPr>
          <w:p w14:paraId="3E536518" w14:textId="77777777" w:rsidR="00C568A2" w:rsidRPr="00DD1CAF" w:rsidRDefault="00C568A2" w:rsidP="009908F1">
            <w:pPr>
              <w:suppressAutoHyphens/>
              <w:rPr>
                <w:rFonts w:eastAsia="Times New Roman"/>
                <w:szCs w:val="20"/>
                <w:lang w:eastAsia="fr-FR"/>
              </w:rPr>
            </w:pPr>
          </w:p>
        </w:tc>
        <w:tc>
          <w:tcPr>
            <w:tcW w:w="1842" w:type="dxa"/>
            <w:vMerge/>
            <w:tcBorders>
              <w:top w:val="nil"/>
              <w:left w:val="single" w:sz="8" w:space="0" w:color="auto"/>
              <w:bottom w:val="single" w:sz="8" w:space="0" w:color="000000"/>
              <w:right w:val="single" w:sz="4" w:space="0" w:color="auto"/>
            </w:tcBorders>
            <w:vAlign w:val="center"/>
            <w:hideMark/>
          </w:tcPr>
          <w:p w14:paraId="205A1F97" w14:textId="77777777" w:rsidR="00C568A2" w:rsidRPr="00DD1CAF" w:rsidRDefault="00C568A2" w:rsidP="009908F1">
            <w:pPr>
              <w:suppressAutoHyphens/>
              <w:rPr>
                <w:rFonts w:eastAsia="Times New Roman"/>
                <w:szCs w:val="20"/>
                <w:lang w:eastAsia="fr-FR"/>
              </w:rPr>
            </w:pPr>
          </w:p>
        </w:tc>
        <w:tc>
          <w:tcPr>
            <w:tcW w:w="39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C7A9D7A"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(β = 1,1)</w:t>
            </w:r>
          </w:p>
        </w:tc>
      </w:tr>
      <w:tr w:rsidR="00C568A2" w:rsidRPr="00DD1CAF" w14:paraId="768F6C35" w14:textId="77777777" w:rsidTr="009908F1">
        <w:trPr>
          <w:trHeight w:val="525"/>
        </w:trPr>
        <w:tc>
          <w:tcPr>
            <w:tcW w:w="2548" w:type="dxa"/>
            <w:vMerge/>
            <w:tcBorders>
              <w:top w:val="nil"/>
              <w:left w:val="single" w:sz="8" w:space="0" w:color="auto"/>
              <w:bottom w:val="single" w:sz="8" w:space="0" w:color="000000"/>
              <w:right w:val="single" w:sz="8" w:space="0" w:color="auto"/>
            </w:tcBorders>
            <w:vAlign w:val="center"/>
            <w:hideMark/>
          </w:tcPr>
          <w:p w14:paraId="37C80AA6" w14:textId="77777777" w:rsidR="00C568A2" w:rsidRPr="00DD1CAF" w:rsidRDefault="00C568A2" w:rsidP="009908F1">
            <w:pPr>
              <w:suppressAutoHyphens/>
              <w:rPr>
                <w:rFonts w:eastAsia="Times New Roman"/>
                <w:b/>
                <w:bCs/>
                <w:color w:val="FFFFFF"/>
                <w:szCs w:val="20"/>
                <w:lang w:eastAsia="fr-FR"/>
              </w:rPr>
            </w:pPr>
          </w:p>
        </w:tc>
        <w:tc>
          <w:tcPr>
            <w:tcW w:w="2484" w:type="dxa"/>
            <w:vMerge/>
            <w:tcBorders>
              <w:top w:val="nil"/>
              <w:left w:val="single" w:sz="8" w:space="0" w:color="auto"/>
              <w:bottom w:val="single" w:sz="8" w:space="0" w:color="000000"/>
              <w:right w:val="single" w:sz="8" w:space="0" w:color="auto"/>
            </w:tcBorders>
            <w:vAlign w:val="center"/>
            <w:hideMark/>
          </w:tcPr>
          <w:p w14:paraId="104D48E4" w14:textId="77777777" w:rsidR="00C568A2" w:rsidRPr="00DD1CAF" w:rsidRDefault="00C568A2" w:rsidP="009908F1">
            <w:pPr>
              <w:suppressAutoHyphens/>
              <w:rPr>
                <w:rFonts w:eastAsia="Times New Roman"/>
                <w:szCs w:val="20"/>
                <w:lang w:eastAsia="fr-FR"/>
              </w:rPr>
            </w:pPr>
          </w:p>
        </w:tc>
        <w:tc>
          <w:tcPr>
            <w:tcW w:w="1842" w:type="dxa"/>
            <w:tcBorders>
              <w:top w:val="nil"/>
              <w:left w:val="nil"/>
              <w:bottom w:val="single" w:sz="8" w:space="0" w:color="auto"/>
              <w:right w:val="single" w:sz="8" w:space="0" w:color="auto"/>
            </w:tcBorders>
            <w:shd w:val="clear" w:color="000000" w:fill="FFFFFF"/>
            <w:noWrap/>
            <w:vAlign w:val="center"/>
            <w:hideMark/>
          </w:tcPr>
          <w:p w14:paraId="7FF20A59"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Calcul probabilisé</w:t>
            </w:r>
          </w:p>
        </w:tc>
        <w:tc>
          <w:tcPr>
            <w:tcW w:w="3906" w:type="dxa"/>
            <w:tcBorders>
              <w:top w:val="single" w:sz="4" w:space="0" w:color="auto"/>
              <w:left w:val="nil"/>
              <w:bottom w:val="single" w:sz="8" w:space="0" w:color="auto"/>
              <w:right w:val="single" w:sz="8" w:space="0" w:color="auto"/>
            </w:tcBorders>
            <w:shd w:val="clear" w:color="000000" w:fill="FFFFFF"/>
            <w:vAlign w:val="center"/>
            <w:hideMark/>
          </w:tcPr>
          <w:p w14:paraId="0383E907"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Taux d’actualisation = 4% + 2 x (PIB-1,5%)</w:t>
            </w:r>
          </w:p>
        </w:tc>
      </w:tr>
      <w:tr w:rsidR="00C568A2" w:rsidRPr="00DD1CAF" w14:paraId="69A8EFFA" w14:textId="77777777" w:rsidTr="009908F1">
        <w:trPr>
          <w:trHeight w:val="243"/>
        </w:trPr>
        <w:tc>
          <w:tcPr>
            <w:tcW w:w="2548" w:type="dxa"/>
            <w:vMerge w:val="restart"/>
            <w:tcBorders>
              <w:top w:val="nil"/>
              <w:left w:val="single" w:sz="8" w:space="0" w:color="auto"/>
              <w:bottom w:val="single" w:sz="8" w:space="0" w:color="000000"/>
              <w:right w:val="single" w:sz="8" w:space="0" w:color="auto"/>
            </w:tcBorders>
            <w:shd w:val="clear" w:color="000000" w:fill="931638"/>
            <w:vAlign w:val="center"/>
            <w:hideMark/>
          </w:tcPr>
          <w:p w14:paraId="77373612" w14:textId="77777777" w:rsidR="00C568A2" w:rsidRPr="00DD1CAF" w:rsidRDefault="00C568A2" w:rsidP="009908F1">
            <w:pPr>
              <w:suppressAutoHyphens/>
              <w:jc w:val="center"/>
              <w:rPr>
                <w:rFonts w:eastAsia="Times New Roman"/>
                <w:b/>
                <w:bCs/>
                <w:color w:val="FFFFFF"/>
                <w:szCs w:val="20"/>
                <w:lang w:eastAsia="fr-FR"/>
              </w:rPr>
            </w:pPr>
            <w:r w:rsidRPr="00DD1CAF">
              <w:rPr>
                <w:rFonts w:eastAsia="Times New Roman"/>
                <w:b/>
                <w:bCs/>
                <w:color w:val="FFFFFF"/>
                <w:szCs w:val="20"/>
                <w:lang w:eastAsia="fr-FR"/>
              </w:rPr>
              <w:t>Durée du bilan</w:t>
            </w:r>
          </w:p>
        </w:tc>
        <w:tc>
          <w:tcPr>
            <w:tcW w:w="8232" w:type="dxa"/>
            <w:gridSpan w:val="3"/>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14:paraId="1C224475" w14:textId="77777777" w:rsidR="00C568A2" w:rsidRPr="00DD1CAF" w:rsidRDefault="00C568A2" w:rsidP="009908F1">
            <w:pPr>
              <w:suppressAutoHyphens/>
              <w:jc w:val="center"/>
              <w:rPr>
                <w:rFonts w:eastAsia="Times New Roman"/>
                <w:i/>
                <w:iCs/>
                <w:szCs w:val="20"/>
                <w:lang w:eastAsia="fr-FR"/>
              </w:rPr>
            </w:pPr>
            <w:r w:rsidRPr="00DD1CAF">
              <w:rPr>
                <w:rFonts w:eastAsia="Times New Roman"/>
                <w:i/>
                <w:iCs/>
                <w:szCs w:val="20"/>
                <w:lang w:eastAsia="fr-FR"/>
              </w:rPr>
              <w:t>Jusqu’à 2070, puis calcul de la valeur résiduelle de 2070 à 2140 avec avantages maintenus constants, sauf pour le CO</w:t>
            </w:r>
            <w:r w:rsidRPr="00DD1CAF">
              <w:rPr>
                <w:rFonts w:eastAsia="Times New Roman"/>
                <w:i/>
                <w:iCs/>
                <w:szCs w:val="20"/>
                <w:vertAlign w:val="subscript"/>
                <w:lang w:eastAsia="fr-FR"/>
              </w:rPr>
              <w:t>2</w:t>
            </w:r>
            <w:r w:rsidRPr="00DD1CAF">
              <w:rPr>
                <w:rFonts w:eastAsia="Times New Roman"/>
                <w:i/>
                <w:iCs/>
                <w:szCs w:val="20"/>
                <w:lang w:eastAsia="fr-FR"/>
              </w:rPr>
              <w:t xml:space="preserve"> </w:t>
            </w:r>
          </w:p>
        </w:tc>
      </w:tr>
      <w:tr w:rsidR="00C568A2" w:rsidRPr="00DD1CAF" w14:paraId="71D70380" w14:textId="77777777" w:rsidTr="009908F1">
        <w:trPr>
          <w:trHeight w:val="243"/>
        </w:trPr>
        <w:tc>
          <w:tcPr>
            <w:tcW w:w="2548" w:type="dxa"/>
            <w:vMerge/>
            <w:tcBorders>
              <w:top w:val="nil"/>
              <w:left w:val="single" w:sz="8" w:space="0" w:color="auto"/>
              <w:bottom w:val="single" w:sz="8" w:space="0" w:color="000000"/>
              <w:right w:val="single" w:sz="8" w:space="0" w:color="auto"/>
            </w:tcBorders>
            <w:vAlign w:val="center"/>
            <w:hideMark/>
          </w:tcPr>
          <w:p w14:paraId="110B41DC" w14:textId="77777777" w:rsidR="00C568A2" w:rsidRPr="00DD1CAF" w:rsidRDefault="00C568A2" w:rsidP="009908F1">
            <w:pPr>
              <w:suppressAutoHyphens/>
              <w:rPr>
                <w:rFonts w:eastAsia="Times New Roman"/>
                <w:b/>
                <w:bCs/>
                <w:color w:val="FFFFFF"/>
                <w:szCs w:val="20"/>
                <w:lang w:eastAsia="fr-FR"/>
              </w:rPr>
            </w:pPr>
          </w:p>
        </w:tc>
        <w:tc>
          <w:tcPr>
            <w:tcW w:w="8232" w:type="dxa"/>
            <w:gridSpan w:val="3"/>
            <w:vMerge/>
            <w:tcBorders>
              <w:top w:val="single" w:sz="8" w:space="0" w:color="auto"/>
              <w:left w:val="single" w:sz="8" w:space="0" w:color="auto"/>
              <w:bottom w:val="single" w:sz="8" w:space="0" w:color="000000"/>
              <w:right w:val="single" w:sz="8" w:space="0" w:color="000000"/>
            </w:tcBorders>
            <w:vAlign w:val="center"/>
            <w:hideMark/>
          </w:tcPr>
          <w:p w14:paraId="77EA47F2" w14:textId="77777777" w:rsidR="00C568A2" w:rsidRPr="00DD1CAF" w:rsidRDefault="00C568A2" w:rsidP="009908F1">
            <w:pPr>
              <w:suppressAutoHyphens/>
              <w:rPr>
                <w:rFonts w:eastAsia="Times New Roman"/>
                <w:i/>
                <w:iCs/>
                <w:szCs w:val="20"/>
                <w:lang w:eastAsia="fr-FR"/>
              </w:rPr>
            </w:pPr>
          </w:p>
        </w:tc>
      </w:tr>
      <w:tr w:rsidR="00C568A2" w:rsidRPr="00DD1CAF" w14:paraId="45A0BBE3" w14:textId="77777777" w:rsidTr="009908F1">
        <w:trPr>
          <w:trHeight w:val="315"/>
        </w:trPr>
        <w:tc>
          <w:tcPr>
            <w:tcW w:w="2548" w:type="dxa"/>
            <w:vMerge w:val="restart"/>
            <w:tcBorders>
              <w:top w:val="nil"/>
              <w:left w:val="single" w:sz="8" w:space="0" w:color="auto"/>
              <w:bottom w:val="single" w:sz="8" w:space="0" w:color="000000"/>
              <w:right w:val="single" w:sz="8" w:space="0" w:color="auto"/>
            </w:tcBorders>
            <w:shd w:val="clear" w:color="000000" w:fill="931638"/>
            <w:vAlign w:val="center"/>
            <w:hideMark/>
          </w:tcPr>
          <w:p w14:paraId="60AE379D" w14:textId="77777777" w:rsidR="00C568A2" w:rsidRPr="00DD1CAF" w:rsidRDefault="00C568A2" w:rsidP="009908F1">
            <w:pPr>
              <w:suppressAutoHyphens/>
              <w:jc w:val="center"/>
              <w:rPr>
                <w:rFonts w:eastAsia="Times New Roman"/>
                <w:b/>
                <w:bCs/>
                <w:color w:val="FFFFFF"/>
                <w:szCs w:val="20"/>
                <w:lang w:eastAsia="fr-FR"/>
              </w:rPr>
            </w:pPr>
            <w:r w:rsidRPr="00DD1CAF">
              <w:rPr>
                <w:rFonts w:eastAsia="Times New Roman"/>
                <w:b/>
                <w:bCs/>
                <w:color w:val="FFFFFF"/>
                <w:szCs w:val="20"/>
                <w:lang w:eastAsia="fr-FR"/>
              </w:rPr>
              <w:t>Taux de croissance PIB</w:t>
            </w:r>
          </w:p>
        </w:tc>
        <w:tc>
          <w:tcPr>
            <w:tcW w:w="2484" w:type="dxa"/>
            <w:tcBorders>
              <w:top w:val="nil"/>
              <w:left w:val="nil"/>
              <w:bottom w:val="single" w:sz="8" w:space="0" w:color="auto"/>
              <w:right w:val="single" w:sz="8" w:space="0" w:color="auto"/>
            </w:tcBorders>
            <w:shd w:val="clear" w:color="000000" w:fill="FFFFFF"/>
            <w:noWrap/>
            <w:vAlign w:val="center"/>
            <w:hideMark/>
          </w:tcPr>
          <w:p w14:paraId="16987474"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Jusqu’à 2030</w:t>
            </w:r>
          </w:p>
        </w:tc>
        <w:tc>
          <w:tcPr>
            <w:tcW w:w="5748" w:type="dxa"/>
            <w:gridSpan w:val="2"/>
            <w:tcBorders>
              <w:top w:val="single" w:sz="8" w:space="0" w:color="auto"/>
              <w:left w:val="nil"/>
              <w:bottom w:val="single" w:sz="8" w:space="0" w:color="auto"/>
              <w:right w:val="single" w:sz="8" w:space="0" w:color="000000"/>
            </w:tcBorders>
            <w:shd w:val="clear" w:color="000000" w:fill="FFFFFF"/>
            <w:noWrap/>
            <w:vAlign w:val="center"/>
            <w:hideMark/>
          </w:tcPr>
          <w:p w14:paraId="71B847A0"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1,50%</w:t>
            </w:r>
          </w:p>
        </w:tc>
      </w:tr>
      <w:tr w:rsidR="00C568A2" w:rsidRPr="00DD1CAF" w14:paraId="1C9C83FD" w14:textId="77777777" w:rsidTr="009908F1">
        <w:trPr>
          <w:trHeight w:val="315"/>
        </w:trPr>
        <w:tc>
          <w:tcPr>
            <w:tcW w:w="2548" w:type="dxa"/>
            <w:vMerge/>
            <w:tcBorders>
              <w:top w:val="nil"/>
              <w:left w:val="single" w:sz="8" w:space="0" w:color="auto"/>
              <w:bottom w:val="single" w:sz="8" w:space="0" w:color="000000"/>
              <w:right w:val="single" w:sz="8" w:space="0" w:color="auto"/>
            </w:tcBorders>
            <w:vAlign w:val="center"/>
            <w:hideMark/>
          </w:tcPr>
          <w:p w14:paraId="4254C98F" w14:textId="77777777" w:rsidR="00C568A2" w:rsidRPr="00DD1CAF" w:rsidRDefault="00C568A2" w:rsidP="009908F1">
            <w:pPr>
              <w:suppressAutoHyphens/>
              <w:rPr>
                <w:rFonts w:eastAsia="Times New Roman"/>
                <w:b/>
                <w:bCs/>
                <w:color w:val="FFFFFF"/>
                <w:szCs w:val="20"/>
                <w:lang w:eastAsia="fr-FR"/>
              </w:rPr>
            </w:pPr>
          </w:p>
        </w:tc>
        <w:tc>
          <w:tcPr>
            <w:tcW w:w="2484" w:type="dxa"/>
            <w:tcBorders>
              <w:top w:val="nil"/>
              <w:left w:val="nil"/>
              <w:bottom w:val="single" w:sz="4" w:space="0" w:color="auto"/>
              <w:right w:val="single" w:sz="8" w:space="0" w:color="auto"/>
            </w:tcBorders>
            <w:shd w:val="clear" w:color="000000" w:fill="FFFFFF"/>
            <w:noWrap/>
            <w:vAlign w:val="center"/>
            <w:hideMark/>
          </w:tcPr>
          <w:p w14:paraId="49C54179"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Après 2030</w:t>
            </w:r>
          </w:p>
        </w:tc>
        <w:tc>
          <w:tcPr>
            <w:tcW w:w="5748" w:type="dxa"/>
            <w:gridSpan w:val="2"/>
            <w:tcBorders>
              <w:top w:val="single" w:sz="8" w:space="0" w:color="auto"/>
              <w:left w:val="nil"/>
              <w:bottom w:val="single" w:sz="4" w:space="0" w:color="auto"/>
              <w:right w:val="single" w:sz="8" w:space="0" w:color="000000"/>
            </w:tcBorders>
            <w:shd w:val="clear" w:color="000000" w:fill="FFFFFF"/>
            <w:noWrap/>
            <w:vAlign w:val="center"/>
            <w:hideMark/>
          </w:tcPr>
          <w:p w14:paraId="2F6DA696"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1,50%</w:t>
            </w:r>
          </w:p>
        </w:tc>
      </w:tr>
      <w:tr w:rsidR="00C568A2" w:rsidRPr="00DD1CAF" w14:paraId="4292D096" w14:textId="77777777" w:rsidTr="009908F1">
        <w:trPr>
          <w:trHeight w:val="300"/>
        </w:trPr>
        <w:tc>
          <w:tcPr>
            <w:tcW w:w="2548" w:type="dxa"/>
            <w:vMerge w:val="restart"/>
            <w:tcBorders>
              <w:top w:val="nil"/>
              <w:left w:val="single" w:sz="8" w:space="0" w:color="auto"/>
              <w:bottom w:val="single" w:sz="8" w:space="0" w:color="000000"/>
              <w:right w:val="single" w:sz="4" w:space="0" w:color="auto"/>
            </w:tcBorders>
            <w:shd w:val="clear" w:color="000000" w:fill="931638"/>
            <w:vAlign w:val="center"/>
            <w:hideMark/>
          </w:tcPr>
          <w:p w14:paraId="3B803CEE" w14:textId="77777777" w:rsidR="00C568A2" w:rsidRPr="00DD1CAF" w:rsidRDefault="00C568A2" w:rsidP="009908F1">
            <w:pPr>
              <w:suppressAutoHyphens/>
              <w:jc w:val="center"/>
              <w:rPr>
                <w:rFonts w:eastAsia="Times New Roman"/>
                <w:b/>
                <w:bCs/>
                <w:color w:val="FFFFFF"/>
                <w:szCs w:val="20"/>
                <w:lang w:eastAsia="fr-FR"/>
              </w:rPr>
            </w:pPr>
            <w:r w:rsidRPr="00DD1CAF">
              <w:rPr>
                <w:rFonts w:eastAsia="Times New Roman"/>
                <w:b/>
                <w:bCs/>
                <w:color w:val="FFFFFF"/>
                <w:szCs w:val="20"/>
                <w:lang w:eastAsia="fr-FR"/>
              </w:rPr>
              <w:t>Taux de croissance trafic</w:t>
            </w:r>
          </w:p>
        </w:tc>
        <w:tc>
          <w:tcPr>
            <w:tcW w:w="24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AE3CE5" w14:textId="77777777" w:rsidR="00C568A2" w:rsidRPr="00DD1CAF" w:rsidRDefault="00C568A2" w:rsidP="009908F1">
            <w:pPr>
              <w:suppressAutoHyphens/>
              <w:jc w:val="center"/>
              <w:rPr>
                <w:rFonts w:eastAsia="Times New Roman"/>
                <w:b/>
                <w:bCs/>
                <w:i/>
                <w:iCs/>
                <w:szCs w:val="20"/>
                <w:lang w:eastAsia="fr-FR"/>
              </w:rPr>
            </w:pPr>
            <w:r w:rsidRPr="00DD1CAF">
              <w:rPr>
                <w:rFonts w:eastAsia="Times New Roman"/>
                <w:b/>
                <w:bCs/>
                <w:i/>
                <w:iCs/>
                <w:szCs w:val="20"/>
                <w:lang w:eastAsia="fr-FR"/>
              </w:rPr>
              <w:t>Scénario AMS</w:t>
            </w:r>
          </w:p>
        </w:tc>
        <w:tc>
          <w:tcPr>
            <w:tcW w:w="18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2ED24" w14:textId="77777777" w:rsidR="00C568A2" w:rsidRPr="00DD1CAF" w:rsidRDefault="00C568A2" w:rsidP="009908F1">
            <w:pPr>
              <w:suppressAutoHyphens/>
              <w:jc w:val="center"/>
              <w:rPr>
                <w:rFonts w:eastAsia="Times New Roman"/>
                <w:i/>
                <w:iCs/>
                <w:sz w:val="18"/>
                <w:szCs w:val="18"/>
                <w:lang w:eastAsia="fr-FR"/>
              </w:rPr>
            </w:pPr>
            <w:r w:rsidRPr="00DD1CAF">
              <w:rPr>
                <w:rFonts w:eastAsia="Times New Roman"/>
                <w:i/>
                <w:iCs/>
                <w:sz w:val="18"/>
                <w:szCs w:val="18"/>
                <w:lang w:eastAsia="fr-FR"/>
              </w:rPr>
              <w:t>Courte distance</w:t>
            </w:r>
          </w:p>
        </w:tc>
        <w:tc>
          <w:tcPr>
            <w:tcW w:w="390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3050A5" w14:textId="77777777" w:rsidR="00C568A2" w:rsidRPr="00DD1CAF" w:rsidRDefault="00C568A2" w:rsidP="009908F1">
            <w:pPr>
              <w:suppressAutoHyphens/>
              <w:jc w:val="center"/>
              <w:rPr>
                <w:rFonts w:eastAsia="Times New Roman"/>
                <w:i/>
                <w:iCs/>
                <w:sz w:val="18"/>
                <w:szCs w:val="18"/>
                <w:lang w:eastAsia="fr-FR"/>
              </w:rPr>
            </w:pPr>
            <w:r w:rsidRPr="00DD1CAF">
              <w:rPr>
                <w:rFonts w:eastAsia="Times New Roman"/>
                <w:i/>
                <w:iCs/>
                <w:sz w:val="18"/>
                <w:szCs w:val="18"/>
                <w:lang w:eastAsia="fr-FR"/>
              </w:rPr>
              <w:t>Marchandises</w:t>
            </w:r>
          </w:p>
        </w:tc>
      </w:tr>
      <w:tr w:rsidR="00C568A2" w:rsidRPr="00DD1CAF" w14:paraId="6ED59694" w14:textId="77777777" w:rsidTr="009908F1">
        <w:trPr>
          <w:trHeight w:val="300"/>
        </w:trPr>
        <w:tc>
          <w:tcPr>
            <w:tcW w:w="2548" w:type="dxa"/>
            <w:vMerge/>
            <w:tcBorders>
              <w:top w:val="nil"/>
              <w:left w:val="single" w:sz="8" w:space="0" w:color="auto"/>
              <w:bottom w:val="single" w:sz="8" w:space="0" w:color="000000"/>
              <w:right w:val="single" w:sz="4" w:space="0" w:color="auto"/>
            </w:tcBorders>
            <w:vAlign w:val="center"/>
            <w:hideMark/>
          </w:tcPr>
          <w:p w14:paraId="1558F412" w14:textId="77777777" w:rsidR="00C568A2" w:rsidRPr="00DD1CAF" w:rsidRDefault="00C568A2" w:rsidP="009908F1">
            <w:pPr>
              <w:suppressAutoHyphens/>
              <w:rPr>
                <w:rFonts w:eastAsia="Times New Roman"/>
                <w:b/>
                <w:bCs/>
                <w:color w:val="FFFFFF"/>
                <w:szCs w:val="20"/>
                <w:lang w:eastAsia="fr-FR"/>
              </w:rPr>
            </w:pPr>
          </w:p>
        </w:tc>
        <w:tc>
          <w:tcPr>
            <w:tcW w:w="24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80765" w14:textId="77777777" w:rsidR="00C568A2" w:rsidRPr="00DD1CAF" w:rsidRDefault="00C568A2" w:rsidP="009908F1">
            <w:pPr>
              <w:suppressAutoHyphens/>
              <w:jc w:val="right"/>
              <w:rPr>
                <w:rFonts w:eastAsia="Times New Roman"/>
                <w:i/>
                <w:iCs/>
                <w:sz w:val="18"/>
                <w:szCs w:val="18"/>
                <w:lang w:eastAsia="fr-FR"/>
              </w:rPr>
            </w:pPr>
            <w:r w:rsidRPr="00DD1CAF">
              <w:rPr>
                <w:rFonts w:eastAsia="Times New Roman"/>
                <w:i/>
                <w:iCs/>
                <w:sz w:val="18"/>
                <w:szCs w:val="18"/>
                <w:lang w:eastAsia="fr-FR"/>
              </w:rPr>
              <w:t>Tous modes</w:t>
            </w:r>
          </w:p>
        </w:tc>
        <w:tc>
          <w:tcPr>
            <w:tcW w:w="18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071A7" w14:textId="77777777" w:rsidR="00C568A2" w:rsidRPr="00DD1CAF" w:rsidRDefault="00C568A2" w:rsidP="009908F1">
            <w:pPr>
              <w:suppressAutoHyphens/>
              <w:jc w:val="center"/>
              <w:rPr>
                <w:rFonts w:eastAsia="Times New Roman"/>
                <w:i/>
                <w:iCs/>
                <w:szCs w:val="20"/>
                <w:lang w:eastAsia="fr-FR"/>
              </w:rPr>
            </w:pPr>
            <w:r w:rsidRPr="00DD1CAF">
              <w:rPr>
                <w:rFonts w:eastAsia="Times New Roman"/>
                <w:i/>
                <w:iCs/>
                <w:szCs w:val="20"/>
                <w:lang w:eastAsia="fr-FR"/>
              </w:rPr>
              <w:t>0,30%</w:t>
            </w:r>
          </w:p>
        </w:tc>
        <w:tc>
          <w:tcPr>
            <w:tcW w:w="390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4E3D8" w14:textId="77777777" w:rsidR="00C568A2" w:rsidRPr="00DD1CAF" w:rsidRDefault="00C568A2" w:rsidP="009908F1">
            <w:pPr>
              <w:suppressAutoHyphens/>
              <w:jc w:val="center"/>
              <w:rPr>
                <w:rFonts w:eastAsia="Times New Roman"/>
                <w:i/>
                <w:iCs/>
                <w:szCs w:val="20"/>
                <w:lang w:eastAsia="fr-FR"/>
              </w:rPr>
            </w:pPr>
            <w:r w:rsidRPr="00DD1CAF">
              <w:rPr>
                <w:rFonts w:eastAsia="Times New Roman"/>
                <w:i/>
                <w:iCs/>
                <w:szCs w:val="20"/>
                <w:lang w:eastAsia="fr-FR"/>
              </w:rPr>
              <w:t>1,00%</w:t>
            </w:r>
          </w:p>
        </w:tc>
      </w:tr>
      <w:tr w:rsidR="00C568A2" w:rsidRPr="00DD1CAF" w14:paraId="48CD0604" w14:textId="77777777" w:rsidTr="009908F1">
        <w:trPr>
          <w:trHeight w:val="300"/>
        </w:trPr>
        <w:tc>
          <w:tcPr>
            <w:tcW w:w="2548" w:type="dxa"/>
            <w:vMerge/>
            <w:tcBorders>
              <w:top w:val="nil"/>
              <w:left w:val="single" w:sz="8" w:space="0" w:color="auto"/>
              <w:bottom w:val="single" w:sz="8" w:space="0" w:color="000000"/>
              <w:right w:val="single" w:sz="4" w:space="0" w:color="auto"/>
            </w:tcBorders>
            <w:vAlign w:val="center"/>
            <w:hideMark/>
          </w:tcPr>
          <w:p w14:paraId="12FEA60D" w14:textId="77777777" w:rsidR="00C568A2" w:rsidRPr="00DD1CAF" w:rsidRDefault="00C568A2" w:rsidP="009908F1">
            <w:pPr>
              <w:suppressAutoHyphens/>
              <w:rPr>
                <w:rFonts w:eastAsia="Times New Roman"/>
                <w:b/>
                <w:bCs/>
                <w:color w:val="FFFFFF"/>
                <w:szCs w:val="20"/>
                <w:lang w:eastAsia="fr-FR"/>
              </w:rPr>
            </w:pPr>
          </w:p>
        </w:tc>
        <w:tc>
          <w:tcPr>
            <w:tcW w:w="24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3504FB" w14:textId="77777777" w:rsidR="00C568A2" w:rsidRPr="00DD1CAF" w:rsidRDefault="00C568A2" w:rsidP="009908F1">
            <w:pPr>
              <w:suppressAutoHyphens/>
              <w:jc w:val="right"/>
              <w:rPr>
                <w:rFonts w:eastAsia="Times New Roman"/>
                <w:i/>
                <w:iCs/>
                <w:sz w:val="18"/>
                <w:szCs w:val="18"/>
                <w:lang w:eastAsia="fr-FR"/>
              </w:rPr>
            </w:pPr>
            <w:r w:rsidRPr="00DD1CAF">
              <w:rPr>
                <w:rFonts w:eastAsia="Times New Roman"/>
                <w:i/>
                <w:iCs/>
                <w:sz w:val="18"/>
                <w:szCs w:val="18"/>
                <w:lang w:eastAsia="fr-FR"/>
              </w:rPr>
              <w:t>Circulation routière</w:t>
            </w:r>
          </w:p>
        </w:tc>
        <w:tc>
          <w:tcPr>
            <w:tcW w:w="18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CFD3A" w14:textId="77777777" w:rsidR="00C568A2" w:rsidRPr="00DD1CAF" w:rsidRDefault="00C568A2" w:rsidP="009908F1">
            <w:pPr>
              <w:suppressAutoHyphens/>
              <w:jc w:val="center"/>
              <w:rPr>
                <w:rFonts w:eastAsia="Times New Roman"/>
                <w:i/>
                <w:iCs/>
                <w:szCs w:val="20"/>
                <w:lang w:eastAsia="fr-FR"/>
              </w:rPr>
            </w:pPr>
            <w:r w:rsidRPr="00DD1CAF">
              <w:rPr>
                <w:rFonts w:eastAsia="Times New Roman"/>
                <w:i/>
                <w:iCs/>
                <w:szCs w:val="20"/>
                <w:lang w:eastAsia="fr-FR"/>
              </w:rPr>
              <w:t>-0,70%</w:t>
            </w:r>
          </w:p>
        </w:tc>
        <w:tc>
          <w:tcPr>
            <w:tcW w:w="390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5B976E" w14:textId="77777777" w:rsidR="00C568A2" w:rsidRPr="00DD1CAF" w:rsidRDefault="00C568A2" w:rsidP="009908F1">
            <w:pPr>
              <w:suppressAutoHyphens/>
              <w:jc w:val="center"/>
              <w:rPr>
                <w:rFonts w:eastAsia="Times New Roman"/>
                <w:i/>
                <w:iCs/>
                <w:szCs w:val="20"/>
                <w:lang w:eastAsia="fr-FR"/>
              </w:rPr>
            </w:pPr>
            <w:r w:rsidRPr="00DD1CAF">
              <w:rPr>
                <w:rFonts w:eastAsia="Times New Roman"/>
                <w:i/>
                <w:iCs/>
                <w:szCs w:val="20"/>
                <w:lang w:eastAsia="fr-FR"/>
              </w:rPr>
              <w:t>0,40%</w:t>
            </w:r>
          </w:p>
        </w:tc>
      </w:tr>
      <w:tr w:rsidR="00C568A2" w:rsidRPr="00DD1CAF" w14:paraId="0BF726DE" w14:textId="77777777" w:rsidTr="009908F1">
        <w:trPr>
          <w:trHeight w:val="300"/>
        </w:trPr>
        <w:tc>
          <w:tcPr>
            <w:tcW w:w="2548" w:type="dxa"/>
            <w:vMerge/>
            <w:tcBorders>
              <w:top w:val="nil"/>
              <w:left w:val="single" w:sz="8" w:space="0" w:color="auto"/>
              <w:bottom w:val="single" w:sz="8" w:space="0" w:color="000000"/>
              <w:right w:val="single" w:sz="4" w:space="0" w:color="auto"/>
            </w:tcBorders>
            <w:vAlign w:val="center"/>
            <w:hideMark/>
          </w:tcPr>
          <w:p w14:paraId="7C6CA3FC" w14:textId="77777777" w:rsidR="00C568A2" w:rsidRPr="00DD1CAF" w:rsidRDefault="00C568A2" w:rsidP="009908F1">
            <w:pPr>
              <w:suppressAutoHyphens/>
              <w:rPr>
                <w:rFonts w:eastAsia="Times New Roman"/>
                <w:b/>
                <w:bCs/>
                <w:color w:val="FFFFFF"/>
                <w:szCs w:val="20"/>
                <w:lang w:eastAsia="fr-FR"/>
              </w:rPr>
            </w:pPr>
          </w:p>
        </w:tc>
        <w:tc>
          <w:tcPr>
            <w:tcW w:w="24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C0742" w14:textId="77777777" w:rsidR="00C568A2" w:rsidRPr="00DD1CAF" w:rsidRDefault="00C568A2" w:rsidP="009908F1">
            <w:pPr>
              <w:suppressAutoHyphens/>
              <w:jc w:val="center"/>
              <w:rPr>
                <w:rFonts w:eastAsia="Times New Roman"/>
                <w:b/>
                <w:bCs/>
                <w:i/>
                <w:iCs/>
                <w:szCs w:val="20"/>
                <w:lang w:eastAsia="fr-FR"/>
              </w:rPr>
            </w:pPr>
            <w:r w:rsidRPr="00DD1CAF">
              <w:rPr>
                <w:rFonts w:eastAsia="Times New Roman"/>
                <w:b/>
                <w:bCs/>
                <w:i/>
                <w:iCs/>
                <w:szCs w:val="20"/>
                <w:lang w:eastAsia="fr-FR"/>
              </w:rPr>
              <w:t>Scénario AME</w:t>
            </w:r>
          </w:p>
        </w:tc>
        <w:tc>
          <w:tcPr>
            <w:tcW w:w="18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F73FA" w14:textId="77777777" w:rsidR="00C568A2" w:rsidRPr="00DD1CAF" w:rsidRDefault="00C568A2" w:rsidP="009908F1">
            <w:pPr>
              <w:suppressAutoHyphens/>
              <w:jc w:val="center"/>
              <w:rPr>
                <w:rFonts w:eastAsia="Times New Roman"/>
                <w:i/>
                <w:iCs/>
                <w:sz w:val="18"/>
                <w:szCs w:val="18"/>
                <w:lang w:eastAsia="fr-FR"/>
              </w:rPr>
            </w:pPr>
            <w:r w:rsidRPr="00DD1CAF">
              <w:rPr>
                <w:rFonts w:eastAsia="Times New Roman"/>
                <w:i/>
                <w:iCs/>
                <w:sz w:val="18"/>
                <w:szCs w:val="18"/>
                <w:lang w:eastAsia="fr-FR"/>
              </w:rPr>
              <w:t>Courte distance</w:t>
            </w:r>
          </w:p>
        </w:tc>
        <w:tc>
          <w:tcPr>
            <w:tcW w:w="390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1012F" w14:textId="77777777" w:rsidR="00C568A2" w:rsidRPr="00DD1CAF" w:rsidRDefault="00C568A2" w:rsidP="009908F1">
            <w:pPr>
              <w:suppressAutoHyphens/>
              <w:jc w:val="center"/>
              <w:rPr>
                <w:rFonts w:eastAsia="Times New Roman"/>
                <w:i/>
                <w:iCs/>
                <w:sz w:val="18"/>
                <w:szCs w:val="18"/>
                <w:lang w:eastAsia="fr-FR"/>
              </w:rPr>
            </w:pPr>
            <w:r w:rsidRPr="00DD1CAF">
              <w:rPr>
                <w:rFonts w:eastAsia="Times New Roman"/>
                <w:i/>
                <w:iCs/>
                <w:sz w:val="18"/>
                <w:szCs w:val="18"/>
                <w:lang w:eastAsia="fr-FR"/>
              </w:rPr>
              <w:t>Marchandises</w:t>
            </w:r>
          </w:p>
        </w:tc>
      </w:tr>
      <w:tr w:rsidR="00C568A2" w:rsidRPr="00DD1CAF" w14:paraId="2483796A" w14:textId="77777777" w:rsidTr="009908F1">
        <w:trPr>
          <w:trHeight w:val="300"/>
        </w:trPr>
        <w:tc>
          <w:tcPr>
            <w:tcW w:w="2548" w:type="dxa"/>
            <w:vMerge/>
            <w:tcBorders>
              <w:top w:val="nil"/>
              <w:left w:val="single" w:sz="8" w:space="0" w:color="auto"/>
              <w:bottom w:val="single" w:sz="8" w:space="0" w:color="000000"/>
              <w:right w:val="single" w:sz="4" w:space="0" w:color="auto"/>
            </w:tcBorders>
            <w:vAlign w:val="center"/>
            <w:hideMark/>
          </w:tcPr>
          <w:p w14:paraId="239ACE5E" w14:textId="77777777" w:rsidR="00C568A2" w:rsidRPr="00DD1CAF" w:rsidRDefault="00C568A2" w:rsidP="009908F1">
            <w:pPr>
              <w:suppressAutoHyphens/>
              <w:rPr>
                <w:rFonts w:eastAsia="Times New Roman"/>
                <w:b/>
                <w:bCs/>
                <w:color w:val="FFFFFF"/>
                <w:szCs w:val="20"/>
                <w:lang w:eastAsia="fr-FR"/>
              </w:rPr>
            </w:pPr>
          </w:p>
        </w:tc>
        <w:tc>
          <w:tcPr>
            <w:tcW w:w="24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BBD13" w14:textId="77777777" w:rsidR="00C568A2" w:rsidRPr="00DD1CAF" w:rsidRDefault="00C568A2" w:rsidP="009908F1">
            <w:pPr>
              <w:suppressAutoHyphens/>
              <w:jc w:val="right"/>
              <w:rPr>
                <w:rFonts w:eastAsia="Times New Roman"/>
                <w:i/>
                <w:iCs/>
                <w:sz w:val="18"/>
                <w:szCs w:val="18"/>
                <w:lang w:eastAsia="fr-FR"/>
              </w:rPr>
            </w:pPr>
            <w:r w:rsidRPr="00DD1CAF">
              <w:rPr>
                <w:rFonts w:eastAsia="Times New Roman"/>
                <w:i/>
                <w:iCs/>
                <w:sz w:val="18"/>
                <w:szCs w:val="18"/>
                <w:lang w:eastAsia="fr-FR"/>
              </w:rPr>
              <w:t>Tous modes</w:t>
            </w:r>
          </w:p>
        </w:tc>
        <w:tc>
          <w:tcPr>
            <w:tcW w:w="18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13BF8" w14:textId="77777777" w:rsidR="00C568A2" w:rsidRPr="00DD1CAF" w:rsidRDefault="00C568A2" w:rsidP="009908F1">
            <w:pPr>
              <w:suppressAutoHyphens/>
              <w:jc w:val="center"/>
              <w:rPr>
                <w:rFonts w:eastAsia="Times New Roman"/>
                <w:i/>
                <w:iCs/>
                <w:szCs w:val="20"/>
                <w:lang w:eastAsia="fr-FR"/>
              </w:rPr>
            </w:pPr>
            <w:r w:rsidRPr="00DD1CAF">
              <w:rPr>
                <w:rFonts w:eastAsia="Times New Roman"/>
                <w:i/>
                <w:iCs/>
                <w:szCs w:val="20"/>
                <w:lang w:eastAsia="fr-FR"/>
              </w:rPr>
              <w:t>0,60%</w:t>
            </w:r>
          </w:p>
        </w:tc>
        <w:tc>
          <w:tcPr>
            <w:tcW w:w="390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69088" w14:textId="77777777" w:rsidR="00C568A2" w:rsidRPr="00DD1CAF" w:rsidRDefault="00C568A2" w:rsidP="009908F1">
            <w:pPr>
              <w:suppressAutoHyphens/>
              <w:jc w:val="center"/>
              <w:rPr>
                <w:rFonts w:eastAsia="Times New Roman"/>
                <w:i/>
                <w:iCs/>
                <w:szCs w:val="20"/>
                <w:lang w:eastAsia="fr-FR"/>
              </w:rPr>
            </w:pPr>
            <w:r w:rsidRPr="00DD1CAF">
              <w:rPr>
                <w:rFonts w:eastAsia="Times New Roman"/>
                <w:i/>
                <w:iCs/>
                <w:szCs w:val="20"/>
                <w:lang w:eastAsia="fr-FR"/>
              </w:rPr>
              <w:t>1,70%</w:t>
            </w:r>
          </w:p>
        </w:tc>
      </w:tr>
      <w:tr w:rsidR="00C568A2" w:rsidRPr="00DD1CAF" w14:paraId="1A25EEAC" w14:textId="77777777" w:rsidTr="009908F1">
        <w:trPr>
          <w:trHeight w:val="315"/>
        </w:trPr>
        <w:tc>
          <w:tcPr>
            <w:tcW w:w="2548" w:type="dxa"/>
            <w:vMerge/>
            <w:tcBorders>
              <w:top w:val="nil"/>
              <w:left w:val="single" w:sz="8" w:space="0" w:color="auto"/>
              <w:bottom w:val="single" w:sz="8" w:space="0" w:color="000000"/>
              <w:right w:val="single" w:sz="4" w:space="0" w:color="auto"/>
            </w:tcBorders>
            <w:vAlign w:val="center"/>
            <w:hideMark/>
          </w:tcPr>
          <w:p w14:paraId="62D5A056" w14:textId="77777777" w:rsidR="00C568A2" w:rsidRPr="00DD1CAF" w:rsidRDefault="00C568A2" w:rsidP="009908F1">
            <w:pPr>
              <w:suppressAutoHyphens/>
              <w:rPr>
                <w:rFonts w:eastAsia="Times New Roman"/>
                <w:b/>
                <w:bCs/>
                <w:color w:val="FFFFFF"/>
                <w:szCs w:val="20"/>
                <w:lang w:eastAsia="fr-FR"/>
              </w:rPr>
            </w:pPr>
          </w:p>
        </w:tc>
        <w:tc>
          <w:tcPr>
            <w:tcW w:w="24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4F25D" w14:textId="77777777" w:rsidR="00C568A2" w:rsidRPr="00DD1CAF" w:rsidRDefault="00C568A2" w:rsidP="009908F1">
            <w:pPr>
              <w:suppressAutoHyphens/>
              <w:jc w:val="right"/>
              <w:rPr>
                <w:rFonts w:eastAsia="Times New Roman"/>
                <w:i/>
                <w:iCs/>
                <w:sz w:val="18"/>
                <w:szCs w:val="18"/>
                <w:lang w:eastAsia="fr-FR"/>
              </w:rPr>
            </w:pPr>
            <w:r w:rsidRPr="00DD1CAF">
              <w:rPr>
                <w:rFonts w:eastAsia="Times New Roman"/>
                <w:i/>
                <w:iCs/>
                <w:sz w:val="18"/>
                <w:szCs w:val="18"/>
                <w:lang w:eastAsia="fr-FR"/>
              </w:rPr>
              <w:t>Circulation routière</w:t>
            </w:r>
          </w:p>
        </w:tc>
        <w:tc>
          <w:tcPr>
            <w:tcW w:w="18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9B92" w14:textId="77777777" w:rsidR="00C568A2" w:rsidRPr="00DD1CAF" w:rsidRDefault="00C568A2" w:rsidP="009908F1">
            <w:pPr>
              <w:suppressAutoHyphens/>
              <w:jc w:val="center"/>
              <w:rPr>
                <w:rFonts w:eastAsia="Times New Roman"/>
                <w:i/>
                <w:iCs/>
                <w:szCs w:val="20"/>
                <w:lang w:eastAsia="fr-FR"/>
              </w:rPr>
            </w:pPr>
            <w:r w:rsidRPr="00DD1CAF">
              <w:rPr>
                <w:rFonts w:eastAsia="Times New Roman"/>
                <w:i/>
                <w:iCs/>
                <w:szCs w:val="20"/>
                <w:lang w:eastAsia="fr-FR"/>
              </w:rPr>
              <w:t>0,50%</w:t>
            </w:r>
          </w:p>
        </w:tc>
        <w:tc>
          <w:tcPr>
            <w:tcW w:w="390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71C50" w14:textId="77777777" w:rsidR="00C568A2" w:rsidRPr="00DD1CAF" w:rsidRDefault="00C568A2" w:rsidP="009908F1">
            <w:pPr>
              <w:suppressAutoHyphens/>
              <w:jc w:val="center"/>
              <w:rPr>
                <w:rFonts w:eastAsia="Times New Roman"/>
                <w:i/>
                <w:iCs/>
                <w:szCs w:val="20"/>
                <w:lang w:eastAsia="fr-FR"/>
              </w:rPr>
            </w:pPr>
            <w:r w:rsidRPr="00DD1CAF">
              <w:rPr>
                <w:rFonts w:eastAsia="Times New Roman"/>
                <w:i/>
                <w:iCs/>
                <w:szCs w:val="20"/>
                <w:lang w:eastAsia="fr-FR"/>
              </w:rPr>
              <w:t>1,50%</w:t>
            </w:r>
          </w:p>
        </w:tc>
      </w:tr>
      <w:tr w:rsidR="00C568A2" w:rsidRPr="00DD1CAF" w14:paraId="3F4478A9" w14:textId="77777777" w:rsidTr="009908F1">
        <w:trPr>
          <w:trHeight w:val="315"/>
        </w:trPr>
        <w:tc>
          <w:tcPr>
            <w:tcW w:w="2548" w:type="dxa"/>
            <w:vMerge w:val="restart"/>
            <w:tcBorders>
              <w:top w:val="nil"/>
              <w:left w:val="single" w:sz="8" w:space="0" w:color="auto"/>
              <w:bottom w:val="single" w:sz="8" w:space="0" w:color="000000"/>
              <w:right w:val="single" w:sz="8" w:space="0" w:color="auto"/>
            </w:tcBorders>
            <w:shd w:val="clear" w:color="000000" w:fill="931638"/>
            <w:vAlign w:val="center"/>
            <w:hideMark/>
          </w:tcPr>
          <w:p w14:paraId="3C420C82" w14:textId="77777777" w:rsidR="00C568A2" w:rsidRPr="00DD1CAF" w:rsidRDefault="00C568A2" w:rsidP="009908F1">
            <w:pPr>
              <w:suppressAutoHyphens/>
              <w:jc w:val="center"/>
              <w:rPr>
                <w:rFonts w:eastAsia="Times New Roman"/>
                <w:b/>
                <w:bCs/>
                <w:color w:val="FFFFFF"/>
                <w:szCs w:val="20"/>
                <w:lang w:eastAsia="fr-FR"/>
              </w:rPr>
            </w:pPr>
            <w:r w:rsidRPr="00DD1CAF">
              <w:rPr>
                <w:rFonts w:eastAsia="Times New Roman"/>
                <w:b/>
                <w:bCs/>
                <w:color w:val="FFFFFF"/>
                <w:szCs w:val="20"/>
                <w:lang w:eastAsia="fr-FR"/>
              </w:rPr>
              <w:t>COFP et PFRFP</w:t>
            </w:r>
          </w:p>
        </w:tc>
        <w:tc>
          <w:tcPr>
            <w:tcW w:w="2484" w:type="dxa"/>
            <w:tcBorders>
              <w:top w:val="single" w:sz="4" w:space="0" w:color="auto"/>
              <w:left w:val="nil"/>
              <w:bottom w:val="single" w:sz="8" w:space="0" w:color="auto"/>
              <w:right w:val="single" w:sz="8" w:space="0" w:color="auto"/>
            </w:tcBorders>
            <w:shd w:val="clear" w:color="000000" w:fill="FFFFFF"/>
            <w:noWrap/>
            <w:vAlign w:val="center"/>
            <w:hideMark/>
          </w:tcPr>
          <w:p w14:paraId="4CE6B0C4"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COFP</w:t>
            </w:r>
          </w:p>
        </w:tc>
        <w:tc>
          <w:tcPr>
            <w:tcW w:w="5748" w:type="dxa"/>
            <w:gridSpan w:val="2"/>
            <w:tcBorders>
              <w:top w:val="single" w:sz="4" w:space="0" w:color="auto"/>
              <w:left w:val="nil"/>
              <w:bottom w:val="single" w:sz="8" w:space="0" w:color="auto"/>
              <w:right w:val="single" w:sz="8" w:space="0" w:color="000000"/>
            </w:tcBorders>
            <w:shd w:val="clear" w:color="000000" w:fill="FFFFFF"/>
            <w:noWrap/>
            <w:vAlign w:val="center"/>
            <w:hideMark/>
          </w:tcPr>
          <w:p w14:paraId="49182B5D" w14:textId="77777777" w:rsidR="00C568A2" w:rsidRPr="00DD1CAF" w:rsidRDefault="00C568A2" w:rsidP="009908F1">
            <w:pPr>
              <w:suppressAutoHyphens/>
              <w:jc w:val="center"/>
              <w:rPr>
                <w:rFonts w:eastAsia="Times New Roman"/>
                <w:b/>
                <w:bCs/>
                <w:i/>
                <w:iCs/>
                <w:szCs w:val="20"/>
                <w:lang w:eastAsia="fr-FR"/>
              </w:rPr>
            </w:pPr>
            <w:r w:rsidRPr="00DD1CAF">
              <w:rPr>
                <w:rFonts w:eastAsia="Times New Roman"/>
                <w:b/>
                <w:bCs/>
                <w:i/>
                <w:iCs/>
                <w:szCs w:val="20"/>
                <w:lang w:eastAsia="fr-FR"/>
              </w:rPr>
              <w:t>1,20</w:t>
            </w:r>
          </w:p>
        </w:tc>
      </w:tr>
      <w:tr w:rsidR="00C568A2" w:rsidRPr="00DD1CAF" w14:paraId="6EC23F1C" w14:textId="77777777" w:rsidTr="009908F1">
        <w:trPr>
          <w:trHeight w:val="300"/>
        </w:trPr>
        <w:tc>
          <w:tcPr>
            <w:tcW w:w="2548" w:type="dxa"/>
            <w:vMerge/>
            <w:tcBorders>
              <w:top w:val="nil"/>
              <w:left w:val="single" w:sz="8" w:space="0" w:color="auto"/>
              <w:bottom w:val="single" w:sz="8" w:space="0" w:color="000000"/>
              <w:right w:val="single" w:sz="8" w:space="0" w:color="auto"/>
            </w:tcBorders>
            <w:vAlign w:val="center"/>
            <w:hideMark/>
          </w:tcPr>
          <w:p w14:paraId="40D5B81F" w14:textId="77777777" w:rsidR="00C568A2" w:rsidRPr="00DD1CAF" w:rsidRDefault="00C568A2" w:rsidP="009908F1">
            <w:pPr>
              <w:suppressAutoHyphens/>
              <w:rPr>
                <w:rFonts w:eastAsia="Times New Roman"/>
                <w:b/>
                <w:bCs/>
                <w:color w:val="FFFFFF"/>
                <w:szCs w:val="20"/>
                <w:lang w:eastAsia="fr-FR"/>
              </w:rPr>
            </w:pPr>
          </w:p>
        </w:tc>
        <w:tc>
          <w:tcPr>
            <w:tcW w:w="2484"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62055719"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PFRFP</w:t>
            </w:r>
          </w:p>
        </w:tc>
        <w:tc>
          <w:tcPr>
            <w:tcW w:w="5748" w:type="dxa"/>
            <w:gridSpan w:val="2"/>
            <w:tcBorders>
              <w:top w:val="single" w:sz="8" w:space="0" w:color="auto"/>
              <w:left w:val="nil"/>
              <w:bottom w:val="nil"/>
              <w:right w:val="single" w:sz="8" w:space="0" w:color="000000"/>
            </w:tcBorders>
            <w:shd w:val="clear" w:color="000000" w:fill="FFFFFF"/>
            <w:vAlign w:val="center"/>
            <w:hideMark/>
          </w:tcPr>
          <w:p w14:paraId="01EB521F" w14:textId="77777777" w:rsidR="00C568A2" w:rsidRDefault="00C568A2" w:rsidP="009908F1">
            <w:pPr>
              <w:suppressAutoHyphens/>
              <w:rPr>
                <w:rFonts w:eastAsia="Times New Roman"/>
                <w:b/>
                <w:bCs/>
                <w:i/>
                <w:iCs/>
                <w:szCs w:val="20"/>
                <w:lang w:eastAsia="fr-FR"/>
              </w:rPr>
            </w:pPr>
            <w:r w:rsidRPr="00DD1CAF">
              <w:rPr>
                <w:rFonts w:eastAsia="Times New Roman"/>
                <w:b/>
                <w:bCs/>
                <w:i/>
                <w:iCs/>
                <w:szCs w:val="20"/>
                <w:lang w:eastAsia="fr-FR"/>
              </w:rPr>
              <w:t xml:space="preserve">0,05 </w:t>
            </w:r>
            <w:r>
              <w:rPr>
                <w:rFonts w:eastAsia="Times New Roman"/>
                <w:b/>
                <w:bCs/>
                <w:i/>
                <w:iCs/>
                <w:szCs w:val="20"/>
                <w:lang w:eastAsia="fr-FR"/>
              </w:rPr>
              <w:t>si distinction du risque</w:t>
            </w:r>
          </w:p>
          <w:p w14:paraId="3BBA224A" w14:textId="77777777" w:rsidR="00C568A2" w:rsidRPr="00DD1CAF" w:rsidRDefault="00C568A2" w:rsidP="009908F1">
            <w:pPr>
              <w:suppressAutoHyphens/>
              <w:rPr>
                <w:rFonts w:eastAsia="Times New Roman"/>
                <w:b/>
                <w:bCs/>
                <w:i/>
                <w:iCs/>
                <w:szCs w:val="20"/>
                <w:lang w:eastAsia="fr-FR"/>
              </w:rPr>
            </w:pPr>
            <w:r>
              <w:rPr>
                <w:rFonts w:eastAsia="Times New Roman"/>
                <w:b/>
                <w:bCs/>
                <w:i/>
                <w:iCs/>
                <w:szCs w:val="20"/>
                <w:lang w:eastAsia="fr-FR"/>
              </w:rPr>
              <w:t>0,07 si taux d’actualisation constant</w:t>
            </w:r>
          </w:p>
        </w:tc>
      </w:tr>
      <w:tr w:rsidR="00C568A2" w:rsidRPr="00DD1CAF" w14:paraId="12525A93" w14:textId="77777777" w:rsidTr="009908F1">
        <w:trPr>
          <w:trHeight w:val="60"/>
        </w:trPr>
        <w:tc>
          <w:tcPr>
            <w:tcW w:w="2548" w:type="dxa"/>
            <w:vMerge/>
            <w:tcBorders>
              <w:top w:val="nil"/>
              <w:left w:val="single" w:sz="8" w:space="0" w:color="auto"/>
              <w:bottom w:val="single" w:sz="8" w:space="0" w:color="000000"/>
              <w:right w:val="single" w:sz="8" w:space="0" w:color="auto"/>
            </w:tcBorders>
            <w:vAlign w:val="center"/>
            <w:hideMark/>
          </w:tcPr>
          <w:p w14:paraId="2CFBF7EE" w14:textId="77777777" w:rsidR="00C568A2" w:rsidRPr="00DD1CAF" w:rsidRDefault="00C568A2" w:rsidP="009908F1">
            <w:pPr>
              <w:suppressAutoHyphens/>
              <w:rPr>
                <w:rFonts w:eastAsia="Times New Roman"/>
                <w:b/>
                <w:bCs/>
                <w:color w:val="FFFFFF"/>
                <w:szCs w:val="20"/>
                <w:lang w:eastAsia="fr-FR"/>
              </w:rPr>
            </w:pPr>
          </w:p>
        </w:tc>
        <w:tc>
          <w:tcPr>
            <w:tcW w:w="2484" w:type="dxa"/>
            <w:vMerge/>
            <w:tcBorders>
              <w:top w:val="nil"/>
              <w:left w:val="single" w:sz="8" w:space="0" w:color="auto"/>
              <w:bottom w:val="single" w:sz="8" w:space="0" w:color="000000"/>
              <w:right w:val="single" w:sz="8" w:space="0" w:color="auto"/>
            </w:tcBorders>
            <w:vAlign w:val="center"/>
            <w:hideMark/>
          </w:tcPr>
          <w:p w14:paraId="59632885" w14:textId="77777777" w:rsidR="00C568A2" w:rsidRPr="00DD1CAF" w:rsidRDefault="00C568A2" w:rsidP="009908F1">
            <w:pPr>
              <w:suppressAutoHyphens/>
              <w:rPr>
                <w:rFonts w:eastAsia="Times New Roman"/>
                <w:szCs w:val="20"/>
                <w:lang w:eastAsia="fr-FR"/>
              </w:rPr>
            </w:pPr>
          </w:p>
        </w:tc>
        <w:tc>
          <w:tcPr>
            <w:tcW w:w="5748" w:type="dxa"/>
            <w:gridSpan w:val="2"/>
            <w:tcBorders>
              <w:top w:val="nil"/>
              <w:left w:val="nil"/>
              <w:bottom w:val="single" w:sz="8" w:space="0" w:color="auto"/>
              <w:right w:val="single" w:sz="8" w:space="0" w:color="000000"/>
            </w:tcBorders>
            <w:shd w:val="clear" w:color="000000" w:fill="FFFFFF"/>
            <w:vAlign w:val="center"/>
            <w:hideMark/>
          </w:tcPr>
          <w:p w14:paraId="4C1665F6" w14:textId="77777777" w:rsidR="00C568A2" w:rsidRPr="00DD1CAF" w:rsidRDefault="00C568A2" w:rsidP="009908F1">
            <w:pPr>
              <w:suppressAutoHyphens/>
              <w:rPr>
                <w:rFonts w:eastAsia="Times New Roman"/>
                <w:b/>
                <w:bCs/>
                <w:i/>
                <w:iCs/>
                <w:szCs w:val="20"/>
                <w:lang w:eastAsia="fr-FR"/>
              </w:rPr>
            </w:pPr>
          </w:p>
        </w:tc>
      </w:tr>
      <w:tr w:rsidR="00C568A2" w:rsidRPr="00DD1CAF" w14:paraId="205277C2" w14:textId="77777777" w:rsidTr="009908F1">
        <w:trPr>
          <w:trHeight w:val="315"/>
        </w:trPr>
        <w:tc>
          <w:tcPr>
            <w:tcW w:w="2548" w:type="dxa"/>
            <w:vMerge w:val="restart"/>
            <w:tcBorders>
              <w:top w:val="nil"/>
              <w:left w:val="single" w:sz="8" w:space="0" w:color="auto"/>
              <w:bottom w:val="single" w:sz="8" w:space="0" w:color="000000"/>
              <w:right w:val="single" w:sz="8" w:space="0" w:color="auto"/>
            </w:tcBorders>
            <w:shd w:val="clear" w:color="000000" w:fill="931638"/>
            <w:vAlign w:val="center"/>
            <w:hideMark/>
          </w:tcPr>
          <w:p w14:paraId="7C696276" w14:textId="77777777" w:rsidR="00C568A2" w:rsidRPr="00DD1CAF" w:rsidRDefault="00C568A2" w:rsidP="009908F1">
            <w:pPr>
              <w:suppressAutoHyphens/>
              <w:jc w:val="center"/>
              <w:rPr>
                <w:rFonts w:eastAsia="Times New Roman"/>
                <w:b/>
                <w:bCs/>
                <w:color w:val="FFFFFF"/>
                <w:szCs w:val="20"/>
                <w:lang w:eastAsia="fr-FR"/>
              </w:rPr>
            </w:pPr>
            <w:r w:rsidRPr="00DD1CAF">
              <w:rPr>
                <w:rFonts w:eastAsia="Times New Roman"/>
                <w:b/>
                <w:bCs/>
                <w:color w:val="FFFFFF"/>
                <w:szCs w:val="20"/>
                <w:lang w:eastAsia="fr-FR"/>
              </w:rPr>
              <w:t>TVA</w:t>
            </w:r>
          </w:p>
        </w:tc>
        <w:tc>
          <w:tcPr>
            <w:tcW w:w="2484" w:type="dxa"/>
            <w:tcBorders>
              <w:top w:val="nil"/>
              <w:left w:val="nil"/>
              <w:bottom w:val="single" w:sz="8" w:space="0" w:color="auto"/>
              <w:right w:val="single" w:sz="8" w:space="0" w:color="auto"/>
            </w:tcBorders>
            <w:shd w:val="clear" w:color="000000" w:fill="FFFFFF"/>
            <w:noWrap/>
            <w:vAlign w:val="center"/>
            <w:hideMark/>
          </w:tcPr>
          <w:p w14:paraId="71F33762"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Taux normal</w:t>
            </w:r>
          </w:p>
        </w:tc>
        <w:tc>
          <w:tcPr>
            <w:tcW w:w="574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AA0A7CF"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20,00%</w:t>
            </w:r>
          </w:p>
        </w:tc>
      </w:tr>
      <w:tr w:rsidR="00C568A2" w:rsidRPr="00DD1CAF" w14:paraId="1E33C0D4" w14:textId="77777777" w:rsidTr="009908F1">
        <w:trPr>
          <w:trHeight w:val="315"/>
        </w:trPr>
        <w:tc>
          <w:tcPr>
            <w:tcW w:w="2548" w:type="dxa"/>
            <w:vMerge/>
            <w:tcBorders>
              <w:top w:val="nil"/>
              <w:left w:val="single" w:sz="8" w:space="0" w:color="auto"/>
              <w:bottom w:val="single" w:sz="8" w:space="0" w:color="000000"/>
              <w:right w:val="single" w:sz="8" w:space="0" w:color="auto"/>
            </w:tcBorders>
            <w:vAlign w:val="center"/>
            <w:hideMark/>
          </w:tcPr>
          <w:p w14:paraId="16C912DD" w14:textId="77777777" w:rsidR="00C568A2" w:rsidRPr="00DD1CAF" w:rsidRDefault="00C568A2" w:rsidP="009908F1">
            <w:pPr>
              <w:suppressAutoHyphens/>
              <w:rPr>
                <w:rFonts w:eastAsia="Times New Roman"/>
                <w:b/>
                <w:bCs/>
                <w:color w:val="FFFFFF"/>
                <w:szCs w:val="20"/>
                <w:lang w:eastAsia="fr-FR"/>
              </w:rPr>
            </w:pPr>
          </w:p>
        </w:tc>
        <w:tc>
          <w:tcPr>
            <w:tcW w:w="2484" w:type="dxa"/>
            <w:tcBorders>
              <w:top w:val="nil"/>
              <w:left w:val="nil"/>
              <w:bottom w:val="single" w:sz="8" w:space="0" w:color="auto"/>
              <w:right w:val="single" w:sz="8" w:space="0" w:color="auto"/>
            </w:tcBorders>
            <w:shd w:val="clear" w:color="000000" w:fill="FFFFFF"/>
            <w:noWrap/>
            <w:vAlign w:val="center"/>
            <w:hideMark/>
          </w:tcPr>
          <w:p w14:paraId="3AE56367"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Taux réduit (billets TC)</w:t>
            </w:r>
          </w:p>
        </w:tc>
        <w:tc>
          <w:tcPr>
            <w:tcW w:w="574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D234C53"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10,00%</w:t>
            </w:r>
          </w:p>
        </w:tc>
      </w:tr>
      <w:tr w:rsidR="00C568A2" w:rsidRPr="00DD1CAF" w14:paraId="7AD0C78E" w14:textId="77777777" w:rsidTr="009908F1">
        <w:trPr>
          <w:trHeight w:val="315"/>
        </w:trPr>
        <w:tc>
          <w:tcPr>
            <w:tcW w:w="2548" w:type="dxa"/>
            <w:vMerge w:val="restart"/>
            <w:tcBorders>
              <w:top w:val="nil"/>
              <w:left w:val="single" w:sz="8" w:space="0" w:color="auto"/>
              <w:bottom w:val="single" w:sz="8" w:space="0" w:color="000000"/>
              <w:right w:val="single" w:sz="8" w:space="0" w:color="auto"/>
            </w:tcBorders>
            <w:shd w:val="clear" w:color="000000" w:fill="931638"/>
            <w:vAlign w:val="center"/>
            <w:hideMark/>
          </w:tcPr>
          <w:p w14:paraId="42795317" w14:textId="77777777" w:rsidR="00C568A2" w:rsidRPr="00DD1CAF" w:rsidRDefault="00C568A2" w:rsidP="009908F1">
            <w:pPr>
              <w:suppressAutoHyphens/>
              <w:jc w:val="center"/>
              <w:rPr>
                <w:rFonts w:eastAsia="Times New Roman"/>
                <w:b/>
                <w:bCs/>
                <w:color w:val="FFFFFF"/>
                <w:szCs w:val="20"/>
                <w:lang w:eastAsia="fr-FR"/>
              </w:rPr>
            </w:pPr>
            <w:r w:rsidRPr="00DD1CAF">
              <w:rPr>
                <w:rFonts w:eastAsia="Times New Roman"/>
                <w:b/>
                <w:bCs/>
                <w:color w:val="FFFFFF"/>
                <w:szCs w:val="20"/>
                <w:lang w:eastAsia="fr-FR"/>
              </w:rPr>
              <w:t>Valeur du temps</w:t>
            </w:r>
          </w:p>
        </w:tc>
        <w:tc>
          <w:tcPr>
            <w:tcW w:w="2484" w:type="dxa"/>
            <w:tcBorders>
              <w:top w:val="nil"/>
              <w:left w:val="nil"/>
              <w:bottom w:val="single" w:sz="8" w:space="0" w:color="auto"/>
              <w:right w:val="single" w:sz="8" w:space="0" w:color="auto"/>
            </w:tcBorders>
            <w:shd w:val="clear" w:color="000000" w:fill="FFFFFF"/>
            <w:noWrap/>
            <w:vAlign w:val="center"/>
            <w:hideMark/>
          </w:tcPr>
          <w:p w14:paraId="43757D89"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Professionnels</w:t>
            </w:r>
          </w:p>
        </w:tc>
        <w:tc>
          <w:tcPr>
            <w:tcW w:w="1842" w:type="dxa"/>
            <w:tcBorders>
              <w:top w:val="nil"/>
              <w:left w:val="nil"/>
              <w:bottom w:val="single" w:sz="8" w:space="0" w:color="auto"/>
              <w:right w:val="single" w:sz="8" w:space="0" w:color="auto"/>
            </w:tcBorders>
            <w:shd w:val="clear" w:color="000000" w:fill="FFFFFF"/>
            <w:noWrap/>
            <w:vAlign w:val="center"/>
            <w:hideMark/>
          </w:tcPr>
          <w:p w14:paraId="0D5DC4FE"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23,7</w:t>
            </w:r>
          </w:p>
        </w:tc>
        <w:tc>
          <w:tcPr>
            <w:tcW w:w="3906" w:type="dxa"/>
            <w:tcBorders>
              <w:top w:val="nil"/>
              <w:left w:val="nil"/>
              <w:bottom w:val="single" w:sz="8" w:space="0" w:color="auto"/>
              <w:right w:val="single" w:sz="8" w:space="0" w:color="auto"/>
            </w:tcBorders>
            <w:shd w:val="clear" w:color="000000" w:fill="FFFFFF"/>
            <w:noWrap/>
            <w:vAlign w:val="center"/>
            <w:hideMark/>
          </w:tcPr>
          <w:p w14:paraId="615AFE0B"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€2015 / h en 2015</w:t>
            </w:r>
          </w:p>
        </w:tc>
      </w:tr>
      <w:tr w:rsidR="00C568A2" w:rsidRPr="00DD1CAF" w14:paraId="33DC972C" w14:textId="77777777" w:rsidTr="009908F1">
        <w:trPr>
          <w:trHeight w:val="315"/>
        </w:trPr>
        <w:tc>
          <w:tcPr>
            <w:tcW w:w="2548" w:type="dxa"/>
            <w:vMerge/>
            <w:tcBorders>
              <w:top w:val="nil"/>
              <w:left w:val="single" w:sz="8" w:space="0" w:color="auto"/>
              <w:bottom w:val="single" w:sz="8" w:space="0" w:color="000000"/>
              <w:right w:val="single" w:sz="8" w:space="0" w:color="auto"/>
            </w:tcBorders>
            <w:vAlign w:val="center"/>
            <w:hideMark/>
          </w:tcPr>
          <w:p w14:paraId="36849171" w14:textId="77777777" w:rsidR="00C568A2" w:rsidRPr="00DD1CAF" w:rsidRDefault="00C568A2" w:rsidP="009908F1">
            <w:pPr>
              <w:suppressAutoHyphens/>
              <w:rPr>
                <w:rFonts w:eastAsia="Times New Roman"/>
                <w:b/>
                <w:bCs/>
                <w:color w:val="FFFFFF"/>
                <w:szCs w:val="20"/>
                <w:lang w:eastAsia="fr-FR"/>
              </w:rPr>
            </w:pPr>
          </w:p>
        </w:tc>
        <w:tc>
          <w:tcPr>
            <w:tcW w:w="2484" w:type="dxa"/>
            <w:tcBorders>
              <w:top w:val="nil"/>
              <w:left w:val="nil"/>
              <w:bottom w:val="single" w:sz="8" w:space="0" w:color="auto"/>
              <w:right w:val="single" w:sz="8" w:space="0" w:color="auto"/>
            </w:tcBorders>
            <w:shd w:val="clear" w:color="000000" w:fill="FFFFFF"/>
            <w:noWrap/>
            <w:vAlign w:val="center"/>
            <w:hideMark/>
          </w:tcPr>
          <w:p w14:paraId="16CC6376"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Domicile-travail</w:t>
            </w:r>
          </w:p>
        </w:tc>
        <w:tc>
          <w:tcPr>
            <w:tcW w:w="1842" w:type="dxa"/>
            <w:tcBorders>
              <w:top w:val="nil"/>
              <w:left w:val="nil"/>
              <w:bottom w:val="single" w:sz="8" w:space="0" w:color="auto"/>
              <w:right w:val="single" w:sz="8" w:space="0" w:color="auto"/>
            </w:tcBorders>
            <w:shd w:val="clear" w:color="000000" w:fill="FFFFFF"/>
            <w:noWrap/>
            <w:vAlign w:val="center"/>
            <w:hideMark/>
          </w:tcPr>
          <w:p w14:paraId="3A105D51"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13,4</w:t>
            </w:r>
          </w:p>
        </w:tc>
        <w:tc>
          <w:tcPr>
            <w:tcW w:w="3906" w:type="dxa"/>
            <w:tcBorders>
              <w:top w:val="nil"/>
              <w:left w:val="nil"/>
              <w:bottom w:val="single" w:sz="8" w:space="0" w:color="auto"/>
              <w:right w:val="single" w:sz="8" w:space="0" w:color="auto"/>
            </w:tcBorders>
            <w:shd w:val="clear" w:color="000000" w:fill="FFFFFF"/>
            <w:vAlign w:val="center"/>
            <w:hideMark/>
          </w:tcPr>
          <w:p w14:paraId="20D8AFCA"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€2015 / h en 2015</w:t>
            </w:r>
          </w:p>
        </w:tc>
      </w:tr>
      <w:tr w:rsidR="00C568A2" w:rsidRPr="00DD1CAF" w14:paraId="7718768C" w14:textId="77777777" w:rsidTr="009908F1">
        <w:trPr>
          <w:trHeight w:val="315"/>
        </w:trPr>
        <w:tc>
          <w:tcPr>
            <w:tcW w:w="2548" w:type="dxa"/>
            <w:vMerge/>
            <w:tcBorders>
              <w:top w:val="nil"/>
              <w:left w:val="single" w:sz="8" w:space="0" w:color="auto"/>
              <w:bottom w:val="single" w:sz="8" w:space="0" w:color="000000"/>
              <w:right w:val="single" w:sz="8" w:space="0" w:color="auto"/>
            </w:tcBorders>
            <w:vAlign w:val="center"/>
            <w:hideMark/>
          </w:tcPr>
          <w:p w14:paraId="30A05511" w14:textId="77777777" w:rsidR="00C568A2" w:rsidRPr="00DD1CAF" w:rsidRDefault="00C568A2" w:rsidP="009908F1">
            <w:pPr>
              <w:suppressAutoHyphens/>
              <w:rPr>
                <w:rFonts w:eastAsia="Times New Roman"/>
                <w:b/>
                <w:bCs/>
                <w:color w:val="FFFFFF"/>
                <w:szCs w:val="20"/>
                <w:lang w:eastAsia="fr-FR"/>
              </w:rPr>
            </w:pPr>
          </w:p>
        </w:tc>
        <w:tc>
          <w:tcPr>
            <w:tcW w:w="2484" w:type="dxa"/>
            <w:tcBorders>
              <w:top w:val="nil"/>
              <w:left w:val="nil"/>
              <w:bottom w:val="single" w:sz="8" w:space="0" w:color="auto"/>
              <w:right w:val="single" w:sz="8" w:space="0" w:color="auto"/>
            </w:tcBorders>
            <w:shd w:val="clear" w:color="000000" w:fill="FFFFFF"/>
            <w:noWrap/>
            <w:vAlign w:val="center"/>
            <w:hideMark/>
          </w:tcPr>
          <w:p w14:paraId="11EC3E1A"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Autres</w:t>
            </w:r>
          </w:p>
        </w:tc>
        <w:tc>
          <w:tcPr>
            <w:tcW w:w="1842" w:type="dxa"/>
            <w:tcBorders>
              <w:top w:val="nil"/>
              <w:left w:val="nil"/>
              <w:bottom w:val="single" w:sz="8" w:space="0" w:color="auto"/>
              <w:right w:val="single" w:sz="8" w:space="0" w:color="auto"/>
            </w:tcBorders>
            <w:shd w:val="clear" w:color="000000" w:fill="FFFFFF"/>
            <w:noWrap/>
            <w:vAlign w:val="center"/>
            <w:hideMark/>
          </w:tcPr>
          <w:p w14:paraId="2F172584"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9,3</w:t>
            </w:r>
          </w:p>
        </w:tc>
        <w:tc>
          <w:tcPr>
            <w:tcW w:w="3906" w:type="dxa"/>
            <w:tcBorders>
              <w:top w:val="nil"/>
              <w:left w:val="nil"/>
              <w:bottom w:val="single" w:sz="8" w:space="0" w:color="auto"/>
              <w:right w:val="single" w:sz="8" w:space="0" w:color="auto"/>
            </w:tcBorders>
            <w:shd w:val="clear" w:color="000000" w:fill="FFFFFF"/>
            <w:noWrap/>
            <w:vAlign w:val="center"/>
            <w:hideMark/>
          </w:tcPr>
          <w:p w14:paraId="26070A07"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€2015 / h en 2015</w:t>
            </w:r>
          </w:p>
        </w:tc>
      </w:tr>
      <w:tr w:rsidR="00C568A2" w:rsidRPr="00DD1CAF" w14:paraId="7DF2E662" w14:textId="77777777" w:rsidTr="009908F1">
        <w:trPr>
          <w:trHeight w:val="315"/>
        </w:trPr>
        <w:tc>
          <w:tcPr>
            <w:tcW w:w="2548" w:type="dxa"/>
            <w:vMerge w:val="restart"/>
            <w:tcBorders>
              <w:top w:val="nil"/>
              <w:left w:val="single" w:sz="8" w:space="0" w:color="auto"/>
              <w:bottom w:val="single" w:sz="8" w:space="0" w:color="000000"/>
              <w:right w:val="single" w:sz="8" w:space="0" w:color="auto"/>
            </w:tcBorders>
            <w:shd w:val="clear" w:color="000000" w:fill="931638"/>
            <w:vAlign w:val="center"/>
            <w:hideMark/>
          </w:tcPr>
          <w:p w14:paraId="0088C80F" w14:textId="77777777" w:rsidR="00C568A2" w:rsidRPr="00DD1CAF" w:rsidRDefault="00C568A2" w:rsidP="009908F1">
            <w:pPr>
              <w:suppressAutoHyphens/>
              <w:jc w:val="center"/>
              <w:rPr>
                <w:rFonts w:eastAsia="Times New Roman"/>
                <w:b/>
                <w:bCs/>
                <w:color w:val="FFFFFF"/>
                <w:szCs w:val="20"/>
                <w:lang w:eastAsia="fr-FR"/>
              </w:rPr>
            </w:pPr>
            <w:r w:rsidRPr="00DD1CAF">
              <w:rPr>
                <w:rFonts w:eastAsia="Times New Roman"/>
                <w:b/>
                <w:bCs/>
                <w:color w:val="FFFFFF"/>
                <w:szCs w:val="20"/>
                <w:lang w:eastAsia="fr-FR"/>
              </w:rPr>
              <w:t>Taux de croissance valeur du temps</w:t>
            </w:r>
          </w:p>
        </w:tc>
        <w:tc>
          <w:tcPr>
            <w:tcW w:w="2484" w:type="dxa"/>
            <w:tcBorders>
              <w:top w:val="nil"/>
              <w:left w:val="nil"/>
              <w:bottom w:val="single" w:sz="8" w:space="0" w:color="auto"/>
              <w:right w:val="single" w:sz="8" w:space="0" w:color="auto"/>
            </w:tcBorders>
            <w:shd w:val="clear" w:color="000000" w:fill="FFFFFF"/>
            <w:noWrap/>
            <w:vAlign w:val="center"/>
            <w:hideMark/>
          </w:tcPr>
          <w:p w14:paraId="1A6F89D8"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Jusqu’à 2030</w:t>
            </w:r>
          </w:p>
        </w:tc>
        <w:tc>
          <w:tcPr>
            <w:tcW w:w="5748" w:type="dxa"/>
            <w:gridSpan w:val="2"/>
            <w:tcBorders>
              <w:top w:val="single" w:sz="8" w:space="0" w:color="auto"/>
              <w:left w:val="nil"/>
              <w:bottom w:val="single" w:sz="8" w:space="0" w:color="auto"/>
              <w:right w:val="single" w:sz="8" w:space="0" w:color="000000"/>
            </w:tcBorders>
            <w:shd w:val="clear" w:color="000000" w:fill="FFFFFF"/>
            <w:noWrap/>
            <w:vAlign w:val="center"/>
            <w:hideMark/>
          </w:tcPr>
          <w:p w14:paraId="4407E542"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0,70%</w:t>
            </w:r>
          </w:p>
        </w:tc>
      </w:tr>
      <w:tr w:rsidR="00C568A2" w:rsidRPr="00DD1CAF" w14:paraId="6456E16A" w14:textId="77777777" w:rsidTr="009908F1">
        <w:trPr>
          <w:trHeight w:val="315"/>
        </w:trPr>
        <w:tc>
          <w:tcPr>
            <w:tcW w:w="2548" w:type="dxa"/>
            <w:vMerge/>
            <w:tcBorders>
              <w:top w:val="nil"/>
              <w:left w:val="single" w:sz="8" w:space="0" w:color="auto"/>
              <w:bottom w:val="single" w:sz="8" w:space="0" w:color="000000"/>
              <w:right w:val="single" w:sz="8" w:space="0" w:color="auto"/>
            </w:tcBorders>
            <w:vAlign w:val="center"/>
            <w:hideMark/>
          </w:tcPr>
          <w:p w14:paraId="6A7D382F" w14:textId="77777777" w:rsidR="00C568A2" w:rsidRPr="00DD1CAF" w:rsidRDefault="00C568A2" w:rsidP="009908F1">
            <w:pPr>
              <w:suppressAutoHyphens/>
              <w:rPr>
                <w:rFonts w:eastAsia="Times New Roman"/>
                <w:b/>
                <w:bCs/>
                <w:color w:val="FFFFFF"/>
                <w:szCs w:val="20"/>
                <w:lang w:eastAsia="fr-FR"/>
              </w:rPr>
            </w:pPr>
          </w:p>
        </w:tc>
        <w:tc>
          <w:tcPr>
            <w:tcW w:w="2484" w:type="dxa"/>
            <w:tcBorders>
              <w:top w:val="nil"/>
              <w:left w:val="nil"/>
              <w:bottom w:val="single" w:sz="8" w:space="0" w:color="auto"/>
              <w:right w:val="single" w:sz="8" w:space="0" w:color="auto"/>
            </w:tcBorders>
            <w:shd w:val="clear" w:color="000000" w:fill="FFFFFF"/>
            <w:noWrap/>
            <w:vAlign w:val="center"/>
            <w:hideMark/>
          </w:tcPr>
          <w:p w14:paraId="60E14335"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Après 2030</w:t>
            </w:r>
          </w:p>
        </w:tc>
        <w:tc>
          <w:tcPr>
            <w:tcW w:w="5748" w:type="dxa"/>
            <w:gridSpan w:val="2"/>
            <w:tcBorders>
              <w:top w:val="single" w:sz="8" w:space="0" w:color="auto"/>
              <w:left w:val="nil"/>
              <w:bottom w:val="single" w:sz="8" w:space="0" w:color="auto"/>
              <w:right w:val="single" w:sz="8" w:space="0" w:color="000000"/>
            </w:tcBorders>
            <w:shd w:val="clear" w:color="000000" w:fill="FFFFFF"/>
            <w:noWrap/>
            <w:vAlign w:val="center"/>
            <w:hideMark/>
          </w:tcPr>
          <w:p w14:paraId="3CDC23D1"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0,70%</w:t>
            </w:r>
          </w:p>
        </w:tc>
      </w:tr>
      <w:tr w:rsidR="00C568A2" w:rsidRPr="00DD1CAF" w14:paraId="4CA18A08" w14:textId="77777777" w:rsidTr="009908F1">
        <w:trPr>
          <w:trHeight w:val="315"/>
        </w:trPr>
        <w:tc>
          <w:tcPr>
            <w:tcW w:w="2548" w:type="dxa"/>
            <w:vMerge w:val="restart"/>
            <w:tcBorders>
              <w:top w:val="nil"/>
              <w:left w:val="single" w:sz="8" w:space="0" w:color="auto"/>
              <w:bottom w:val="single" w:sz="8" w:space="0" w:color="000000"/>
              <w:right w:val="single" w:sz="8" w:space="0" w:color="auto"/>
            </w:tcBorders>
            <w:shd w:val="clear" w:color="000000" w:fill="931638"/>
            <w:vAlign w:val="center"/>
            <w:hideMark/>
          </w:tcPr>
          <w:p w14:paraId="74128D33" w14:textId="77777777" w:rsidR="00C568A2" w:rsidRPr="00DD1CAF" w:rsidRDefault="00C568A2" w:rsidP="009908F1">
            <w:pPr>
              <w:suppressAutoHyphens/>
              <w:jc w:val="center"/>
              <w:rPr>
                <w:rFonts w:eastAsia="Times New Roman"/>
                <w:b/>
                <w:bCs/>
                <w:color w:val="FFFFFF"/>
                <w:szCs w:val="20"/>
                <w:lang w:eastAsia="fr-FR"/>
              </w:rPr>
            </w:pPr>
            <w:r w:rsidRPr="00DD1CAF">
              <w:rPr>
                <w:rFonts w:eastAsia="Times New Roman"/>
                <w:b/>
                <w:bCs/>
                <w:color w:val="FFFFFF"/>
                <w:szCs w:val="20"/>
                <w:lang w:eastAsia="fr-FR"/>
              </w:rPr>
              <w:t>Prix de la tonne de CO2</w:t>
            </w:r>
          </w:p>
        </w:tc>
        <w:tc>
          <w:tcPr>
            <w:tcW w:w="2484" w:type="dxa"/>
            <w:tcBorders>
              <w:top w:val="nil"/>
              <w:left w:val="nil"/>
              <w:bottom w:val="single" w:sz="8" w:space="0" w:color="auto"/>
              <w:right w:val="single" w:sz="8" w:space="0" w:color="auto"/>
            </w:tcBorders>
            <w:shd w:val="clear" w:color="000000" w:fill="FFFFFF"/>
            <w:noWrap/>
            <w:vAlign w:val="center"/>
            <w:hideMark/>
          </w:tcPr>
          <w:p w14:paraId="06BFDABD"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en 2018</w:t>
            </w:r>
          </w:p>
        </w:tc>
        <w:tc>
          <w:tcPr>
            <w:tcW w:w="1842" w:type="dxa"/>
            <w:tcBorders>
              <w:top w:val="nil"/>
              <w:left w:val="nil"/>
              <w:bottom w:val="single" w:sz="8" w:space="0" w:color="auto"/>
              <w:right w:val="single" w:sz="8" w:space="0" w:color="auto"/>
            </w:tcBorders>
            <w:shd w:val="clear" w:color="000000" w:fill="FFFFFF"/>
            <w:noWrap/>
            <w:vAlign w:val="center"/>
            <w:hideMark/>
          </w:tcPr>
          <w:p w14:paraId="093725DB"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5</w:t>
            </w:r>
            <w:r>
              <w:rPr>
                <w:rFonts w:eastAsia="Times New Roman"/>
                <w:b/>
                <w:bCs/>
                <w:i/>
                <w:iCs/>
                <w:szCs w:val="20"/>
                <w:lang w:eastAsia="fr-FR"/>
              </w:rPr>
              <w:t>3</w:t>
            </w:r>
          </w:p>
        </w:tc>
        <w:tc>
          <w:tcPr>
            <w:tcW w:w="3906" w:type="dxa"/>
            <w:tcBorders>
              <w:top w:val="nil"/>
              <w:left w:val="nil"/>
              <w:bottom w:val="single" w:sz="8" w:space="0" w:color="auto"/>
              <w:right w:val="single" w:sz="8" w:space="0" w:color="auto"/>
            </w:tcBorders>
            <w:shd w:val="clear" w:color="000000" w:fill="FFFFFF"/>
            <w:noWrap/>
            <w:vAlign w:val="center"/>
            <w:hideMark/>
          </w:tcPr>
          <w:p w14:paraId="23B407F2"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€2015/t</w:t>
            </w:r>
          </w:p>
        </w:tc>
      </w:tr>
      <w:tr w:rsidR="00C568A2" w:rsidRPr="00DD1CAF" w14:paraId="35A02E15" w14:textId="77777777" w:rsidTr="009908F1">
        <w:trPr>
          <w:trHeight w:val="315"/>
        </w:trPr>
        <w:tc>
          <w:tcPr>
            <w:tcW w:w="2548" w:type="dxa"/>
            <w:vMerge/>
            <w:tcBorders>
              <w:top w:val="nil"/>
              <w:left w:val="single" w:sz="8" w:space="0" w:color="auto"/>
              <w:bottom w:val="single" w:sz="8" w:space="0" w:color="000000"/>
              <w:right w:val="single" w:sz="8" w:space="0" w:color="auto"/>
            </w:tcBorders>
            <w:vAlign w:val="center"/>
            <w:hideMark/>
          </w:tcPr>
          <w:p w14:paraId="6C393ACE" w14:textId="77777777" w:rsidR="00C568A2" w:rsidRPr="00DD1CAF" w:rsidRDefault="00C568A2" w:rsidP="009908F1">
            <w:pPr>
              <w:suppressAutoHyphens/>
              <w:rPr>
                <w:rFonts w:eastAsia="Times New Roman"/>
                <w:b/>
                <w:bCs/>
                <w:color w:val="FFFFFF"/>
                <w:szCs w:val="20"/>
                <w:lang w:eastAsia="fr-FR"/>
              </w:rPr>
            </w:pPr>
          </w:p>
        </w:tc>
        <w:tc>
          <w:tcPr>
            <w:tcW w:w="2484" w:type="dxa"/>
            <w:tcBorders>
              <w:top w:val="nil"/>
              <w:left w:val="nil"/>
              <w:bottom w:val="single" w:sz="8" w:space="0" w:color="auto"/>
              <w:right w:val="single" w:sz="8" w:space="0" w:color="auto"/>
            </w:tcBorders>
            <w:shd w:val="clear" w:color="000000" w:fill="FFFFFF"/>
            <w:noWrap/>
            <w:vAlign w:val="center"/>
            <w:hideMark/>
          </w:tcPr>
          <w:p w14:paraId="6A91F23C"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en 2030</w:t>
            </w:r>
          </w:p>
        </w:tc>
        <w:tc>
          <w:tcPr>
            <w:tcW w:w="1842" w:type="dxa"/>
            <w:tcBorders>
              <w:top w:val="nil"/>
              <w:left w:val="nil"/>
              <w:bottom w:val="single" w:sz="8" w:space="0" w:color="auto"/>
              <w:right w:val="single" w:sz="8" w:space="0" w:color="auto"/>
            </w:tcBorders>
            <w:shd w:val="clear" w:color="000000" w:fill="FFFFFF"/>
            <w:noWrap/>
            <w:vAlign w:val="center"/>
            <w:hideMark/>
          </w:tcPr>
          <w:p w14:paraId="7C06DC4F"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2</w:t>
            </w:r>
            <w:r>
              <w:rPr>
                <w:rFonts w:eastAsia="Times New Roman"/>
                <w:b/>
                <w:bCs/>
                <w:i/>
                <w:iCs/>
                <w:szCs w:val="20"/>
                <w:lang w:eastAsia="fr-FR"/>
              </w:rPr>
              <w:t>46</w:t>
            </w:r>
          </w:p>
        </w:tc>
        <w:tc>
          <w:tcPr>
            <w:tcW w:w="3906" w:type="dxa"/>
            <w:tcBorders>
              <w:top w:val="nil"/>
              <w:left w:val="nil"/>
              <w:bottom w:val="single" w:sz="8" w:space="0" w:color="auto"/>
              <w:right w:val="single" w:sz="8" w:space="0" w:color="auto"/>
            </w:tcBorders>
            <w:shd w:val="clear" w:color="000000" w:fill="FFFFFF"/>
            <w:noWrap/>
            <w:vAlign w:val="center"/>
            <w:hideMark/>
          </w:tcPr>
          <w:p w14:paraId="2E3EADD9"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€2015/t</w:t>
            </w:r>
          </w:p>
        </w:tc>
      </w:tr>
      <w:tr w:rsidR="00C568A2" w:rsidRPr="00DD1CAF" w14:paraId="7B585B36" w14:textId="77777777" w:rsidTr="009908F1">
        <w:trPr>
          <w:trHeight w:val="315"/>
        </w:trPr>
        <w:tc>
          <w:tcPr>
            <w:tcW w:w="2548" w:type="dxa"/>
            <w:vMerge/>
            <w:tcBorders>
              <w:top w:val="nil"/>
              <w:left w:val="single" w:sz="8" w:space="0" w:color="auto"/>
              <w:bottom w:val="single" w:sz="8" w:space="0" w:color="000000"/>
              <w:right w:val="single" w:sz="8" w:space="0" w:color="auto"/>
            </w:tcBorders>
            <w:vAlign w:val="center"/>
            <w:hideMark/>
          </w:tcPr>
          <w:p w14:paraId="5D14A3B5" w14:textId="77777777" w:rsidR="00C568A2" w:rsidRPr="00DD1CAF" w:rsidRDefault="00C568A2" w:rsidP="009908F1">
            <w:pPr>
              <w:suppressAutoHyphens/>
              <w:rPr>
                <w:rFonts w:eastAsia="Times New Roman"/>
                <w:b/>
                <w:bCs/>
                <w:color w:val="FFFFFF"/>
                <w:szCs w:val="20"/>
                <w:lang w:eastAsia="fr-FR"/>
              </w:rPr>
            </w:pPr>
          </w:p>
        </w:tc>
        <w:tc>
          <w:tcPr>
            <w:tcW w:w="2484" w:type="dxa"/>
            <w:tcBorders>
              <w:top w:val="nil"/>
              <w:left w:val="nil"/>
              <w:bottom w:val="single" w:sz="8" w:space="0" w:color="auto"/>
              <w:right w:val="single" w:sz="8" w:space="0" w:color="auto"/>
            </w:tcBorders>
            <w:shd w:val="clear" w:color="000000" w:fill="FFFFFF"/>
            <w:noWrap/>
            <w:vAlign w:val="center"/>
            <w:hideMark/>
          </w:tcPr>
          <w:p w14:paraId="7BD94CEA"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en 2040</w:t>
            </w:r>
          </w:p>
        </w:tc>
        <w:tc>
          <w:tcPr>
            <w:tcW w:w="1842" w:type="dxa"/>
            <w:tcBorders>
              <w:top w:val="nil"/>
              <w:left w:val="nil"/>
              <w:bottom w:val="single" w:sz="8" w:space="0" w:color="auto"/>
              <w:right w:val="single" w:sz="8" w:space="0" w:color="auto"/>
            </w:tcBorders>
            <w:shd w:val="clear" w:color="000000" w:fill="FFFFFF"/>
            <w:noWrap/>
            <w:vAlign w:val="center"/>
            <w:hideMark/>
          </w:tcPr>
          <w:p w14:paraId="5A689801" w14:textId="77777777" w:rsidR="00C568A2" w:rsidRPr="00DD1CAF" w:rsidRDefault="00C568A2" w:rsidP="009908F1">
            <w:pPr>
              <w:suppressAutoHyphens/>
              <w:jc w:val="right"/>
              <w:rPr>
                <w:rFonts w:eastAsia="Times New Roman"/>
                <w:b/>
                <w:bCs/>
                <w:i/>
                <w:iCs/>
                <w:szCs w:val="20"/>
                <w:lang w:eastAsia="fr-FR"/>
              </w:rPr>
            </w:pPr>
            <w:r w:rsidRPr="00DD1CAF">
              <w:rPr>
                <w:rFonts w:eastAsia="Times New Roman"/>
                <w:b/>
                <w:bCs/>
                <w:i/>
                <w:iCs/>
                <w:szCs w:val="20"/>
                <w:lang w:eastAsia="fr-FR"/>
              </w:rPr>
              <w:t>4</w:t>
            </w:r>
            <w:r>
              <w:rPr>
                <w:rFonts w:eastAsia="Times New Roman"/>
                <w:b/>
                <w:bCs/>
                <w:i/>
                <w:iCs/>
                <w:szCs w:val="20"/>
                <w:lang w:eastAsia="fr-FR"/>
              </w:rPr>
              <w:t>91</w:t>
            </w:r>
          </w:p>
        </w:tc>
        <w:tc>
          <w:tcPr>
            <w:tcW w:w="3906" w:type="dxa"/>
            <w:tcBorders>
              <w:top w:val="nil"/>
              <w:left w:val="nil"/>
              <w:bottom w:val="single" w:sz="8" w:space="0" w:color="auto"/>
              <w:right w:val="single" w:sz="8" w:space="0" w:color="auto"/>
            </w:tcBorders>
            <w:shd w:val="clear" w:color="000000" w:fill="FFFFFF"/>
            <w:noWrap/>
            <w:vAlign w:val="center"/>
            <w:hideMark/>
          </w:tcPr>
          <w:p w14:paraId="799C46E3"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€2015/t</w:t>
            </w:r>
          </w:p>
        </w:tc>
      </w:tr>
      <w:tr w:rsidR="00C568A2" w:rsidRPr="00DD1CAF" w14:paraId="76C4711A" w14:textId="77777777" w:rsidTr="009908F1">
        <w:trPr>
          <w:trHeight w:val="315"/>
        </w:trPr>
        <w:tc>
          <w:tcPr>
            <w:tcW w:w="2548" w:type="dxa"/>
            <w:vMerge/>
            <w:tcBorders>
              <w:top w:val="nil"/>
              <w:left w:val="single" w:sz="8" w:space="0" w:color="auto"/>
              <w:bottom w:val="single" w:sz="8" w:space="0" w:color="000000"/>
              <w:right w:val="single" w:sz="8" w:space="0" w:color="auto"/>
            </w:tcBorders>
            <w:vAlign w:val="center"/>
            <w:hideMark/>
          </w:tcPr>
          <w:p w14:paraId="07B0246D" w14:textId="77777777" w:rsidR="00C568A2" w:rsidRPr="00DD1CAF" w:rsidRDefault="00C568A2" w:rsidP="009908F1">
            <w:pPr>
              <w:suppressAutoHyphens/>
              <w:rPr>
                <w:rFonts w:eastAsia="Times New Roman"/>
                <w:b/>
                <w:bCs/>
                <w:color w:val="FFFFFF"/>
                <w:szCs w:val="20"/>
                <w:lang w:eastAsia="fr-FR"/>
              </w:rPr>
            </w:pPr>
          </w:p>
        </w:tc>
        <w:tc>
          <w:tcPr>
            <w:tcW w:w="2484" w:type="dxa"/>
            <w:tcBorders>
              <w:top w:val="nil"/>
              <w:left w:val="nil"/>
              <w:bottom w:val="single" w:sz="8" w:space="0" w:color="auto"/>
              <w:right w:val="single" w:sz="8" w:space="0" w:color="auto"/>
            </w:tcBorders>
            <w:shd w:val="clear" w:color="000000" w:fill="FFFFFF"/>
            <w:noWrap/>
            <w:vAlign w:val="center"/>
            <w:hideMark/>
          </w:tcPr>
          <w:p w14:paraId="0B721C2E" w14:textId="77777777" w:rsidR="00C568A2" w:rsidRPr="00DD1CAF" w:rsidRDefault="00C568A2" w:rsidP="009908F1">
            <w:pPr>
              <w:suppressAutoHyphens/>
              <w:rPr>
                <w:rFonts w:eastAsia="Times New Roman"/>
                <w:szCs w:val="20"/>
                <w:lang w:eastAsia="fr-FR"/>
              </w:rPr>
            </w:pPr>
            <w:r w:rsidRPr="00DD1CAF">
              <w:rPr>
                <w:rFonts w:eastAsia="Times New Roman"/>
                <w:szCs w:val="20"/>
                <w:lang w:eastAsia="fr-FR"/>
              </w:rPr>
              <w:t>Au-delà de 2040</w:t>
            </w:r>
          </w:p>
        </w:tc>
        <w:tc>
          <w:tcPr>
            <w:tcW w:w="5748" w:type="dxa"/>
            <w:gridSpan w:val="2"/>
            <w:tcBorders>
              <w:top w:val="single" w:sz="8" w:space="0" w:color="auto"/>
              <w:left w:val="nil"/>
              <w:bottom w:val="single" w:sz="8" w:space="0" w:color="auto"/>
              <w:right w:val="single" w:sz="8" w:space="0" w:color="000000"/>
            </w:tcBorders>
            <w:shd w:val="clear" w:color="000000" w:fill="FFFFFF"/>
            <w:noWrap/>
            <w:vAlign w:val="center"/>
            <w:hideMark/>
          </w:tcPr>
          <w:p w14:paraId="33AFB521" w14:textId="77777777" w:rsidR="00C568A2" w:rsidRPr="00DD1CAF" w:rsidRDefault="00C568A2" w:rsidP="009908F1">
            <w:pPr>
              <w:suppressAutoHyphens/>
              <w:rPr>
                <w:rFonts w:eastAsia="Times New Roman"/>
                <w:b/>
                <w:bCs/>
                <w:i/>
                <w:iCs/>
                <w:szCs w:val="20"/>
                <w:lang w:eastAsia="fr-FR"/>
              </w:rPr>
            </w:pPr>
            <w:r w:rsidRPr="00DD1CAF">
              <w:rPr>
                <w:rFonts w:eastAsia="Times New Roman"/>
                <w:b/>
                <w:bCs/>
                <w:i/>
                <w:iCs/>
                <w:szCs w:val="20"/>
                <w:lang w:eastAsia="fr-FR"/>
              </w:rPr>
              <w:t>Augmentation de 4,5% par an</w:t>
            </w:r>
          </w:p>
        </w:tc>
      </w:tr>
    </w:tbl>
    <w:p w14:paraId="6933E289" w14:textId="77777777" w:rsidR="00C568A2" w:rsidRPr="00DD1CAF" w:rsidRDefault="00C568A2" w:rsidP="00C568A2">
      <w:pPr>
        <w:suppressAutoHyphens/>
        <w:jc w:val="both"/>
        <w:rPr>
          <w:szCs w:val="20"/>
        </w:rPr>
      </w:pPr>
    </w:p>
    <w:p w14:paraId="655AFE82" w14:textId="62082542" w:rsidR="00A15478" w:rsidRDefault="00A15478">
      <w:pPr>
        <w:rPr>
          <w:rFonts w:cs="Arial"/>
          <w:szCs w:val="20"/>
        </w:rPr>
      </w:pPr>
    </w:p>
    <w:p w14:paraId="35734632" w14:textId="77777777" w:rsidR="00A15478" w:rsidRDefault="00954111" w:rsidP="00A15478">
      <w:pPr>
        <w:pStyle w:val="Standard"/>
      </w:pPr>
      <w:r>
        <w:rPr>
          <w:szCs w:val="20"/>
        </w:rPr>
        <w:br w:type="page"/>
      </w:r>
    </w:p>
    <w:tbl>
      <w:tblPr>
        <w:tblStyle w:val="Grilledutableau"/>
        <w:tblW w:w="0" w:type="auto"/>
        <w:tblLook w:val="04A0" w:firstRow="1" w:lastRow="0" w:firstColumn="1" w:lastColumn="0" w:noHBand="0" w:noVBand="1"/>
      </w:tblPr>
      <w:tblGrid>
        <w:gridCol w:w="9628"/>
      </w:tblGrid>
      <w:tr w:rsidR="00A15478" w:rsidRPr="00304C03" w14:paraId="7998AA34" w14:textId="77777777" w:rsidTr="00AC5EC0">
        <w:trPr>
          <w:trHeight w:val="3245"/>
        </w:trPr>
        <w:tc>
          <w:tcPr>
            <w:tcW w:w="9628" w:type="dxa"/>
          </w:tcPr>
          <w:p w14:paraId="415D6AFE" w14:textId="77777777" w:rsidR="00EF6BCE" w:rsidRPr="00EF6BCE" w:rsidRDefault="00EF6BCE" w:rsidP="00EF6BCE">
            <w:pPr>
              <w:pStyle w:val="Standard"/>
              <w:jc w:val="center"/>
              <w:rPr>
                <w:rFonts w:ascii="Verdana" w:hAnsi="Verdana"/>
                <w:b/>
                <w:bCs/>
                <w:color w:val="00B050"/>
                <w:sz w:val="20"/>
                <w:szCs w:val="20"/>
              </w:rPr>
            </w:pPr>
            <w:r w:rsidRPr="00EF6BCE">
              <w:rPr>
                <w:rFonts w:ascii="Verdana" w:hAnsi="Verdana"/>
                <w:b/>
                <w:bCs/>
                <w:color w:val="00B050"/>
                <w:sz w:val="20"/>
                <w:szCs w:val="20"/>
              </w:rPr>
              <w:lastRenderedPageBreak/>
              <w:t>Coûts d’utilisation dans MODUS-3</w:t>
            </w:r>
          </w:p>
          <w:p w14:paraId="37DE7661" w14:textId="77777777" w:rsidR="00EF6BCE" w:rsidRPr="00EF6BCE" w:rsidRDefault="00EF6BCE" w:rsidP="00EF6BCE">
            <w:pPr>
              <w:pStyle w:val="Standard"/>
              <w:jc w:val="both"/>
              <w:rPr>
                <w:rFonts w:ascii="Verdana" w:hAnsi="Verdana"/>
                <w:color w:val="00B050"/>
                <w:sz w:val="20"/>
                <w:szCs w:val="20"/>
              </w:rPr>
            </w:pPr>
          </w:p>
          <w:p w14:paraId="6C70347D"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b/>
                <w:bCs/>
                <w:color w:val="00B050"/>
                <w:sz w:val="20"/>
                <w:szCs w:val="20"/>
              </w:rPr>
              <w:t xml:space="preserve">Pour les Véhicules Particuliers </w:t>
            </w:r>
          </w:p>
          <w:p w14:paraId="279A83AB"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color w:val="00B050"/>
                <w:sz w:val="20"/>
                <w:szCs w:val="20"/>
              </w:rPr>
              <w:t xml:space="preserve">Le coût d’utilisation VP entre chaque zone représente le coût global perçu d’une voiture, ramené au kilomètre parcouru. Il prend en compte les frais moyens d’essence, d’entretien et de péages, pour une voiture de taille et d’utilisation moyenne de l’année 2010. La valeur de référence de MODUS est 0,242 €2010 par kilomètre, d’après les données publiées par l’Automobile Club en 2013. La distance parcourue est considérée par simplification comme la distance à vol d’oiseau (portée) entre les centroïdes de zone, avec un coefficient de détours de 1,3. </w:t>
            </w:r>
          </w:p>
          <w:p w14:paraId="6DB9EC18" w14:textId="77777777" w:rsidR="00EF6BCE" w:rsidRPr="00EF6BCE" w:rsidRDefault="00EF6BCE" w:rsidP="00EF6BCE">
            <w:pPr>
              <w:pStyle w:val="Default"/>
              <w:jc w:val="both"/>
              <w:rPr>
                <w:rFonts w:ascii="Verdana" w:hAnsi="Verdana" w:cs="Cambria Math"/>
                <w:color w:val="00B050"/>
                <w:sz w:val="20"/>
                <w:szCs w:val="20"/>
              </w:rPr>
            </w:pPr>
            <w:r w:rsidRPr="00EF6BCE">
              <w:rPr>
                <w:rFonts w:ascii="Verdana" w:hAnsi="Verdana"/>
                <w:color w:val="00B050"/>
                <w:sz w:val="20"/>
                <w:szCs w:val="20"/>
              </w:rPr>
              <w:t xml:space="preserve">Au final : </w:t>
            </w:r>
            <w:r w:rsidRPr="00EF6BCE">
              <w:rPr>
                <w:rFonts w:ascii="Verdana" w:hAnsi="Verdana" w:cs="Cambria Math"/>
                <w:color w:val="00B050"/>
                <w:sz w:val="20"/>
                <w:szCs w:val="20"/>
              </w:rPr>
              <w:t>Cvp=Portée</w:t>
            </w:r>
            <w:r w:rsidRPr="00EF6BCE">
              <w:rPr>
                <w:rFonts w:ascii="Cambria Math" w:hAnsi="Cambria Math" w:cs="Cambria Math"/>
                <w:color w:val="00B050"/>
                <w:sz w:val="20"/>
                <w:szCs w:val="20"/>
              </w:rPr>
              <w:t>∗</w:t>
            </w:r>
            <w:r w:rsidRPr="00EF6BCE">
              <w:rPr>
                <w:rFonts w:ascii="Verdana" w:hAnsi="Verdana" w:cs="Cambria Math"/>
                <w:color w:val="00B050"/>
                <w:sz w:val="20"/>
                <w:szCs w:val="20"/>
              </w:rPr>
              <w:t>1,3</w:t>
            </w:r>
            <w:r w:rsidRPr="00EF6BCE">
              <w:rPr>
                <w:rFonts w:ascii="Cambria Math" w:hAnsi="Cambria Math" w:cs="Cambria Math"/>
                <w:color w:val="00B050"/>
                <w:sz w:val="20"/>
                <w:szCs w:val="20"/>
              </w:rPr>
              <w:t>∗</w:t>
            </w:r>
            <w:r w:rsidRPr="00EF6BCE">
              <w:rPr>
                <w:rFonts w:ascii="Verdana" w:hAnsi="Verdana" w:cs="Cambria Math"/>
                <w:color w:val="00B050"/>
                <w:sz w:val="20"/>
                <w:szCs w:val="20"/>
              </w:rPr>
              <w:t xml:space="preserve">0,242 </w:t>
            </w:r>
          </w:p>
          <w:p w14:paraId="10A33EAC" w14:textId="77777777" w:rsidR="00EF6BCE" w:rsidRPr="00EF6BCE" w:rsidRDefault="00EF6BCE" w:rsidP="00EF6BCE">
            <w:pPr>
              <w:pStyle w:val="Default"/>
              <w:jc w:val="both"/>
              <w:rPr>
                <w:rFonts w:ascii="Verdana" w:hAnsi="Verdana" w:cs="Cambria Math"/>
                <w:color w:val="00B050"/>
                <w:sz w:val="20"/>
                <w:szCs w:val="20"/>
              </w:rPr>
            </w:pPr>
            <w:r w:rsidRPr="00EF6BCE">
              <w:rPr>
                <w:rFonts w:ascii="Verdana" w:hAnsi="Verdana" w:cs="Cambria Math"/>
                <w:color w:val="00B050"/>
                <w:sz w:val="20"/>
                <w:szCs w:val="20"/>
              </w:rPr>
              <w:t>En 2020, la version 3.1.0 de Modus n’intégrait aucune hypothèse de projection de ce coût, dans la continuité des simulations réalisées par Modus 2.2.2. A partir de la version 3.1.2 de Modus (février 2021), ce coût est projeté à l’horizon d’études selon la recommandation n°6 du rapport de contre-expertise de la ligne 15 Ouest et 15 Est du SGPI conformément au cadre ministériel de l’évaluation des grands projets d’infrastructure (croissance en € constant de 2%/an du coût de l’énergie et de 1%/an du coût de l’entretien jusqu’en 2030). Le coût des péages routiers ne fait l’objet d’aucune projection.</w:t>
            </w:r>
          </w:p>
          <w:p w14:paraId="61A7F9F7" w14:textId="77777777" w:rsidR="00EF6BCE" w:rsidRPr="00EF6BCE" w:rsidRDefault="00EF6BCE" w:rsidP="00EF6BCE">
            <w:pPr>
              <w:pStyle w:val="Default"/>
              <w:jc w:val="both"/>
              <w:rPr>
                <w:rFonts w:ascii="Verdana" w:hAnsi="Verdana" w:cs="Cambria Math"/>
                <w:color w:val="00B050"/>
                <w:sz w:val="20"/>
                <w:szCs w:val="20"/>
              </w:rPr>
            </w:pPr>
          </w:p>
          <w:p w14:paraId="042D5C64"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b/>
                <w:bCs/>
                <w:color w:val="00B050"/>
                <w:sz w:val="20"/>
                <w:szCs w:val="20"/>
              </w:rPr>
              <w:t xml:space="preserve">Pour les Transports en commun </w:t>
            </w:r>
          </w:p>
          <w:p w14:paraId="5B3E0BC5"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color w:val="00B050"/>
                <w:sz w:val="20"/>
                <w:szCs w:val="20"/>
              </w:rPr>
              <w:t xml:space="preserve">Les coûts d’utilisation des TC distinguent 2 coûts : </w:t>
            </w:r>
          </w:p>
          <w:p w14:paraId="76565B2E"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cs="Calibri"/>
                <w:color w:val="00B050"/>
                <w:sz w:val="20"/>
                <w:szCs w:val="20"/>
              </w:rPr>
              <w:t xml:space="preserve">• </w:t>
            </w:r>
            <w:r w:rsidRPr="00EF6BCE">
              <w:rPr>
                <w:rFonts w:ascii="Verdana" w:hAnsi="Verdana"/>
                <w:color w:val="00B050"/>
                <w:sz w:val="20"/>
                <w:szCs w:val="20"/>
              </w:rPr>
              <w:t xml:space="preserve">le coût moyen d’un déplacement pour les usagers abonnés aux TC ; </w:t>
            </w:r>
          </w:p>
          <w:p w14:paraId="69F4F303"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cs="Calibri"/>
                <w:color w:val="00B050"/>
                <w:sz w:val="20"/>
                <w:szCs w:val="20"/>
              </w:rPr>
              <w:t xml:space="preserve">• </w:t>
            </w:r>
            <w:r w:rsidRPr="00EF6BCE">
              <w:rPr>
                <w:rFonts w:ascii="Verdana" w:hAnsi="Verdana"/>
                <w:color w:val="00B050"/>
                <w:sz w:val="20"/>
                <w:szCs w:val="20"/>
              </w:rPr>
              <w:t xml:space="preserve">le coût d’utilisation des TC par les usagers non abonnés qui recourent à la billettique. </w:t>
            </w:r>
          </w:p>
          <w:p w14:paraId="751BAB4E"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color w:val="00B050"/>
                <w:sz w:val="20"/>
                <w:szCs w:val="20"/>
              </w:rPr>
              <w:t xml:space="preserve">Dans un cas comme dans l’autre, les zones tarifaires d’origine, de destination et traversées (zone 1 à 5) sont déterminées à partir du chemin TC le plus efficace entre chaque paire de zones MODUS. L’enjeu est de déterminer, le plus correctement possible, le passage par Paris pour un déplacement au sein de la petite ou grande couronne (qui entraine en pratique le recours à abonnement sur une plus large zone d’effet, ou l’achat d’un billet OD sur une plus grande distance). </w:t>
            </w:r>
          </w:p>
          <w:p w14:paraId="4187BAC9"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color w:val="00B050"/>
                <w:sz w:val="20"/>
                <w:szCs w:val="20"/>
              </w:rPr>
              <w:t xml:space="preserve">Pour les abonnés, le coût moyen correspond au rapport entre le coût annuel de l’abonnement nécessaire au déplacement et le nombre moyen de déplacement réalisés par ces usagers (source OMNIL-RATP) dont est soustrait le taux moyen de prise en charge par l’employeur ou la collectivité selon le segment de demande étudié (source EGT). </w:t>
            </w:r>
          </w:p>
          <w:p w14:paraId="0F1576C8"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color w:val="00B050"/>
                <w:sz w:val="20"/>
                <w:szCs w:val="20"/>
              </w:rPr>
              <w:t xml:space="preserve">Pour les non abonnés, le coût des billets OD est estimé à partir des différentes catégories de TC empruntés sur le chemin le plus efficace : </w:t>
            </w:r>
          </w:p>
          <w:p w14:paraId="457A8E41"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color w:val="00B050"/>
                <w:sz w:val="20"/>
                <w:szCs w:val="20"/>
              </w:rPr>
              <w:t xml:space="preserve">• bus et tramway : un ticket t+ avec correspondances possibles que pour ces modes ; </w:t>
            </w:r>
          </w:p>
          <w:p w14:paraId="09B024EA"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color w:val="00B050"/>
                <w:sz w:val="20"/>
                <w:szCs w:val="20"/>
              </w:rPr>
              <w:t xml:space="preserve">• métro : un ticket t+ avec correspondances possibles que pour ce mode ; </w:t>
            </w:r>
          </w:p>
          <w:p w14:paraId="4584DB8E" w14:textId="77777777" w:rsidR="00EF6BCE" w:rsidRPr="00EF6BCE" w:rsidRDefault="00EF6BCE" w:rsidP="00EF6BCE">
            <w:pPr>
              <w:pStyle w:val="Default"/>
              <w:jc w:val="both"/>
              <w:rPr>
                <w:rFonts w:ascii="Verdana" w:hAnsi="Verdana"/>
                <w:color w:val="00B050"/>
                <w:sz w:val="20"/>
                <w:szCs w:val="20"/>
              </w:rPr>
            </w:pPr>
            <w:r w:rsidRPr="00EF6BCE">
              <w:rPr>
                <w:rFonts w:ascii="Verdana" w:hAnsi="Verdana"/>
                <w:color w:val="00B050"/>
                <w:sz w:val="20"/>
                <w:szCs w:val="20"/>
              </w:rPr>
              <w:t xml:space="preserve">• RER et transilien : la distance parcourue multipliée par un prix kilométrique estimé à partir de relevés sur le site web Vianavigo (le site Internet de référence pour le choix d’itinéraire d’IDFM). </w:t>
            </w:r>
          </w:p>
          <w:p w14:paraId="14E7B96B" w14:textId="77777777" w:rsidR="00EF6BCE" w:rsidRPr="00EF6BCE" w:rsidRDefault="00EF6BCE" w:rsidP="00EF6BCE">
            <w:pPr>
              <w:pStyle w:val="Standard"/>
              <w:jc w:val="both"/>
              <w:rPr>
                <w:rFonts w:ascii="Verdana" w:hAnsi="Verdana"/>
                <w:color w:val="00B050"/>
                <w:sz w:val="20"/>
                <w:szCs w:val="20"/>
              </w:rPr>
            </w:pPr>
            <w:r w:rsidRPr="00EF6BCE">
              <w:rPr>
                <w:rFonts w:ascii="Verdana" w:hAnsi="Verdana"/>
                <w:color w:val="00B050"/>
                <w:sz w:val="20"/>
                <w:szCs w:val="20"/>
              </w:rPr>
              <w:t>Comme MODUS ne distingue pas explicitement les abonnés des non abonnés, un coût composite entre ces 2 types de tarif a été recalculé en pondérant la part des abonnés dans chaque segment de demande. Au final, la sensibilité à ce paramètre était souvent trop faible pour être retenue comme pertinente sur le plan statistique, si bien que seul le coût kilométrique associé à la billettique est maintenue pour certains segments du modèle de demande.</w:t>
            </w:r>
          </w:p>
          <w:p w14:paraId="4E2574A1" w14:textId="77777777" w:rsidR="00A15478" w:rsidRDefault="00EF6BCE" w:rsidP="00EF6BCE">
            <w:pPr>
              <w:pStyle w:val="Standard"/>
              <w:jc w:val="both"/>
              <w:rPr>
                <w:rFonts w:ascii="Verdana" w:hAnsi="Verdana"/>
                <w:color w:val="00B050"/>
                <w:sz w:val="20"/>
                <w:szCs w:val="20"/>
              </w:rPr>
            </w:pPr>
            <w:r w:rsidRPr="00EF6BCE">
              <w:rPr>
                <w:rFonts w:ascii="Verdana" w:hAnsi="Verdana"/>
                <w:color w:val="00B050"/>
                <w:sz w:val="20"/>
                <w:szCs w:val="20"/>
              </w:rPr>
              <w:t>Dans le cadre des scénarios Modus 2030 intégrant le GPE, le chemin de référence pour le calcul des coûts est mis à jour entre l’horizon de calage du modèle et l’horizon de scénario pour tenir compte de l’évolution de l’offre. Il est considéré que le coût d’un billet OD constitue l’offre tarifaire adéquat pour la modélisation. En effet, la réduction directe des distances parcourues permise par le GPE pour les OD de périphérie à périphérie est suffisamment substantielle pour que l’effet de la distance que retranscrit le coût TC dans Modus ne soit pas encore amplifiée par un abaissement tarifaire décorrélé de cette distance (autrement dit, le GPE - hors L14 prolongée - est considéré comme un RER hors de Paris pour la question de la tarification, et n’est donc pas accessible avec un simple ticket T+).</w:t>
            </w:r>
          </w:p>
          <w:p w14:paraId="416F84F1" w14:textId="77777777" w:rsidR="00AC5EC0" w:rsidRDefault="00AC5EC0" w:rsidP="00EF6BCE">
            <w:pPr>
              <w:pStyle w:val="Standard"/>
              <w:jc w:val="both"/>
              <w:rPr>
                <w:rFonts w:ascii="Verdana" w:hAnsi="Verdana"/>
                <w:iCs/>
                <w:color w:val="00B050"/>
                <w:sz w:val="20"/>
                <w:szCs w:val="20"/>
              </w:rPr>
            </w:pPr>
          </w:p>
          <w:p w14:paraId="051A5263" w14:textId="1C59680F" w:rsidR="00AC5EC0" w:rsidRDefault="00AC5EC0" w:rsidP="00EF6BCE">
            <w:pPr>
              <w:pStyle w:val="Standard"/>
              <w:jc w:val="both"/>
              <w:rPr>
                <w:rFonts w:ascii="Verdana" w:hAnsi="Verdana"/>
                <w:color w:val="00B050"/>
                <w:sz w:val="20"/>
                <w:szCs w:val="20"/>
              </w:rPr>
            </w:pPr>
            <w:r w:rsidRPr="00CE7C12">
              <w:rPr>
                <w:rFonts w:ascii="Verdana" w:hAnsi="Verdana"/>
                <w:iCs/>
                <w:color w:val="00B050"/>
                <w:sz w:val="20"/>
                <w:szCs w:val="20"/>
              </w:rPr>
              <w:t>Les hypothèses de modélisation de la qualité de service sont prudentes, sachant que la capacité des rames n’est pas directement utilisée pour modéliser la qualité de service</w:t>
            </w:r>
            <w:r w:rsidR="001467C0">
              <w:rPr>
                <w:rFonts w:ascii="Verdana" w:hAnsi="Verdana"/>
                <w:iCs/>
                <w:color w:val="00B050"/>
                <w:sz w:val="20"/>
                <w:szCs w:val="20"/>
              </w:rPr>
              <w:t> :</w:t>
            </w:r>
          </w:p>
          <w:p w14:paraId="414FE9A8" w14:textId="77777777" w:rsidR="00AC5EC0" w:rsidRPr="00D77887" w:rsidRDefault="00AC5EC0" w:rsidP="00AC5EC0">
            <w:pPr>
              <w:pStyle w:val="Standard"/>
              <w:rPr>
                <w:rFonts w:ascii="Verdana" w:hAnsi="Verdana"/>
                <w:i/>
                <w:iCs/>
                <w:color w:val="00B050"/>
                <w:sz w:val="22"/>
                <w:szCs w:val="22"/>
              </w:rPr>
            </w:pPr>
          </w:p>
          <w:tbl>
            <w:tblPr>
              <w:tblW w:w="0" w:type="auto"/>
              <w:tblCellSpacing w:w="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17"/>
              <w:gridCol w:w="2031"/>
              <w:gridCol w:w="2032"/>
              <w:gridCol w:w="2032"/>
            </w:tblGrid>
            <w:tr w:rsidR="00AC5EC0" w:rsidRPr="00CE7C12" w14:paraId="1631379D" w14:textId="77777777" w:rsidTr="00B71BAF">
              <w:trPr>
                <w:trHeight w:val="170"/>
                <w:tblCellSpacing w:w="0" w:type="dxa"/>
              </w:trPr>
              <w:tc>
                <w:tcPr>
                  <w:tcW w:w="1417" w:type="dxa"/>
                  <w:vAlign w:val="center"/>
                  <w:hideMark/>
                </w:tcPr>
                <w:p w14:paraId="31C39FA8" w14:textId="77777777" w:rsidR="00AC5EC0" w:rsidRPr="00CE7C12" w:rsidRDefault="00AC5EC0" w:rsidP="00AC5EC0">
                  <w:pPr>
                    <w:rPr>
                      <w:rFonts w:eastAsia="Times New Roman"/>
                      <w:color w:val="00B050"/>
                      <w:szCs w:val="20"/>
                      <w:lang w:eastAsia="fr-FR"/>
                    </w:rPr>
                  </w:pPr>
                  <w:r w:rsidRPr="00CE7C12">
                    <w:rPr>
                      <w:rFonts w:eastAsia="Times New Roman" w:cs="Calibri"/>
                      <w:b/>
                      <w:bCs/>
                      <w:color w:val="00B050"/>
                      <w:szCs w:val="20"/>
                      <w:lang w:eastAsia="fr-FR"/>
                    </w:rPr>
                    <w:t>Lignes</w:t>
                  </w:r>
                </w:p>
              </w:tc>
              <w:tc>
                <w:tcPr>
                  <w:tcW w:w="2031" w:type="dxa"/>
                  <w:vAlign w:val="center"/>
                  <w:hideMark/>
                </w:tcPr>
                <w:p w14:paraId="38D0D0C4" w14:textId="77777777" w:rsidR="00AC5EC0" w:rsidRPr="00CE7C12" w:rsidRDefault="00AC5EC0" w:rsidP="00AC5EC0">
                  <w:pPr>
                    <w:rPr>
                      <w:rFonts w:eastAsia="Times New Roman"/>
                      <w:color w:val="00B050"/>
                      <w:szCs w:val="20"/>
                      <w:lang w:eastAsia="fr-FR"/>
                    </w:rPr>
                  </w:pPr>
                  <w:r w:rsidRPr="00CE7C12">
                    <w:rPr>
                      <w:rFonts w:eastAsia="Times New Roman" w:cs="Calibri"/>
                      <w:color w:val="00B050"/>
                      <w:szCs w:val="20"/>
                      <w:lang w:eastAsia="fr-FR"/>
                    </w:rPr>
                    <w:t>Vitesse commerciale (km/h)</w:t>
                  </w:r>
                </w:p>
              </w:tc>
              <w:tc>
                <w:tcPr>
                  <w:tcW w:w="2032" w:type="dxa"/>
                  <w:vAlign w:val="center"/>
                  <w:hideMark/>
                </w:tcPr>
                <w:p w14:paraId="3DE5B5C9" w14:textId="77777777" w:rsidR="00AC5EC0" w:rsidRPr="00CE7C12" w:rsidRDefault="00AC5EC0" w:rsidP="00AC5EC0">
                  <w:pPr>
                    <w:rPr>
                      <w:rFonts w:eastAsia="Times New Roman"/>
                      <w:color w:val="00B050"/>
                      <w:szCs w:val="20"/>
                      <w:lang w:eastAsia="fr-FR"/>
                    </w:rPr>
                  </w:pPr>
                  <w:r w:rsidRPr="00CE7C12">
                    <w:rPr>
                      <w:rFonts w:eastAsia="Times New Roman"/>
                      <w:color w:val="00B050"/>
                      <w:szCs w:val="20"/>
                      <w:lang w:eastAsia="fr-FR"/>
                    </w:rPr>
                    <w:t>Fréquence heures de pointe (trains/h)</w:t>
                  </w:r>
                </w:p>
              </w:tc>
              <w:tc>
                <w:tcPr>
                  <w:tcW w:w="2032" w:type="dxa"/>
                  <w:vAlign w:val="center"/>
                  <w:hideMark/>
                </w:tcPr>
                <w:p w14:paraId="307BBDE8" w14:textId="77777777" w:rsidR="00AC5EC0" w:rsidRPr="00CE7C12" w:rsidRDefault="00AC5EC0" w:rsidP="00AC5EC0">
                  <w:pPr>
                    <w:rPr>
                      <w:rFonts w:eastAsia="Times New Roman"/>
                      <w:color w:val="00B050"/>
                      <w:szCs w:val="20"/>
                      <w:lang w:eastAsia="fr-FR"/>
                    </w:rPr>
                  </w:pPr>
                  <w:r w:rsidRPr="00CE7C12">
                    <w:rPr>
                      <w:rFonts w:eastAsia="Times New Roman"/>
                      <w:color w:val="00B050"/>
                      <w:szCs w:val="20"/>
                      <w:lang w:eastAsia="fr-FR"/>
                    </w:rPr>
                    <w:t>Fréquence heures creuses (trains/h)</w:t>
                  </w:r>
                </w:p>
              </w:tc>
            </w:tr>
            <w:tr w:rsidR="00AC5EC0" w:rsidRPr="00CE7C12" w14:paraId="21244ADB" w14:textId="77777777" w:rsidTr="00B71BAF">
              <w:trPr>
                <w:trHeight w:val="170"/>
                <w:tblCellSpacing w:w="0" w:type="dxa"/>
              </w:trPr>
              <w:tc>
                <w:tcPr>
                  <w:tcW w:w="1417" w:type="dxa"/>
                  <w:vAlign w:val="center"/>
                  <w:hideMark/>
                </w:tcPr>
                <w:p w14:paraId="792F3CB3" w14:textId="77777777" w:rsidR="00AC5EC0" w:rsidRPr="00CE7C12" w:rsidRDefault="00AC5EC0" w:rsidP="00AC5EC0">
                  <w:pPr>
                    <w:rPr>
                      <w:rFonts w:eastAsia="Times New Roman"/>
                      <w:color w:val="00B050"/>
                      <w:szCs w:val="20"/>
                      <w:lang w:eastAsia="fr-FR"/>
                    </w:rPr>
                  </w:pPr>
                  <w:r w:rsidRPr="00CE7C12">
                    <w:rPr>
                      <w:rFonts w:eastAsia="Times New Roman" w:cs="Calibri"/>
                      <w:color w:val="00B050"/>
                      <w:szCs w:val="20"/>
                      <w:lang w:eastAsia="fr-FR"/>
                    </w:rPr>
                    <w:t>Ligne 11</w:t>
                  </w:r>
                </w:p>
              </w:tc>
              <w:tc>
                <w:tcPr>
                  <w:tcW w:w="2031" w:type="dxa"/>
                  <w:vAlign w:val="center"/>
                  <w:hideMark/>
                </w:tcPr>
                <w:p w14:paraId="2438A7D9" w14:textId="77777777" w:rsidR="00AC5EC0" w:rsidRPr="00CE7C12" w:rsidRDefault="00AC5EC0" w:rsidP="00AC5EC0">
                  <w:pPr>
                    <w:jc w:val="right"/>
                    <w:rPr>
                      <w:rFonts w:eastAsia="Times New Roman"/>
                      <w:color w:val="00B050"/>
                      <w:szCs w:val="20"/>
                      <w:lang w:eastAsia="fr-FR"/>
                    </w:rPr>
                  </w:pPr>
                  <w:r w:rsidRPr="00CE7C12">
                    <w:rPr>
                      <w:rFonts w:eastAsia="Times New Roman" w:cs="Calibri"/>
                      <w:color w:val="00B050"/>
                      <w:szCs w:val="20"/>
                      <w:lang w:eastAsia="fr-FR"/>
                    </w:rPr>
                    <w:t>37</w:t>
                  </w:r>
                </w:p>
              </w:tc>
              <w:tc>
                <w:tcPr>
                  <w:tcW w:w="2032" w:type="dxa"/>
                  <w:vAlign w:val="center"/>
                  <w:hideMark/>
                </w:tcPr>
                <w:p w14:paraId="2C8BFD62" w14:textId="77777777" w:rsidR="00AC5EC0" w:rsidRPr="00CE7C12" w:rsidRDefault="00AC5EC0" w:rsidP="00AC5EC0">
                  <w:pPr>
                    <w:jc w:val="right"/>
                    <w:rPr>
                      <w:rFonts w:eastAsia="Times New Roman"/>
                      <w:color w:val="00B050"/>
                      <w:szCs w:val="20"/>
                      <w:lang w:eastAsia="fr-FR"/>
                    </w:rPr>
                  </w:pPr>
                  <w:r w:rsidRPr="00CE7C12">
                    <w:rPr>
                      <w:rFonts w:eastAsia="Times New Roman" w:cs="Calibri"/>
                      <w:color w:val="00B050"/>
                      <w:szCs w:val="20"/>
                      <w:lang w:eastAsia="fr-FR"/>
                    </w:rPr>
                    <w:t>34</w:t>
                  </w:r>
                </w:p>
              </w:tc>
              <w:tc>
                <w:tcPr>
                  <w:tcW w:w="2032" w:type="dxa"/>
                  <w:vAlign w:val="center"/>
                  <w:hideMark/>
                </w:tcPr>
                <w:p w14:paraId="1184725E" w14:textId="77777777" w:rsidR="00AC5EC0" w:rsidRPr="00CE7C12" w:rsidRDefault="00AC5EC0" w:rsidP="00AC5EC0">
                  <w:pPr>
                    <w:jc w:val="right"/>
                    <w:rPr>
                      <w:rFonts w:eastAsia="Times New Roman"/>
                      <w:color w:val="00B050"/>
                      <w:szCs w:val="20"/>
                      <w:lang w:eastAsia="fr-FR"/>
                    </w:rPr>
                  </w:pPr>
                  <w:r w:rsidRPr="00CE7C12">
                    <w:rPr>
                      <w:rFonts w:eastAsia="Times New Roman"/>
                      <w:color w:val="00B050"/>
                      <w:szCs w:val="20"/>
                      <w:lang w:eastAsia="fr-FR"/>
                    </w:rPr>
                    <w:t>15</w:t>
                  </w:r>
                </w:p>
              </w:tc>
            </w:tr>
            <w:tr w:rsidR="00AC5EC0" w:rsidRPr="00CE7C12" w14:paraId="045E4521" w14:textId="77777777" w:rsidTr="00B71BAF">
              <w:trPr>
                <w:trHeight w:val="170"/>
                <w:tblCellSpacing w:w="0" w:type="dxa"/>
              </w:trPr>
              <w:tc>
                <w:tcPr>
                  <w:tcW w:w="1417" w:type="dxa"/>
                  <w:vAlign w:val="center"/>
                  <w:hideMark/>
                </w:tcPr>
                <w:p w14:paraId="08586AB6" w14:textId="77777777" w:rsidR="00AC5EC0" w:rsidRPr="00CE7C12" w:rsidRDefault="00AC5EC0" w:rsidP="00AC5EC0">
                  <w:pPr>
                    <w:rPr>
                      <w:rFonts w:eastAsia="Times New Roman"/>
                      <w:color w:val="00B050"/>
                      <w:szCs w:val="20"/>
                      <w:lang w:eastAsia="fr-FR"/>
                    </w:rPr>
                  </w:pPr>
                  <w:r w:rsidRPr="00CE7C12">
                    <w:rPr>
                      <w:rFonts w:eastAsia="Times New Roman" w:cs="Calibri"/>
                      <w:color w:val="00B050"/>
                      <w:szCs w:val="20"/>
                      <w:lang w:eastAsia="fr-FR"/>
                    </w:rPr>
                    <w:t>Ligne 14</w:t>
                  </w:r>
                </w:p>
              </w:tc>
              <w:tc>
                <w:tcPr>
                  <w:tcW w:w="2031" w:type="dxa"/>
                  <w:vAlign w:val="center"/>
                  <w:hideMark/>
                </w:tcPr>
                <w:p w14:paraId="43026F9B" w14:textId="77777777" w:rsidR="00AC5EC0" w:rsidRPr="00CE7C12" w:rsidRDefault="00AC5EC0" w:rsidP="00AC5EC0">
                  <w:pPr>
                    <w:jc w:val="right"/>
                    <w:rPr>
                      <w:rFonts w:eastAsia="Times New Roman"/>
                      <w:color w:val="00B050"/>
                      <w:szCs w:val="20"/>
                      <w:lang w:eastAsia="fr-FR"/>
                    </w:rPr>
                  </w:pPr>
                  <w:r w:rsidRPr="00CE7C12">
                    <w:rPr>
                      <w:rFonts w:eastAsia="Times New Roman" w:cs="Calibri"/>
                      <w:color w:val="00B050"/>
                      <w:szCs w:val="20"/>
                      <w:lang w:eastAsia="fr-FR"/>
                    </w:rPr>
                    <w:t>41</w:t>
                  </w:r>
                </w:p>
              </w:tc>
              <w:tc>
                <w:tcPr>
                  <w:tcW w:w="2032" w:type="dxa"/>
                  <w:vAlign w:val="center"/>
                  <w:hideMark/>
                </w:tcPr>
                <w:p w14:paraId="4F805C95" w14:textId="77777777" w:rsidR="00AC5EC0" w:rsidRPr="00CE7C12" w:rsidRDefault="00AC5EC0" w:rsidP="00AC5EC0">
                  <w:pPr>
                    <w:jc w:val="right"/>
                    <w:rPr>
                      <w:rFonts w:eastAsia="Times New Roman"/>
                      <w:color w:val="00B050"/>
                      <w:szCs w:val="20"/>
                      <w:lang w:eastAsia="fr-FR"/>
                    </w:rPr>
                  </w:pPr>
                  <w:r w:rsidRPr="00CE7C12">
                    <w:rPr>
                      <w:rFonts w:eastAsia="Times New Roman" w:cs="Calibri"/>
                      <w:color w:val="00B050"/>
                      <w:szCs w:val="20"/>
                      <w:lang w:eastAsia="fr-FR"/>
                    </w:rPr>
                    <w:t>38</w:t>
                  </w:r>
                </w:p>
              </w:tc>
              <w:tc>
                <w:tcPr>
                  <w:tcW w:w="2032" w:type="dxa"/>
                  <w:vAlign w:val="center"/>
                  <w:hideMark/>
                </w:tcPr>
                <w:p w14:paraId="0A6CA0B7" w14:textId="77777777" w:rsidR="00AC5EC0" w:rsidRPr="00CE7C12" w:rsidRDefault="00AC5EC0" w:rsidP="00AC5EC0">
                  <w:pPr>
                    <w:jc w:val="right"/>
                    <w:rPr>
                      <w:rFonts w:eastAsia="Times New Roman"/>
                      <w:color w:val="00B050"/>
                      <w:szCs w:val="20"/>
                      <w:lang w:eastAsia="fr-FR"/>
                    </w:rPr>
                  </w:pPr>
                  <w:r w:rsidRPr="00CE7C12">
                    <w:rPr>
                      <w:rFonts w:eastAsia="Times New Roman"/>
                      <w:color w:val="00B050"/>
                      <w:szCs w:val="20"/>
                      <w:lang w:eastAsia="fr-FR"/>
                    </w:rPr>
                    <w:t>20</w:t>
                  </w:r>
                </w:p>
              </w:tc>
            </w:tr>
            <w:tr w:rsidR="00AC5EC0" w:rsidRPr="00CE7C12" w14:paraId="50AB1F5D" w14:textId="77777777" w:rsidTr="00B71BAF">
              <w:trPr>
                <w:trHeight w:val="170"/>
                <w:tblCellSpacing w:w="0" w:type="dxa"/>
              </w:trPr>
              <w:tc>
                <w:tcPr>
                  <w:tcW w:w="1417" w:type="dxa"/>
                  <w:vAlign w:val="center"/>
                  <w:hideMark/>
                </w:tcPr>
                <w:p w14:paraId="2F8EC2C1" w14:textId="77777777" w:rsidR="00AC5EC0" w:rsidRPr="00CE7C12" w:rsidRDefault="00AC5EC0" w:rsidP="00AC5EC0">
                  <w:pPr>
                    <w:rPr>
                      <w:rFonts w:eastAsia="Times New Roman"/>
                      <w:color w:val="00B050"/>
                      <w:szCs w:val="20"/>
                      <w:lang w:eastAsia="fr-FR"/>
                    </w:rPr>
                  </w:pPr>
                  <w:r w:rsidRPr="00CE7C12">
                    <w:rPr>
                      <w:rFonts w:eastAsia="Times New Roman" w:cs="Calibri"/>
                      <w:color w:val="00B050"/>
                      <w:szCs w:val="20"/>
                      <w:lang w:eastAsia="fr-FR"/>
                    </w:rPr>
                    <w:t>Ligne 15</w:t>
                  </w:r>
                </w:p>
              </w:tc>
              <w:tc>
                <w:tcPr>
                  <w:tcW w:w="2031" w:type="dxa"/>
                  <w:vAlign w:val="center"/>
                  <w:hideMark/>
                </w:tcPr>
                <w:p w14:paraId="12D22FB2" w14:textId="77777777" w:rsidR="00AC5EC0" w:rsidRPr="00CE7C12" w:rsidRDefault="00AC5EC0" w:rsidP="00AC5EC0">
                  <w:pPr>
                    <w:jc w:val="right"/>
                    <w:rPr>
                      <w:rFonts w:eastAsia="Times New Roman"/>
                      <w:color w:val="00B050"/>
                      <w:szCs w:val="20"/>
                      <w:lang w:eastAsia="fr-FR"/>
                    </w:rPr>
                  </w:pPr>
                  <w:r w:rsidRPr="00CE7C12">
                    <w:rPr>
                      <w:rFonts w:eastAsia="Times New Roman" w:cs="Calibri"/>
                      <w:color w:val="00B050"/>
                      <w:szCs w:val="20"/>
                      <w:lang w:eastAsia="fr-FR"/>
                    </w:rPr>
                    <w:t>51</w:t>
                  </w:r>
                </w:p>
              </w:tc>
              <w:tc>
                <w:tcPr>
                  <w:tcW w:w="2032" w:type="dxa"/>
                  <w:vAlign w:val="center"/>
                  <w:hideMark/>
                </w:tcPr>
                <w:p w14:paraId="247C8161" w14:textId="77777777" w:rsidR="00AC5EC0" w:rsidRPr="00CE7C12" w:rsidRDefault="00AC5EC0" w:rsidP="00AC5EC0">
                  <w:pPr>
                    <w:jc w:val="right"/>
                    <w:rPr>
                      <w:rFonts w:eastAsia="Times New Roman"/>
                      <w:color w:val="00B050"/>
                      <w:szCs w:val="20"/>
                      <w:lang w:eastAsia="fr-FR"/>
                    </w:rPr>
                  </w:pPr>
                  <w:r w:rsidRPr="00CE7C12">
                    <w:rPr>
                      <w:rFonts w:eastAsia="Times New Roman"/>
                      <w:color w:val="00B050"/>
                      <w:szCs w:val="20"/>
                      <w:lang w:eastAsia="fr-FR"/>
                    </w:rPr>
                    <w:t>30</w:t>
                  </w:r>
                </w:p>
              </w:tc>
              <w:tc>
                <w:tcPr>
                  <w:tcW w:w="2032" w:type="dxa"/>
                  <w:vAlign w:val="center"/>
                  <w:hideMark/>
                </w:tcPr>
                <w:p w14:paraId="577C252D" w14:textId="77777777" w:rsidR="00AC5EC0" w:rsidRPr="00CE7C12" w:rsidRDefault="00AC5EC0" w:rsidP="00AC5EC0">
                  <w:pPr>
                    <w:jc w:val="right"/>
                    <w:rPr>
                      <w:rFonts w:eastAsia="Times New Roman"/>
                      <w:color w:val="00B050"/>
                      <w:szCs w:val="20"/>
                      <w:lang w:eastAsia="fr-FR"/>
                    </w:rPr>
                  </w:pPr>
                  <w:r w:rsidRPr="00CE7C12">
                    <w:rPr>
                      <w:rFonts w:eastAsia="Times New Roman"/>
                      <w:color w:val="00B050"/>
                      <w:szCs w:val="20"/>
                      <w:lang w:eastAsia="fr-FR"/>
                    </w:rPr>
                    <w:t>15</w:t>
                  </w:r>
                </w:p>
              </w:tc>
            </w:tr>
            <w:tr w:rsidR="00AC5EC0" w:rsidRPr="00CE7C12" w14:paraId="4B5012C0" w14:textId="77777777" w:rsidTr="00B71BAF">
              <w:trPr>
                <w:trHeight w:val="170"/>
                <w:tblCellSpacing w:w="0" w:type="dxa"/>
              </w:trPr>
              <w:tc>
                <w:tcPr>
                  <w:tcW w:w="1417" w:type="dxa"/>
                  <w:vAlign w:val="center"/>
                  <w:hideMark/>
                </w:tcPr>
                <w:p w14:paraId="4FDF21D4" w14:textId="77777777" w:rsidR="00AC5EC0" w:rsidRPr="00CE7C12" w:rsidRDefault="00AC5EC0" w:rsidP="00AC5EC0">
                  <w:pPr>
                    <w:rPr>
                      <w:rFonts w:eastAsia="Times New Roman"/>
                      <w:color w:val="00B050"/>
                      <w:szCs w:val="20"/>
                      <w:lang w:eastAsia="fr-FR"/>
                    </w:rPr>
                  </w:pPr>
                  <w:r w:rsidRPr="00CE7C12">
                    <w:rPr>
                      <w:rFonts w:eastAsia="Times New Roman" w:cs="Calibri"/>
                      <w:color w:val="00B050"/>
                      <w:szCs w:val="20"/>
                      <w:lang w:eastAsia="fr-FR"/>
                    </w:rPr>
                    <w:t>Ligne 16</w:t>
                  </w:r>
                </w:p>
              </w:tc>
              <w:tc>
                <w:tcPr>
                  <w:tcW w:w="2031" w:type="dxa"/>
                  <w:vAlign w:val="center"/>
                  <w:hideMark/>
                </w:tcPr>
                <w:p w14:paraId="3E21A333" w14:textId="77777777" w:rsidR="00AC5EC0" w:rsidRPr="00CE7C12" w:rsidRDefault="00AC5EC0" w:rsidP="00AC5EC0">
                  <w:pPr>
                    <w:jc w:val="right"/>
                    <w:rPr>
                      <w:rFonts w:eastAsia="Times New Roman"/>
                      <w:color w:val="00B050"/>
                      <w:szCs w:val="20"/>
                      <w:lang w:eastAsia="fr-FR"/>
                    </w:rPr>
                  </w:pPr>
                  <w:r w:rsidRPr="00CE7C12">
                    <w:rPr>
                      <w:rFonts w:eastAsia="Times New Roman" w:cs="Calibri"/>
                      <w:color w:val="00B050"/>
                      <w:szCs w:val="20"/>
                      <w:lang w:eastAsia="fr-FR"/>
                    </w:rPr>
                    <w:t>64</w:t>
                  </w:r>
                </w:p>
              </w:tc>
              <w:tc>
                <w:tcPr>
                  <w:tcW w:w="2032" w:type="dxa"/>
                  <w:vAlign w:val="center"/>
                  <w:hideMark/>
                </w:tcPr>
                <w:p w14:paraId="2B7EA58F" w14:textId="77777777" w:rsidR="00AC5EC0" w:rsidRPr="00CE7C12" w:rsidRDefault="00AC5EC0" w:rsidP="00AC5EC0">
                  <w:pPr>
                    <w:jc w:val="right"/>
                    <w:rPr>
                      <w:rFonts w:eastAsia="Times New Roman"/>
                      <w:color w:val="00B050"/>
                      <w:szCs w:val="20"/>
                      <w:lang w:eastAsia="fr-FR"/>
                    </w:rPr>
                  </w:pPr>
                  <w:r w:rsidRPr="00CE7C12">
                    <w:rPr>
                      <w:rFonts w:eastAsia="Times New Roman"/>
                      <w:color w:val="00B050"/>
                      <w:szCs w:val="20"/>
                      <w:lang w:eastAsia="fr-FR"/>
                    </w:rPr>
                    <w:t>18</w:t>
                  </w:r>
                </w:p>
              </w:tc>
              <w:tc>
                <w:tcPr>
                  <w:tcW w:w="2032" w:type="dxa"/>
                  <w:vAlign w:val="center"/>
                  <w:hideMark/>
                </w:tcPr>
                <w:p w14:paraId="34A2241C" w14:textId="77777777" w:rsidR="00AC5EC0" w:rsidRPr="00CE7C12" w:rsidRDefault="00AC5EC0" w:rsidP="00AC5EC0">
                  <w:pPr>
                    <w:jc w:val="right"/>
                    <w:rPr>
                      <w:rFonts w:eastAsia="Times New Roman"/>
                      <w:color w:val="00B050"/>
                      <w:szCs w:val="20"/>
                      <w:lang w:eastAsia="fr-FR"/>
                    </w:rPr>
                  </w:pPr>
                  <w:r w:rsidRPr="00CE7C12">
                    <w:rPr>
                      <w:rFonts w:eastAsia="Times New Roman"/>
                      <w:color w:val="00B050"/>
                      <w:szCs w:val="20"/>
                      <w:lang w:eastAsia="fr-FR"/>
                    </w:rPr>
                    <w:t>9</w:t>
                  </w:r>
                </w:p>
              </w:tc>
            </w:tr>
            <w:tr w:rsidR="00AC5EC0" w:rsidRPr="00CE7C12" w14:paraId="64618957" w14:textId="77777777" w:rsidTr="00B71BAF">
              <w:trPr>
                <w:trHeight w:val="170"/>
                <w:tblCellSpacing w:w="0" w:type="dxa"/>
              </w:trPr>
              <w:tc>
                <w:tcPr>
                  <w:tcW w:w="1417" w:type="dxa"/>
                  <w:vAlign w:val="center"/>
                  <w:hideMark/>
                </w:tcPr>
                <w:p w14:paraId="59EC1BA7" w14:textId="77777777" w:rsidR="00AC5EC0" w:rsidRPr="00CE7C12" w:rsidRDefault="00AC5EC0" w:rsidP="00AC5EC0">
                  <w:pPr>
                    <w:rPr>
                      <w:rFonts w:eastAsia="Times New Roman"/>
                      <w:color w:val="00B050"/>
                      <w:szCs w:val="20"/>
                      <w:lang w:eastAsia="fr-FR"/>
                    </w:rPr>
                  </w:pPr>
                  <w:r w:rsidRPr="00CE7C12">
                    <w:rPr>
                      <w:rFonts w:eastAsia="Times New Roman" w:cs="Calibri"/>
                      <w:color w:val="00B050"/>
                      <w:szCs w:val="20"/>
                      <w:lang w:eastAsia="fr-FR"/>
                    </w:rPr>
                    <w:t>Ligne 17</w:t>
                  </w:r>
                </w:p>
              </w:tc>
              <w:tc>
                <w:tcPr>
                  <w:tcW w:w="2031" w:type="dxa"/>
                  <w:vAlign w:val="center"/>
                  <w:hideMark/>
                </w:tcPr>
                <w:p w14:paraId="51EDAF95" w14:textId="77777777" w:rsidR="00AC5EC0" w:rsidRPr="00CE7C12" w:rsidRDefault="00AC5EC0" w:rsidP="00AC5EC0">
                  <w:pPr>
                    <w:jc w:val="right"/>
                    <w:rPr>
                      <w:rFonts w:eastAsia="Times New Roman"/>
                      <w:color w:val="00B050"/>
                      <w:szCs w:val="20"/>
                      <w:lang w:eastAsia="fr-FR"/>
                    </w:rPr>
                  </w:pPr>
                  <w:r w:rsidRPr="00CE7C12">
                    <w:rPr>
                      <w:rFonts w:eastAsia="Times New Roman" w:cs="Calibri"/>
                      <w:color w:val="00B050"/>
                      <w:szCs w:val="20"/>
                      <w:lang w:eastAsia="fr-FR"/>
                    </w:rPr>
                    <w:t>62</w:t>
                  </w:r>
                </w:p>
              </w:tc>
              <w:tc>
                <w:tcPr>
                  <w:tcW w:w="2032" w:type="dxa"/>
                  <w:vAlign w:val="center"/>
                  <w:hideMark/>
                </w:tcPr>
                <w:p w14:paraId="2675BFC5" w14:textId="77777777" w:rsidR="00AC5EC0" w:rsidRPr="00CE7C12" w:rsidRDefault="00AC5EC0" w:rsidP="00AC5EC0">
                  <w:pPr>
                    <w:jc w:val="right"/>
                    <w:rPr>
                      <w:rFonts w:eastAsia="Times New Roman"/>
                      <w:color w:val="00B050"/>
                      <w:szCs w:val="20"/>
                      <w:lang w:eastAsia="fr-FR"/>
                    </w:rPr>
                  </w:pPr>
                  <w:r w:rsidRPr="00CE7C12">
                    <w:rPr>
                      <w:rFonts w:eastAsia="Times New Roman"/>
                      <w:color w:val="00B050"/>
                      <w:szCs w:val="20"/>
                      <w:lang w:eastAsia="fr-FR"/>
                    </w:rPr>
                    <w:t>18</w:t>
                  </w:r>
                </w:p>
              </w:tc>
              <w:tc>
                <w:tcPr>
                  <w:tcW w:w="2032" w:type="dxa"/>
                  <w:vAlign w:val="center"/>
                  <w:hideMark/>
                </w:tcPr>
                <w:p w14:paraId="0E4ABDD7" w14:textId="77777777" w:rsidR="00AC5EC0" w:rsidRPr="00CE7C12" w:rsidRDefault="00AC5EC0" w:rsidP="00AC5EC0">
                  <w:pPr>
                    <w:jc w:val="right"/>
                    <w:rPr>
                      <w:rFonts w:eastAsia="Times New Roman"/>
                      <w:color w:val="00B050"/>
                      <w:szCs w:val="20"/>
                      <w:lang w:eastAsia="fr-FR"/>
                    </w:rPr>
                  </w:pPr>
                  <w:r w:rsidRPr="00CE7C12">
                    <w:rPr>
                      <w:rFonts w:eastAsia="Times New Roman"/>
                      <w:color w:val="00B050"/>
                      <w:szCs w:val="20"/>
                      <w:lang w:eastAsia="fr-FR"/>
                    </w:rPr>
                    <w:t>9</w:t>
                  </w:r>
                </w:p>
              </w:tc>
            </w:tr>
            <w:tr w:rsidR="00AC5EC0" w:rsidRPr="00CE7C12" w14:paraId="5B2ABAFB" w14:textId="77777777" w:rsidTr="00B71BAF">
              <w:trPr>
                <w:trHeight w:val="170"/>
                <w:tblCellSpacing w:w="0" w:type="dxa"/>
              </w:trPr>
              <w:tc>
                <w:tcPr>
                  <w:tcW w:w="1417" w:type="dxa"/>
                  <w:vAlign w:val="center"/>
                  <w:hideMark/>
                </w:tcPr>
                <w:p w14:paraId="0CDEBD34" w14:textId="77777777" w:rsidR="00AC5EC0" w:rsidRPr="00CE7C12" w:rsidRDefault="00AC5EC0" w:rsidP="00AC5EC0">
                  <w:pPr>
                    <w:rPr>
                      <w:rFonts w:eastAsia="Times New Roman"/>
                      <w:color w:val="00B050"/>
                      <w:szCs w:val="20"/>
                      <w:lang w:eastAsia="fr-FR"/>
                    </w:rPr>
                  </w:pPr>
                  <w:r w:rsidRPr="00CE7C12">
                    <w:rPr>
                      <w:rFonts w:eastAsia="Times New Roman" w:cs="Calibri"/>
                      <w:color w:val="00B050"/>
                      <w:szCs w:val="20"/>
                      <w:lang w:eastAsia="fr-FR"/>
                    </w:rPr>
                    <w:t>Ligne 18</w:t>
                  </w:r>
                </w:p>
              </w:tc>
              <w:tc>
                <w:tcPr>
                  <w:tcW w:w="2031" w:type="dxa"/>
                  <w:vAlign w:val="center"/>
                  <w:hideMark/>
                </w:tcPr>
                <w:p w14:paraId="580D2B43" w14:textId="77777777" w:rsidR="00AC5EC0" w:rsidRPr="00CE7C12" w:rsidRDefault="00AC5EC0" w:rsidP="00AC5EC0">
                  <w:pPr>
                    <w:jc w:val="right"/>
                    <w:rPr>
                      <w:rFonts w:eastAsia="Times New Roman"/>
                      <w:color w:val="00B050"/>
                      <w:szCs w:val="20"/>
                      <w:lang w:eastAsia="fr-FR"/>
                    </w:rPr>
                  </w:pPr>
                  <w:r w:rsidRPr="00CE7C12">
                    <w:rPr>
                      <w:rFonts w:eastAsia="Times New Roman" w:cs="Calibri"/>
                      <w:color w:val="00B050"/>
                      <w:szCs w:val="20"/>
                      <w:lang w:eastAsia="fr-FR"/>
                    </w:rPr>
                    <w:t>62</w:t>
                  </w:r>
                </w:p>
              </w:tc>
              <w:tc>
                <w:tcPr>
                  <w:tcW w:w="2032" w:type="dxa"/>
                  <w:vAlign w:val="center"/>
                  <w:hideMark/>
                </w:tcPr>
                <w:p w14:paraId="0C418C19" w14:textId="77777777" w:rsidR="00AC5EC0" w:rsidRPr="00CE7C12" w:rsidRDefault="00AC5EC0" w:rsidP="00AC5EC0">
                  <w:pPr>
                    <w:jc w:val="right"/>
                    <w:rPr>
                      <w:rFonts w:eastAsia="Times New Roman"/>
                      <w:color w:val="00B050"/>
                      <w:szCs w:val="20"/>
                      <w:lang w:eastAsia="fr-FR"/>
                    </w:rPr>
                  </w:pPr>
                  <w:r w:rsidRPr="00CE7C12">
                    <w:rPr>
                      <w:rFonts w:eastAsia="Times New Roman"/>
                      <w:color w:val="00B050"/>
                      <w:szCs w:val="20"/>
                      <w:lang w:eastAsia="fr-FR"/>
                    </w:rPr>
                    <w:t>24</w:t>
                  </w:r>
                </w:p>
              </w:tc>
              <w:tc>
                <w:tcPr>
                  <w:tcW w:w="2032" w:type="dxa"/>
                  <w:vAlign w:val="center"/>
                  <w:hideMark/>
                </w:tcPr>
                <w:p w14:paraId="49A85DFE" w14:textId="77777777" w:rsidR="00AC5EC0" w:rsidRPr="00CE7C12" w:rsidRDefault="00AC5EC0" w:rsidP="00AC5EC0">
                  <w:pPr>
                    <w:jc w:val="right"/>
                    <w:rPr>
                      <w:rFonts w:eastAsia="Times New Roman"/>
                      <w:color w:val="00B050"/>
                      <w:szCs w:val="20"/>
                      <w:lang w:eastAsia="fr-FR"/>
                    </w:rPr>
                  </w:pPr>
                  <w:r w:rsidRPr="00CE7C12">
                    <w:rPr>
                      <w:rFonts w:eastAsia="Times New Roman"/>
                      <w:color w:val="00B050"/>
                      <w:szCs w:val="20"/>
                      <w:lang w:eastAsia="fr-FR"/>
                    </w:rPr>
                    <w:t>12</w:t>
                  </w:r>
                </w:p>
              </w:tc>
            </w:tr>
          </w:tbl>
          <w:p w14:paraId="0AABBDAF" w14:textId="2CF9D18E" w:rsidR="00AC5EC0" w:rsidRPr="00304C03" w:rsidRDefault="00AC5EC0" w:rsidP="001467C0">
            <w:pPr>
              <w:pStyle w:val="Standard"/>
              <w:rPr>
                <w:rFonts w:ascii="Verdana" w:hAnsi="Verdana"/>
                <w:color w:val="00B050"/>
                <w:sz w:val="22"/>
                <w:szCs w:val="22"/>
              </w:rPr>
            </w:pPr>
            <w:r w:rsidRPr="00CE7C12">
              <w:rPr>
                <w:rFonts w:ascii="Verdana" w:hAnsi="Verdana"/>
                <w:i/>
                <w:iCs/>
                <w:color w:val="00B050"/>
                <w:sz w:val="20"/>
                <w:szCs w:val="20"/>
              </w:rPr>
              <w:t xml:space="preserve"> </w:t>
            </w:r>
          </w:p>
        </w:tc>
      </w:tr>
    </w:tbl>
    <w:p w14:paraId="70C67F9A" w14:textId="6C11CD81" w:rsidR="00A15478" w:rsidRPr="00304C03" w:rsidRDefault="008B27B5" w:rsidP="00A15478">
      <w:pPr>
        <w:pStyle w:val="Standard"/>
        <w:rPr>
          <w:i/>
          <w:iCs/>
          <w:color w:val="00B050"/>
          <w:sz w:val="20"/>
          <w:szCs w:val="20"/>
        </w:rPr>
      </w:pPr>
      <w:r w:rsidRPr="00304C03">
        <w:rPr>
          <w:rFonts w:ascii="Verdana" w:hAnsi="Verdana"/>
          <w:i/>
          <w:iCs/>
          <w:color w:val="00B050"/>
          <w:sz w:val="20"/>
          <w:szCs w:val="20"/>
        </w:rPr>
        <w:t>Source DRIEA Île de France</w:t>
      </w:r>
    </w:p>
    <w:p w14:paraId="78E670DD" w14:textId="2B4C7858" w:rsidR="00A15478" w:rsidRDefault="00A15478">
      <w:pPr>
        <w:rPr>
          <w:rFonts w:cs="Arial"/>
          <w:szCs w:val="20"/>
        </w:rPr>
      </w:pPr>
      <w:r>
        <w:rPr>
          <w:rFonts w:cs="Arial"/>
          <w:szCs w:val="20"/>
        </w:rPr>
        <w:br w:type="page"/>
      </w:r>
    </w:p>
    <w:p w14:paraId="2FB1A255" w14:textId="77777777" w:rsidR="00954111" w:rsidRDefault="00954111">
      <w:pPr>
        <w:rPr>
          <w:rFonts w:cs="Arial"/>
          <w:szCs w:val="20"/>
        </w:rPr>
      </w:pPr>
    </w:p>
    <w:p w14:paraId="33958E78" w14:textId="11C65F6E" w:rsidR="00192A76" w:rsidRPr="00192A76" w:rsidRDefault="00192A76" w:rsidP="00E30FFE">
      <w:pPr>
        <w:pStyle w:val="Titre2"/>
        <w:numPr>
          <w:ilvl w:val="0"/>
          <w:numId w:val="0"/>
        </w:numPr>
        <w:ind w:left="720" w:hanging="720"/>
        <w:rPr>
          <w:rFonts w:cs="Arial"/>
          <w:szCs w:val="20"/>
        </w:rPr>
      </w:pPr>
      <w:bookmarkStart w:id="172" w:name="_Toc46917086"/>
      <w:bookmarkStart w:id="173" w:name="_Toc63352158"/>
      <w:r w:rsidRPr="00192A76">
        <w:rPr>
          <w:lang w:eastAsia="fr-FR"/>
        </w:rPr>
        <w:t>Annexe </w:t>
      </w:r>
      <w:r w:rsidR="00A45BC3" w:rsidRPr="00192A76">
        <w:rPr>
          <w:lang w:eastAsia="fr-FR"/>
        </w:rPr>
        <w:t>2 :</w:t>
      </w:r>
      <w:r w:rsidRPr="00192A76">
        <w:rPr>
          <w:lang w:eastAsia="fr-FR"/>
        </w:rPr>
        <w:t xml:space="preserve"> Analyse des risques</w:t>
      </w:r>
      <w:bookmarkEnd w:id="172"/>
      <w:bookmarkEnd w:id="173"/>
    </w:p>
    <w:p w14:paraId="0B87703B" w14:textId="77777777" w:rsidR="00192A76" w:rsidRPr="00192A76" w:rsidRDefault="00192A76" w:rsidP="00192A76">
      <w:pPr>
        <w:jc w:val="both"/>
        <w:rPr>
          <w:b/>
          <w:color w:val="931638"/>
          <w:sz w:val="24"/>
        </w:rPr>
      </w:pPr>
    </w:p>
    <w:p w14:paraId="4513022D" w14:textId="77777777" w:rsidR="0084080B" w:rsidRDefault="0084080B" w:rsidP="00192A76">
      <w:pPr>
        <w:jc w:val="both"/>
        <w:rPr>
          <w:b/>
          <w:color w:val="931638"/>
          <w:sz w:val="24"/>
        </w:rPr>
      </w:pPr>
    </w:p>
    <w:p w14:paraId="65E94AB8" w14:textId="669D8C0F" w:rsidR="00192A76" w:rsidRPr="00192A76" w:rsidRDefault="00192A76" w:rsidP="00192A76">
      <w:pPr>
        <w:jc w:val="both"/>
        <w:rPr>
          <w:b/>
          <w:color w:val="931638"/>
          <w:sz w:val="24"/>
        </w:rPr>
      </w:pPr>
      <w:r w:rsidRPr="00192A76">
        <w:rPr>
          <w:b/>
          <w:color w:val="931638"/>
          <w:sz w:val="24"/>
        </w:rPr>
        <w:t>Préambule</w:t>
      </w:r>
    </w:p>
    <w:p w14:paraId="41E45307" w14:textId="77777777" w:rsidR="00192A76" w:rsidRDefault="00192A76" w:rsidP="004C4CA3">
      <w:pPr>
        <w:spacing w:line="280" w:lineRule="atLeast"/>
        <w:jc w:val="both"/>
        <w:rPr>
          <w:rFonts w:eastAsia="Times New Roman"/>
          <w:lang w:eastAsia="fr-FR"/>
        </w:rPr>
      </w:pPr>
    </w:p>
    <w:p w14:paraId="4AA2A8DA" w14:textId="77777777" w:rsidR="008C45C5" w:rsidRPr="0054340B" w:rsidRDefault="008C45C5" w:rsidP="0054340B">
      <w:pPr>
        <w:jc w:val="both"/>
        <w:rPr>
          <w:rFonts w:eastAsia="Times New Roman"/>
          <w:szCs w:val="20"/>
          <w:lang w:eastAsia="fr-FR"/>
        </w:rPr>
      </w:pPr>
      <w:r w:rsidRPr="0054340B">
        <w:rPr>
          <w:rFonts w:eastAsia="Times New Roman"/>
          <w:szCs w:val="20"/>
          <w:lang w:eastAsia="fr-FR"/>
        </w:rPr>
        <w:t xml:space="preserve">La variété de risques potentiels auxquels la mise en œuvre globale du Grand Paris Express est exposée est à la mesure de l’étendue géographique de ce programme de travaux et du rôle moteur qui lui est assigné dans le développement économique et urbain de la région Ile-de-France. Certains de ces risques relèvent directement des risques « projet », dont la maîtrise fait partie des responsabilités du maître d’ouvrage (risques techniques et environnementaux, risques liés à l’organisation et à la conduite du projet…), d’autres en revanche sont associés à des éléments de contexte partiellement ou totalement exogènes au maître d’ouvrage, comme par exemple ceux ayant trait aux évolutions du contexte économique national ou à la convergence des politiques publiques en matière d’aménagement territorial. Le degré de maîtrise du risque et la nature des mesures de prévention mises en œuvre dépendent donc de manière substantielle de la catégorie de risque considérée. </w:t>
      </w:r>
    </w:p>
    <w:p w14:paraId="5D349FD7" w14:textId="18FD9199" w:rsidR="008C45C5" w:rsidRPr="0054340B" w:rsidRDefault="008C45C5" w:rsidP="0054340B">
      <w:pPr>
        <w:jc w:val="both"/>
        <w:rPr>
          <w:rFonts w:eastAsia="Times New Roman"/>
          <w:szCs w:val="20"/>
          <w:lang w:eastAsia="fr-FR"/>
        </w:rPr>
      </w:pPr>
      <w:r w:rsidRPr="0054340B">
        <w:rPr>
          <w:rFonts w:eastAsia="Times New Roman"/>
          <w:szCs w:val="20"/>
          <w:lang w:eastAsia="fr-FR"/>
        </w:rPr>
        <w:t xml:space="preserve">La présente cartographie des risques est transmise au </w:t>
      </w:r>
      <w:r w:rsidR="00D51B98" w:rsidRPr="0054340B">
        <w:rPr>
          <w:rFonts w:eastAsia="Times New Roman"/>
          <w:szCs w:val="20"/>
          <w:lang w:eastAsia="fr-FR"/>
        </w:rPr>
        <w:t xml:space="preserve">Secrétariat </w:t>
      </w:r>
      <w:r w:rsidRPr="0054340B">
        <w:rPr>
          <w:rFonts w:eastAsia="Times New Roman"/>
          <w:szCs w:val="20"/>
          <w:lang w:eastAsia="fr-FR"/>
        </w:rPr>
        <w:t xml:space="preserve">général </w:t>
      </w:r>
      <w:r w:rsidR="00D51B98" w:rsidRPr="0054340B">
        <w:rPr>
          <w:rFonts w:eastAsia="Times New Roman"/>
          <w:szCs w:val="20"/>
          <w:lang w:eastAsia="fr-FR"/>
        </w:rPr>
        <w:t xml:space="preserve">pour </w:t>
      </w:r>
      <w:r w:rsidRPr="0054340B">
        <w:rPr>
          <w:rFonts w:eastAsia="Times New Roman"/>
          <w:szCs w:val="20"/>
          <w:lang w:eastAsia="fr-FR"/>
        </w:rPr>
        <w:t>l’investissement à l’occasion</w:t>
      </w:r>
      <w:r w:rsidRPr="0054340B" w:rsidDel="003E0E68">
        <w:rPr>
          <w:rFonts w:eastAsia="Times New Roman"/>
          <w:szCs w:val="20"/>
          <w:lang w:eastAsia="fr-FR"/>
        </w:rPr>
        <w:t xml:space="preserve"> </w:t>
      </w:r>
      <w:r w:rsidRPr="0054340B">
        <w:rPr>
          <w:rFonts w:eastAsia="Times New Roman"/>
          <w:szCs w:val="20"/>
          <w:lang w:eastAsia="fr-FR"/>
        </w:rPr>
        <w:t xml:space="preserve">de l’instruction du dossier d’évaluation socio-économique relatif au tronçon Aéroport d’Orly – Versailles Chantiers (Ligne 18). </w:t>
      </w:r>
    </w:p>
    <w:p w14:paraId="52C75985" w14:textId="77777777" w:rsidR="0032668E" w:rsidRPr="0054340B" w:rsidRDefault="0032668E" w:rsidP="0054340B">
      <w:pPr>
        <w:jc w:val="both"/>
        <w:rPr>
          <w:rFonts w:eastAsia="Times New Roman"/>
          <w:szCs w:val="20"/>
          <w:lang w:eastAsia="fr-FR"/>
        </w:rPr>
      </w:pPr>
    </w:p>
    <w:p w14:paraId="46E4E37B" w14:textId="4FFAA797" w:rsidR="008C45C5" w:rsidRPr="0054340B" w:rsidRDefault="008C45C5" w:rsidP="0054340B">
      <w:pPr>
        <w:jc w:val="both"/>
        <w:rPr>
          <w:rFonts w:eastAsia="Times New Roman"/>
          <w:szCs w:val="20"/>
          <w:lang w:eastAsia="fr-FR"/>
        </w:rPr>
      </w:pPr>
      <w:r w:rsidRPr="0054340B">
        <w:rPr>
          <w:rFonts w:eastAsia="Times New Roman"/>
          <w:szCs w:val="20"/>
          <w:lang w:eastAsia="fr-FR"/>
        </w:rPr>
        <w:t>Elle est composée :</w:t>
      </w:r>
    </w:p>
    <w:p w14:paraId="5DFC3A26" w14:textId="77777777" w:rsidR="00A45BC3" w:rsidRPr="0054340B" w:rsidRDefault="00A45BC3" w:rsidP="0054340B">
      <w:pPr>
        <w:jc w:val="both"/>
        <w:rPr>
          <w:rFonts w:eastAsia="Times New Roman"/>
          <w:szCs w:val="20"/>
          <w:lang w:eastAsia="fr-FR"/>
        </w:rPr>
      </w:pPr>
    </w:p>
    <w:p w14:paraId="739C7BED" w14:textId="77777777" w:rsidR="0084080B" w:rsidRDefault="008C45C5" w:rsidP="00412C10">
      <w:pPr>
        <w:pStyle w:val="Paragraphedeliste"/>
        <w:numPr>
          <w:ilvl w:val="0"/>
          <w:numId w:val="35"/>
        </w:numPr>
        <w:contextualSpacing/>
        <w:jc w:val="both"/>
        <w:rPr>
          <w:rFonts w:eastAsia="Times New Roman"/>
          <w:szCs w:val="20"/>
          <w:lang w:eastAsia="fr-FR"/>
        </w:rPr>
      </w:pPr>
      <w:r w:rsidRPr="0054340B">
        <w:rPr>
          <w:rFonts w:eastAsia="Times New Roman"/>
          <w:szCs w:val="20"/>
          <w:lang w:eastAsia="fr-FR"/>
        </w:rPr>
        <w:t>d’un récapitulatif des actions menées en termes de maîtrise des risques depuis l’origine du projet, comportant également un éclairage sur les outils méthodologiques complémentaires mis en œuvre par la Société du Grand Paris à partir de la phase d’études d’avant-projet ;</w:t>
      </w:r>
    </w:p>
    <w:p w14:paraId="411B815F" w14:textId="77777777" w:rsidR="0084080B" w:rsidRDefault="0084080B" w:rsidP="0084080B">
      <w:pPr>
        <w:pStyle w:val="Paragraphedeliste"/>
        <w:ind w:left="720"/>
        <w:contextualSpacing/>
        <w:jc w:val="both"/>
        <w:rPr>
          <w:rFonts w:eastAsia="Times New Roman"/>
          <w:szCs w:val="20"/>
          <w:lang w:eastAsia="fr-FR"/>
        </w:rPr>
      </w:pPr>
    </w:p>
    <w:p w14:paraId="5A4D3BA9" w14:textId="554B3420" w:rsidR="008C45C5" w:rsidRPr="0084080B" w:rsidRDefault="008C45C5" w:rsidP="00412C10">
      <w:pPr>
        <w:pStyle w:val="Paragraphedeliste"/>
        <w:numPr>
          <w:ilvl w:val="0"/>
          <w:numId w:val="35"/>
        </w:numPr>
        <w:contextualSpacing/>
        <w:jc w:val="both"/>
        <w:rPr>
          <w:rFonts w:eastAsia="Times New Roman"/>
          <w:szCs w:val="20"/>
          <w:lang w:eastAsia="fr-FR"/>
        </w:rPr>
      </w:pPr>
      <w:r w:rsidRPr="0084080B">
        <w:rPr>
          <w:rFonts w:eastAsia="Times New Roman"/>
          <w:szCs w:val="20"/>
          <w:lang w:eastAsia="fr-FR"/>
        </w:rPr>
        <w:t>d’un tableau qui identifie et caractérise les risques auxquels sont soumis le programme Grand Paris Express dans son ensemble et le projet composé du tronçon Aéroport d’Orly – Versailles Chantiers.</w:t>
      </w:r>
    </w:p>
    <w:p w14:paraId="5FF6BBDA" w14:textId="77777777" w:rsidR="008C45C5" w:rsidRPr="0054340B" w:rsidRDefault="008C45C5" w:rsidP="0054340B">
      <w:pPr>
        <w:jc w:val="both"/>
        <w:rPr>
          <w:szCs w:val="20"/>
        </w:rPr>
      </w:pPr>
    </w:p>
    <w:p w14:paraId="179184E5" w14:textId="77777777" w:rsidR="008C45C5" w:rsidRPr="0054340B" w:rsidRDefault="008C45C5" w:rsidP="0054340B">
      <w:pPr>
        <w:jc w:val="both"/>
        <w:rPr>
          <w:szCs w:val="20"/>
        </w:rPr>
      </w:pPr>
    </w:p>
    <w:p w14:paraId="44A411D8" w14:textId="77777777" w:rsidR="008C45C5" w:rsidRPr="0054340B" w:rsidRDefault="008C45C5" w:rsidP="0054340B">
      <w:pPr>
        <w:jc w:val="both"/>
        <w:rPr>
          <w:b/>
          <w:color w:val="931638"/>
          <w:szCs w:val="20"/>
        </w:rPr>
      </w:pPr>
      <w:r w:rsidRPr="0054340B">
        <w:rPr>
          <w:b/>
          <w:color w:val="931638"/>
          <w:szCs w:val="20"/>
        </w:rPr>
        <w:t>Une démarche continue pour maîtriser les risques sur une opération complexe</w:t>
      </w:r>
    </w:p>
    <w:p w14:paraId="0CF3C967" w14:textId="77777777" w:rsidR="0032668E" w:rsidRPr="0054340B" w:rsidRDefault="0032668E" w:rsidP="0054340B">
      <w:pPr>
        <w:jc w:val="both"/>
        <w:rPr>
          <w:rFonts w:eastAsia="Times New Roman"/>
          <w:szCs w:val="20"/>
          <w:lang w:eastAsia="fr-FR"/>
        </w:rPr>
      </w:pPr>
    </w:p>
    <w:p w14:paraId="654D5E56" w14:textId="1BBE650D" w:rsidR="008C45C5" w:rsidRDefault="008C45C5" w:rsidP="0054340B">
      <w:pPr>
        <w:jc w:val="both"/>
        <w:rPr>
          <w:rFonts w:eastAsia="Times New Roman"/>
          <w:szCs w:val="20"/>
          <w:lang w:eastAsia="fr-FR"/>
        </w:rPr>
      </w:pPr>
      <w:r w:rsidRPr="0054340B">
        <w:rPr>
          <w:rFonts w:eastAsia="Times New Roman"/>
          <w:szCs w:val="20"/>
          <w:lang w:eastAsia="fr-FR"/>
        </w:rPr>
        <w:t>Dans le cadre de sa mission de conception et de réalisation des projets d’infrastructures qui composent le réseau de transport public du Grand Paris, la Société du Grand Paris intègre la dimension « risque », au même titre que les enjeux majeurs que sont le respect des coûts, des délais et de la qualité.</w:t>
      </w:r>
    </w:p>
    <w:p w14:paraId="72376582" w14:textId="77777777" w:rsidR="0054340B" w:rsidRPr="0054340B" w:rsidRDefault="0054340B" w:rsidP="0054340B">
      <w:pPr>
        <w:jc w:val="both"/>
        <w:rPr>
          <w:rFonts w:eastAsia="Times New Roman"/>
          <w:szCs w:val="20"/>
          <w:lang w:eastAsia="fr-FR"/>
        </w:rPr>
      </w:pPr>
    </w:p>
    <w:p w14:paraId="64290565" w14:textId="523E187F" w:rsidR="008C45C5" w:rsidRDefault="008C45C5" w:rsidP="0054340B">
      <w:pPr>
        <w:jc w:val="both"/>
        <w:rPr>
          <w:rFonts w:eastAsia="Times New Roman"/>
          <w:szCs w:val="20"/>
          <w:lang w:eastAsia="fr-FR"/>
        </w:rPr>
      </w:pPr>
      <w:r w:rsidRPr="0054340B">
        <w:rPr>
          <w:rFonts w:eastAsia="Times New Roman"/>
          <w:szCs w:val="20"/>
          <w:lang w:eastAsia="fr-FR"/>
        </w:rPr>
        <w:t>Les actions menées en matière de maîtrise des risques par la Société du Grand Paris depuis sa création et les premières études sur le nouveau réseau structurant de transport en commun peuvent être regroupées en deux catégories principales :</w:t>
      </w:r>
    </w:p>
    <w:p w14:paraId="333EAC1C" w14:textId="77777777" w:rsidR="0054340B" w:rsidRPr="0054340B" w:rsidRDefault="0054340B" w:rsidP="0054340B">
      <w:pPr>
        <w:jc w:val="both"/>
        <w:rPr>
          <w:rFonts w:eastAsia="Times New Roman"/>
          <w:szCs w:val="20"/>
          <w:lang w:eastAsia="fr-FR"/>
        </w:rPr>
      </w:pPr>
    </w:p>
    <w:p w14:paraId="14C0F313" w14:textId="77777777" w:rsidR="008C45C5" w:rsidRPr="0054340B" w:rsidRDefault="008C45C5" w:rsidP="0083506E">
      <w:pPr>
        <w:pStyle w:val="Paragraphedeliste"/>
        <w:numPr>
          <w:ilvl w:val="0"/>
          <w:numId w:val="16"/>
        </w:numPr>
        <w:contextualSpacing/>
        <w:jc w:val="both"/>
        <w:rPr>
          <w:rFonts w:eastAsia="Times New Roman"/>
          <w:szCs w:val="20"/>
          <w:lang w:eastAsia="fr-FR"/>
        </w:rPr>
      </w:pPr>
      <w:r w:rsidRPr="0054340B">
        <w:rPr>
          <w:rFonts w:eastAsia="Times New Roman"/>
          <w:b/>
          <w:szCs w:val="20"/>
          <w:lang w:eastAsia="fr-FR"/>
        </w:rPr>
        <w:t>garantir la connaissance la plus complète et la plus précise possible du contexte</w:t>
      </w:r>
      <w:r w:rsidRPr="0054340B">
        <w:rPr>
          <w:rFonts w:eastAsia="Times New Roman"/>
          <w:szCs w:val="20"/>
          <w:lang w:eastAsia="fr-FR"/>
        </w:rPr>
        <w:t xml:space="preserve"> dans lequel doit s’insérer le projet, de manière à pouvoir exploiter pleinement ces éléments lors des études de faisabilité, puis de conception ;</w:t>
      </w:r>
    </w:p>
    <w:p w14:paraId="4939CB49" w14:textId="77777777" w:rsidR="008C45C5" w:rsidRPr="0054340B" w:rsidRDefault="008C45C5" w:rsidP="0083506E">
      <w:pPr>
        <w:pStyle w:val="Paragraphedeliste"/>
        <w:numPr>
          <w:ilvl w:val="0"/>
          <w:numId w:val="16"/>
        </w:numPr>
        <w:contextualSpacing/>
        <w:jc w:val="both"/>
        <w:rPr>
          <w:rFonts w:eastAsia="Times New Roman"/>
          <w:szCs w:val="20"/>
          <w:lang w:eastAsia="fr-FR"/>
        </w:rPr>
      </w:pPr>
      <w:r w:rsidRPr="0054340B">
        <w:rPr>
          <w:rFonts w:eastAsia="Times New Roman"/>
          <w:b/>
          <w:szCs w:val="20"/>
          <w:lang w:eastAsia="fr-FR"/>
        </w:rPr>
        <w:t>s’adapter à la complexité du projet en apportant une attention particulière à la maîtrise du calendrier prévisionnel</w:t>
      </w:r>
      <w:r w:rsidRPr="0054340B">
        <w:rPr>
          <w:rFonts w:eastAsia="Times New Roman"/>
          <w:szCs w:val="20"/>
          <w:lang w:eastAsia="fr-FR"/>
        </w:rPr>
        <w:t xml:space="preserve"> et en anticipant le cas échéant certaines démarches ;</w:t>
      </w:r>
    </w:p>
    <w:p w14:paraId="60E9A7E8" w14:textId="646C94A3" w:rsidR="00E30FFE" w:rsidRPr="0054340B" w:rsidRDefault="00E30FFE" w:rsidP="0054340B">
      <w:pPr>
        <w:pStyle w:val="Paragraphedeliste1"/>
        <w:numPr>
          <w:ilvl w:val="0"/>
          <w:numId w:val="0"/>
        </w:numPr>
        <w:spacing w:line="240" w:lineRule="auto"/>
        <w:jc w:val="both"/>
      </w:pPr>
    </w:p>
    <w:p w14:paraId="348F1A1E" w14:textId="77777777" w:rsidR="00EC34CF" w:rsidRPr="0054340B" w:rsidRDefault="00EC34CF" w:rsidP="0054340B">
      <w:pPr>
        <w:pStyle w:val="Paragraphedeliste1"/>
        <w:numPr>
          <w:ilvl w:val="0"/>
          <w:numId w:val="0"/>
        </w:numPr>
        <w:spacing w:line="240" w:lineRule="auto"/>
        <w:jc w:val="both"/>
      </w:pPr>
    </w:p>
    <w:p w14:paraId="7EDB6C09" w14:textId="77777777" w:rsidR="008C45C5" w:rsidRPr="0054340B" w:rsidRDefault="008C45C5" w:rsidP="0083506E">
      <w:pPr>
        <w:pStyle w:val="Paragraphedeliste1"/>
        <w:numPr>
          <w:ilvl w:val="0"/>
          <w:numId w:val="21"/>
        </w:numPr>
        <w:spacing w:line="240" w:lineRule="auto"/>
        <w:jc w:val="both"/>
      </w:pPr>
      <w:r w:rsidRPr="0054340B">
        <w:t>Actions menées pour la connaissance du contexte d’insertion du projet</w:t>
      </w:r>
    </w:p>
    <w:p w14:paraId="42CC7FAB" w14:textId="77777777" w:rsidR="008C45C5" w:rsidRPr="0054340B" w:rsidRDefault="008C45C5" w:rsidP="0054340B">
      <w:pPr>
        <w:pStyle w:val="Paragraphedeliste1"/>
        <w:numPr>
          <w:ilvl w:val="0"/>
          <w:numId w:val="0"/>
        </w:numPr>
        <w:spacing w:line="240" w:lineRule="auto"/>
        <w:ind w:left="1440"/>
        <w:jc w:val="both"/>
      </w:pPr>
    </w:p>
    <w:p w14:paraId="3A4A9A43" w14:textId="77777777" w:rsidR="008C45C5" w:rsidRPr="0054340B" w:rsidRDefault="008C45C5" w:rsidP="0054340B">
      <w:pPr>
        <w:jc w:val="both"/>
        <w:rPr>
          <w:rFonts w:eastAsia="Times New Roman"/>
          <w:szCs w:val="20"/>
          <w:lang w:eastAsia="fr-FR"/>
        </w:rPr>
      </w:pPr>
      <w:r w:rsidRPr="0054340B">
        <w:rPr>
          <w:rFonts w:eastAsia="Times New Roman"/>
          <w:szCs w:val="20"/>
          <w:lang w:eastAsia="fr-FR"/>
        </w:rPr>
        <w:t xml:space="preserve">S’agissant d’un projet d’infrastructures devant majoritairement être réalisé en souterrain, la connaissance de l’environnement constitue un enjeu majeur : elle détermine la faisabilité des solutions techniques envisagées, permet de fiabiliser la conception des ouvrages et garantit leur bonne réalisation en phase chantier. La prise en compte de l’environnement est donc d’autant plus efficace qu’elle intervient tôt dans le processus d’études. </w:t>
      </w:r>
    </w:p>
    <w:p w14:paraId="5B0CDFB2" w14:textId="3DD4EE9A" w:rsidR="008C45C5" w:rsidRDefault="008C45C5" w:rsidP="0054340B">
      <w:pPr>
        <w:jc w:val="both"/>
        <w:rPr>
          <w:rFonts w:eastAsia="Times New Roman"/>
          <w:szCs w:val="20"/>
          <w:lang w:eastAsia="fr-FR"/>
        </w:rPr>
      </w:pPr>
      <w:r w:rsidRPr="0054340B">
        <w:rPr>
          <w:rFonts w:eastAsia="Times New Roman"/>
          <w:szCs w:val="20"/>
          <w:lang w:eastAsia="fr-FR"/>
        </w:rPr>
        <w:t xml:space="preserve">Différentes études relevant de l’évaluation environnementale des projets de travaux, d’ouvrages et d’aménagement au sens du code de l’environnement ont ainsi été conduites depuis l’origine du projet : </w:t>
      </w:r>
    </w:p>
    <w:p w14:paraId="2CD252C7" w14:textId="77777777" w:rsidR="0054340B" w:rsidRPr="0054340B" w:rsidRDefault="0054340B" w:rsidP="0054340B">
      <w:pPr>
        <w:jc w:val="both"/>
        <w:rPr>
          <w:rFonts w:eastAsia="Times New Roman"/>
          <w:szCs w:val="20"/>
          <w:lang w:eastAsia="fr-FR"/>
        </w:rPr>
      </w:pPr>
    </w:p>
    <w:p w14:paraId="17EE83F6" w14:textId="77777777" w:rsidR="008C45C5" w:rsidRPr="0054340B" w:rsidRDefault="008C45C5" w:rsidP="0083506E">
      <w:pPr>
        <w:pStyle w:val="Paragraphedeliste"/>
        <w:numPr>
          <w:ilvl w:val="0"/>
          <w:numId w:val="18"/>
        </w:numPr>
        <w:contextualSpacing/>
        <w:jc w:val="both"/>
        <w:rPr>
          <w:rFonts w:eastAsia="Times New Roman"/>
          <w:szCs w:val="20"/>
          <w:lang w:eastAsia="fr-FR"/>
        </w:rPr>
      </w:pPr>
      <w:r w:rsidRPr="0054340B">
        <w:rPr>
          <w:rFonts w:eastAsia="Times New Roman"/>
          <w:szCs w:val="20"/>
          <w:lang w:eastAsia="fr-FR"/>
        </w:rPr>
        <w:t xml:space="preserve">Dans l’esprit de la directive européenne 2001/42/CE relative à l’évaluation des incidences de certains plans et programmes sur l’environnement, la loi du 3 juin 2010 relative au Grand Paris avait prévu que le réseau de transport public du Grand Paris fasse l’objet d’une évaluation environnementale préalable. Cette </w:t>
      </w:r>
      <w:r w:rsidRPr="0054340B">
        <w:rPr>
          <w:rFonts w:eastAsia="Times New Roman"/>
          <w:b/>
          <w:szCs w:val="20"/>
          <w:lang w:eastAsia="fr-FR"/>
        </w:rPr>
        <w:t>évaluation stratégique environnementale</w:t>
      </w:r>
      <w:r w:rsidRPr="0054340B">
        <w:rPr>
          <w:rFonts w:eastAsia="Times New Roman"/>
          <w:szCs w:val="20"/>
          <w:lang w:eastAsia="fr-FR"/>
        </w:rPr>
        <w:t>, présentée à l’occasion du débat public qui s’est tenu entre octobre 2010 et janvier 2011, constituait une innovation par rapport aux procédures traditionnellement suivies en France dans le domaine des projets de transport. Elle a permis de mettre en valeur les principaux enjeux environnementaux à l’échelle du réseau complet et de guider de manière significative la définition des premiers tracés et projets de gare présentés au débat public.</w:t>
      </w:r>
    </w:p>
    <w:p w14:paraId="3449351B" w14:textId="77777777" w:rsidR="00BB6B3D" w:rsidRPr="0054340B" w:rsidRDefault="008C45C5" w:rsidP="0083506E">
      <w:pPr>
        <w:pStyle w:val="Paragraphedeliste"/>
        <w:numPr>
          <w:ilvl w:val="0"/>
          <w:numId w:val="18"/>
        </w:numPr>
        <w:contextualSpacing/>
        <w:jc w:val="both"/>
        <w:rPr>
          <w:rFonts w:eastAsia="Times New Roman"/>
          <w:szCs w:val="20"/>
          <w:lang w:eastAsia="fr-FR"/>
        </w:rPr>
      </w:pPr>
      <w:r w:rsidRPr="0054340B">
        <w:rPr>
          <w:rFonts w:eastAsia="Times New Roman"/>
          <w:szCs w:val="20"/>
          <w:lang w:eastAsia="fr-FR"/>
        </w:rPr>
        <w:t xml:space="preserve">A partir de 2011, </w:t>
      </w:r>
      <w:r w:rsidR="00BB6B3D" w:rsidRPr="0054340B">
        <w:rPr>
          <w:rFonts w:eastAsia="Times New Roman"/>
          <w:szCs w:val="20"/>
          <w:lang w:eastAsia="fr-FR"/>
        </w:rPr>
        <w:t>chaque ligne du Grand Paris Express a fait l’objet d’une demande de déclaration d’utilité publique (DUP). L</w:t>
      </w:r>
      <w:r w:rsidRPr="0054340B">
        <w:rPr>
          <w:rFonts w:eastAsia="Times New Roman"/>
          <w:szCs w:val="20"/>
          <w:lang w:eastAsia="fr-FR"/>
        </w:rPr>
        <w:t>es éléments produits dans le cadre de l’évaluation stratégique environnementale ont été approfondis et complétés, en prenant en compte</w:t>
      </w:r>
      <w:r w:rsidR="00F9501D" w:rsidRPr="0054340B">
        <w:rPr>
          <w:rFonts w:eastAsia="Times New Roman"/>
          <w:szCs w:val="20"/>
          <w:lang w:eastAsia="fr-FR"/>
        </w:rPr>
        <w:t xml:space="preserve"> </w:t>
      </w:r>
      <w:r w:rsidRPr="0054340B">
        <w:rPr>
          <w:rFonts w:eastAsia="Times New Roman"/>
          <w:szCs w:val="20"/>
          <w:lang w:eastAsia="fr-FR"/>
        </w:rPr>
        <w:t xml:space="preserve">les caractéristiques plus détaillées du projet, telles qu’établies dans le cadre des études préalables et préliminaires de la Société du Grand </w:t>
      </w:r>
      <w:r w:rsidR="00BB6B3D" w:rsidRPr="0054340B">
        <w:rPr>
          <w:rFonts w:eastAsia="Times New Roman"/>
          <w:szCs w:val="20"/>
          <w:lang w:eastAsia="fr-FR"/>
        </w:rPr>
        <w:t xml:space="preserve">Paris. Le dossier de DUP comprend une étude d’impact conformément à la réglementation. </w:t>
      </w:r>
      <w:r w:rsidR="00D51B98" w:rsidRPr="0054340B">
        <w:rPr>
          <w:rFonts w:eastAsia="Times New Roman"/>
          <w:szCs w:val="20"/>
          <w:lang w:eastAsia="fr-FR"/>
        </w:rPr>
        <w:t>Le présent dossier met à jour la précédente étude d’impact « tronçon ».</w:t>
      </w:r>
    </w:p>
    <w:p w14:paraId="7787243F" w14:textId="77777777" w:rsidR="00D51B98" w:rsidRPr="0054340B" w:rsidRDefault="00D51B98" w:rsidP="0054340B">
      <w:pPr>
        <w:jc w:val="both"/>
        <w:rPr>
          <w:rFonts w:eastAsia="Times New Roman"/>
          <w:szCs w:val="20"/>
          <w:lang w:eastAsia="fr-FR"/>
        </w:rPr>
      </w:pPr>
    </w:p>
    <w:p w14:paraId="1686841E" w14:textId="065D7E33" w:rsidR="008C45C5" w:rsidRDefault="008C45C5" w:rsidP="0054340B">
      <w:pPr>
        <w:jc w:val="both"/>
        <w:rPr>
          <w:rFonts w:eastAsia="Times New Roman"/>
          <w:szCs w:val="20"/>
          <w:lang w:eastAsia="fr-FR"/>
        </w:rPr>
      </w:pPr>
      <w:r w:rsidRPr="0054340B">
        <w:rPr>
          <w:rFonts w:eastAsia="Times New Roman"/>
          <w:szCs w:val="20"/>
          <w:lang w:eastAsia="fr-FR"/>
        </w:rPr>
        <w:t>Les études d’impact font partie intégrante des dossiers d’enquête publique ; elles donnent lieu à un avis de l’Autorité environnementale (Conseil général de l’environnement et du développement durable</w:t>
      </w:r>
      <w:r w:rsidR="00BB6B3D" w:rsidRPr="0054340B">
        <w:rPr>
          <w:rFonts w:eastAsia="Times New Roman"/>
          <w:szCs w:val="20"/>
          <w:lang w:eastAsia="fr-FR"/>
        </w:rPr>
        <w:t xml:space="preserve"> - CGEDD</w:t>
      </w:r>
      <w:r w:rsidRPr="0054340B">
        <w:rPr>
          <w:rFonts w:eastAsia="Times New Roman"/>
          <w:szCs w:val="20"/>
          <w:lang w:eastAsia="fr-FR"/>
        </w:rPr>
        <w:t>). Elles traitent de l’ensemble des thématiques relevant du champ de l’environnement et pouvant interagir avec le projet (sol et sous-sol, faune et flore, milieux naturels, milieu humain, paysage et patrimoine, qualité de l’air, etc.) ; elles présentent l’état de l’environnement avant la réalisation du projet ainsi que les impacts positifs et négatifs de ce dernier, en justifiant les choix retenus et en exposant les mesures d’évitement, réduction ou compensation des impacts, ainsi que leurs coûts et leurs modalités de suivi éventuelles.</w:t>
      </w:r>
      <w:r w:rsidR="00BB6B3D" w:rsidRPr="0054340B">
        <w:rPr>
          <w:rFonts w:eastAsia="Times New Roman"/>
          <w:szCs w:val="20"/>
          <w:lang w:eastAsia="fr-FR"/>
        </w:rPr>
        <w:t xml:space="preserve"> Elles comprennent également une analyse des enjeux et impacts à l’échelle globale du Grand Paris Express.</w:t>
      </w:r>
    </w:p>
    <w:p w14:paraId="4BBF1DB4" w14:textId="77777777" w:rsidR="0054340B" w:rsidRPr="0054340B" w:rsidRDefault="0054340B" w:rsidP="0054340B">
      <w:pPr>
        <w:jc w:val="both"/>
        <w:rPr>
          <w:szCs w:val="20"/>
          <w:lang w:eastAsia="fr-FR"/>
        </w:rPr>
      </w:pPr>
    </w:p>
    <w:p w14:paraId="418736DC" w14:textId="7DE35E8D" w:rsidR="008C45C5" w:rsidRDefault="008C45C5" w:rsidP="0054340B">
      <w:pPr>
        <w:jc w:val="both"/>
        <w:rPr>
          <w:rFonts w:eastAsia="Times New Roman"/>
          <w:szCs w:val="20"/>
          <w:lang w:eastAsia="fr-FR"/>
        </w:rPr>
      </w:pPr>
      <w:r w:rsidRPr="0054340B">
        <w:rPr>
          <w:rFonts w:eastAsia="Times New Roman"/>
          <w:szCs w:val="20"/>
          <w:lang w:eastAsia="fr-FR"/>
        </w:rPr>
        <w:t xml:space="preserve">L’ensemble de ces études d’ingénierie environnementale s’appuient sur une </w:t>
      </w:r>
      <w:r w:rsidRPr="0054340B">
        <w:rPr>
          <w:rFonts w:eastAsia="Times New Roman"/>
          <w:b/>
          <w:szCs w:val="20"/>
          <w:lang w:eastAsia="fr-FR"/>
        </w:rPr>
        <w:t>recherche documentaire fine</w:t>
      </w:r>
      <w:r w:rsidRPr="0054340B">
        <w:rPr>
          <w:rFonts w:eastAsia="Times New Roman"/>
          <w:szCs w:val="20"/>
          <w:lang w:eastAsia="fr-FR"/>
        </w:rPr>
        <w:t xml:space="preserve"> (consultation, recoupement et exploitation des bases de données des organismes spécialisés), complétée par des </w:t>
      </w:r>
      <w:r w:rsidRPr="0054340B">
        <w:rPr>
          <w:rFonts w:eastAsia="Times New Roman"/>
          <w:b/>
          <w:szCs w:val="20"/>
          <w:lang w:eastAsia="fr-FR"/>
        </w:rPr>
        <w:t>reconnaissances de terrain spécifiques</w:t>
      </w:r>
      <w:r w:rsidRPr="0054340B">
        <w:rPr>
          <w:rFonts w:eastAsia="Times New Roman"/>
          <w:szCs w:val="20"/>
          <w:lang w:eastAsia="fr-FR"/>
        </w:rPr>
        <w:t xml:space="preserve"> et des </w:t>
      </w:r>
      <w:r w:rsidRPr="0054340B">
        <w:rPr>
          <w:rFonts w:eastAsia="Times New Roman"/>
          <w:b/>
          <w:szCs w:val="20"/>
          <w:lang w:eastAsia="fr-FR"/>
        </w:rPr>
        <w:t>études ou modélisations particulières</w:t>
      </w:r>
      <w:r w:rsidRPr="0054340B">
        <w:rPr>
          <w:rFonts w:eastAsia="Times New Roman"/>
          <w:szCs w:val="20"/>
          <w:lang w:eastAsia="fr-FR"/>
        </w:rPr>
        <w:t> : inventaires faune / flore, diagnostics phytosanitaires, modélisations hydrogéologiques, modélisations des effets vibratoires, etc.</w:t>
      </w:r>
    </w:p>
    <w:p w14:paraId="16AF3119" w14:textId="77777777" w:rsidR="0054340B" w:rsidRPr="0054340B" w:rsidRDefault="0054340B" w:rsidP="0054340B">
      <w:pPr>
        <w:jc w:val="both"/>
        <w:rPr>
          <w:rFonts w:eastAsia="Times New Roman"/>
          <w:szCs w:val="20"/>
          <w:lang w:eastAsia="fr-FR"/>
        </w:rPr>
      </w:pPr>
    </w:p>
    <w:p w14:paraId="7B506618" w14:textId="59FB58E2" w:rsidR="008C45C5" w:rsidRDefault="008C45C5" w:rsidP="0054340B">
      <w:pPr>
        <w:jc w:val="both"/>
        <w:rPr>
          <w:rFonts w:eastAsia="Times New Roman"/>
          <w:szCs w:val="20"/>
          <w:lang w:eastAsia="fr-FR"/>
        </w:rPr>
      </w:pPr>
      <w:r w:rsidRPr="0054340B">
        <w:rPr>
          <w:rFonts w:eastAsia="Times New Roman"/>
          <w:szCs w:val="20"/>
          <w:lang w:eastAsia="fr-FR"/>
        </w:rPr>
        <w:t xml:space="preserve">Dans les domaines de la géologie et de l’hydrogéologie, dont la bonne connaissance est cruciale pour sécuriser les solutions techniques, les coûts et les délais de réalisation du projet, la Société du Grand Paris a lancé </w:t>
      </w:r>
      <w:r w:rsidR="00D51B98" w:rsidRPr="0054340B">
        <w:rPr>
          <w:rFonts w:eastAsia="Times New Roman"/>
          <w:szCs w:val="20"/>
          <w:lang w:eastAsia="fr-FR"/>
        </w:rPr>
        <w:t xml:space="preserve">depuis </w:t>
      </w:r>
      <w:r w:rsidRPr="0054340B">
        <w:rPr>
          <w:rFonts w:eastAsia="Times New Roman"/>
          <w:szCs w:val="20"/>
          <w:lang w:eastAsia="fr-FR"/>
        </w:rPr>
        <w:t xml:space="preserve">2012 </w:t>
      </w:r>
      <w:r w:rsidR="00D51B98" w:rsidRPr="0054340B">
        <w:rPr>
          <w:rFonts w:eastAsia="Times New Roman"/>
          <w:szCs w:val="20"/>
          <w:lang w:eastAsia="fr-FR"/>
        </w:rPr>
        <w:t>trois</w:t>
      </w:r>
      <w:r w:rsidRPr="0054340B">
        <w:rPr>
          <w:rFonts w:eastAsia="Times New Roman"/>
          <w:szCs w:val="20"/>
          <w:lang w:eastAsia="fr-FR"/>
        </w:rPr>
        <w:t xml:space="preserve"> </w:t>
      </w:r>
      <w:r w:rsidRPr="0054340B">
        <w:rPr>
          <w:rFonts w:eastAsia="Times New Roman"/>
          <w:b/>
          <w:szCs w:val="20"/>
          <w:lang w:eastAsia="fr-FR"/>
        </w:rPr>
        <w:t>campagne</w:t>
      </w:r>
      <w:r w:rsidR="00BB6B3D" w:rsidRPr="0054340B">
        <w:rPr>
          <w:rFonts w:eastAsia="Times New Roman"/>
          <w:b/>
          <w:szCs w:val="20"/>
          <w:lang w:eastAsia="fr-FR"/>
        </w:rPr>
        <w:t>s</w:t>
      </w:r>
      <w:r w:rsidRPr="0054340B">
        <w:rPr>
          <w:rFonts w:eastAsia="Times New Roman"/>
          <w:b/>
          <w:szCs w:val="20"/>
          <w:lang w:eastAsia="fr-FR"/>
        </w:rPr>
        <w:t xml:space="preserve"> de sondages géotechniques</w:t>
      </w:r>
      <w:r w:rsidRPr="0054340B">
        <w:rPr>
          <w:rFonts w:eastAsia="Times New Roman"/>
          <w:szCs w:val="20"/>
          <w:lang w:eastAsia="fr-FR"/>
        </w:rPr>
        <w:t>, qui se poursui</w:t>
      </w:r>
      <w:r w:rsidR="00BB6B3D" w:rsidRPr="0054340B">
        <w:rPr>
          <w:rFonts w:eastAsia="Times New Roman"/>
          <w:szCs w:val="20"/>
          <w:lang w:eastAsia="fr-FR"/>
        </w:rPr>
        <w:t>ven</w:t>
      </w:r>
      <w:r w:rsidRPr="0054340B">
        <w:rPr>
          <w:rFonts w:eastAsia="Times New Roman"/>
          <w:szCs w:val="20"/>
          <w:lang w:eastAsia="fr-FR"/>
        </w:rPr>
        <w:t>t au fur et à mesure des différentes phases d’étude</w:t>
      </w:r>
      <w:r w:rsidR="0032668E" w:rsidRPr="0054340B">
        <w:rPr>
          <w:rFonts w:eastAsia="Times New Roman"/>
          <w:szCs w:val="20"/>
          <w:lang w:eastAsia="fr-FR"/>
        </w:rPr>
        <w:t>,</w:t>
      </w:r>
      <w:r w:rsidRPr="0054340B">
        <w:rPr>
          <w:rFonts w:eastAsia="Times New Roman"/>
          <w:szCs w:val="20"/>
          <w:lang w:eastAsia="fr-FR"/>
        </w:rPr>
        <w:t xml:space="preserve"> de conception</w:t>
      </w:r>
      <w:r w:rsidR="00D51B98" w:rsidRPr="0054340B">
        <w:rPr>
          <w:rFonts w:eastAsia="Times New Roman"/>
          <w:szCs w:val="20"/>
          <w:lang w:eastAsia="fr-FR"/>
        </w:rPr>
        <w:t xml:space="preserve"> et de réalisation </w:t>
      </w:r>
      <w:r w:rsidR="0032668E" w:rsidRPr="0054340B">
        <w:rPr>
          <w:rFonts w:eastAsia="Times New Roman"/>
          <w:szCs w:val="20"/>
          <w:lang w:eastAsia="fr-FR"/>
        </w:rPr>
        <w:t>des</w:t>
      </w:r>
      <w:r w:rsidR="00D51B98" w:rsidRPr="0054340B">
        <w:rPr>
          <w:rFonts w:eastAsia="Times New Roman"/>
          <w:szCs w:val="20"/>
          <w:lang w:eastAsia="fr-FR"/>
        </w:rPr>
        <w:t xml:space="preserve"> travaux</w:t>
      </w:r>
      <w:r w:rsidRPr="0054340B">
        <w:rPr>
          <w:rFonts w:eastAsia="Times New Roman"/>
          <w:szCs w:val="20"/>
          <w:lang w:eastAsia="fr-FR"/>
        </w:rPr>
        <w:t xml:space="preserve">. Avec l’avancement des études, le maillage entre les points de sondages s’affine, et le modèle géologique et hydrogéologique s’enrichit et se précise de manière à réduire les aléas. </w:t>
      </w:r>
    </w:p>
    <w:p w14:paraId="1A8DB6E9" w14:textId="77777777" w:rsidR="0054340B" w:rsidRPr="0054340B" w:rsidRDefault="0054340B" w:rsidP="0054340B">
      <w:pPr>
        <w:jc w:val="both"/>
        <w:rPr>
          <w:rFonts w:eastAsia="Times New Roman"/>
          <w:szCs w:val="20"/>
          <w:lang w:eastAsia="fr-FR"/>
        </w:rPr>
      </w:pPr>
    </w:p>
    <w:p w14:paraId="56698E32" w14:textId="49AED632" w:rsidR="008C45C5" w:rsidRDefault="008C45C5" w:rsidP="0054340B">
      <w:pPr>
        <w:jc w:val="both"/>
        <w:rPr>
          <w:rFonts w:eastAsia="Times New Roman"/>
          <w:szCs w:val="20"/>
          <w:lang w:eastAsia="fr-FR"/>
        </w:rPr>
      </w:pPr>
      <w:r w:rsidRPr="0054340B">
        <w:rPr>
          <w:rFonts w:eastAsia="Times New Roman"/>
          <w:szCs w:val="20"/>
          <w:lang w:eastAsia="fr-FR"/>
        </w:rPr>
        <w:t>Les actions ainsi entreprises visent explicitement à prévenir l’apparition de risques techniques ou environnementaux qui résulteraient d’une connaissance insuffisante du contexte. Des démarches similaires ont également été menées dans les autres domaines du projet : ainsi, concernant l’</w:t>
      </w:r>
      <w:r w:rsidRPr="0054340B">
        <w:rPr>
          <w:rFonts w:eastAsia="Times New Roman"/>
          <w:b/>
          <w:szCs w:val="20"/>
          <w:lang w:eastAsia="fr-FR"/>
        </w:rPr>
        <w:t>action foncière</w:t>
      </w:r>
      <w:r w:rsidRPr="0054340B">
        <w:rPr>
          <w:rFonts w:eastAsia="Times New Roman"/>
          <w:szCs w:val="20"/>
          <w:lang w:eastAsia="fr-FR"/>
        </w:rPr>
        <w:t xml:space="preserve">, des groupements de prestataires spécialisés ont été missionnés à partir de 2011 par la Société du Grand Paris afin de conduire dans un premier temps les actions d’identification des propriétaires privés des parcelles susceptibles d’être concernées par le projet, puis les négociations foncières préalables aux acquisitions. </w:t>
      </w:r>
    </w:p>
    <w:p w14:paraId="535C15ED" w14:textId="77777777" w:rsidR="0054340B" w:rsidRPr="0054340B" w:rsidRDefault="0054340B" w:rsidP="0054340B">
      <w:pPr>
        <w:jc w:val="both"/>
        <w:rPr>
          <w:rFonts w:eastAsia="Times New Roman"/>
          <w:szCs w:val="20"/>
          <w:lang w:eastAsia="fr-FR"/>
        </w:rPr>
      </w:pPr>
    </w:p>
    <w:p w14:paraId="2A80E829" w14:textId="77777777" w:rsidR="008C45C5" w:rsidRPr="0054340B" w:rsidRDefault="008C45C5" w:rsidP="0054340B">
      <w:pPr>
        <w:jc w:val="both"/>
        <w:rPr>
          <w:szCs w:val="20"/>
        </w:rPr>
      </w:pPr>
      <w:r w:rsidRPr="0054340B">
        <w:rPr>
          <w:rFonts w:eastAsia="Times New Roman"/>
          <w:szCs w:val="20"/>
          <w:lang w:eastAsia="fr-FR"/>
        </w:rPr>
        <w:lastRenderedPageBreak/>
        <w:t xml:space="preserve">Enfin, la Société du Grand Paris a mis en place des </w:t>
      </w:r>
      <w:r w:rsidRPr="0054340B">
        <w:rPr>
          <w:rFonts w:eastAsia="Times New Roman"/>
          <w:b/>
          <w:szCs w:val="20"/>
          <w:lang w:eastAsia="fr-FR"/>
        </w:rPr>
        <w:t>comités de pilotage</w:t>
      </w:r>
      <w:r w:rsidRPr="0054340B">
        <w:rPr>
          <w:rFonts w:eastAsia="Times New Roman"/>
          <w:szCs w:val="20"/>
          <w:lang w:eastAsia="fr-FR"/>
        </w:rPr>
        <w:t xml:space="preserve"> qui rassemblent les maires, les services techniques des collectivités, les responsables de communautés d’agglomération et des conseils généraux, les représentants d</w:t>
      </w:r>
      <w:r w:rsidR="00BB6B3D" w:rsidRPr="0054340B">
        <w:rPr>
          <w:rFonts w:eastAsia="Times New Roman"/>
          <w:szCs w:val="20"/>
          <w:lang w:eastAsia="fr-FR"/>
        </w:rPr>
        <w:t>’IDFM (anciennement STIF)</w:t>
      </w:r>
      <w:r w:rsidRPr="0054340B">
        <w:rPr>
          <w:rFonts w:eastAsia="Times New Roman"/>
          <w:szCs w:val="20"/>
          <w:lang w:eastAsia="fr-FR"/>
        </w:rPr>
        <w:t>, des opérateurs de transport et des services de l’Etat. Les comités de pilotage sont un lieu d’échange et d’examen des meilleures solutions techniques, urbaines et environnementales pour l’implantation et l’insertion des ouvrages du métro : ils permettent de garantir la bonne connaissance et la prise en compte adaptée des</w:t>
      </w:r>
      <w:r w:rsidRPr="0054340B">
        <w:rPr>
          <w:rFonts w:eastAsia="Times New Roman"/>
          <w:b/>
          <w:szCs w:val="20"/>
          <w:lang w:eastAsia="fr-FR"/>
        </w:rPr>
        <w:t xml:space="preserve"> projets territoriaux</w:t>
      </w:r>
      <w:r w:rsidRPr="0054340B">
        <w:rPr>
          <w:rFonts w:eastAsia="Times New Roman"/>
          <w:szCs w:val="20"/>
          <w:lang w:eastAsia="fr-FR"/>
        </w:rPr>
        <w:t xml:space="preserve"> à l’échelle locale.</w:t>
      </w:r>
    </w:p>
    <w:p w14:paraId="2E573820" w14:textId="77777777" w:rsidR="008C45C5" w:rsidRPr="0054340B" w:rsidRDefault="008C45C5" w:rsidP="0054340B">
      <w:pPr>
        <w:jc w:val="both"/>
        <w:rPr>
          <w:szCs w:val="20"/>
        </w:rPr>
      </w:pPr>
    </w:p>
    <w:p w14:paraId="6310E52F" w14:textId="77777777" w:rsidR="008C45C5" w:rsidRPr="0054340B" w:rsidRDefault="008C45C5" w:rsidP="0083506E">
      <w:pPr>
        <w:pStyle w:val="Paragraphedeliste1"/>
        <w:numPr>
          <w:ilvl w:val="0"/>
          <w:numId w:val="21"/>
        </w:numPr>
        <w:spacing w:line="240" w:lineRule="auto"/>
        <w:jc w:val="both"/>
      </w:pPr>
      <w:r w:rsidRPr="0054340B">
        <w:t>Actions menées pour la maîtrise du calendrier</w:t>
      </w:r>
    </w:p>
    <w:p w14:paraId="1A3539CE" w14:textId="77777777" w:rsidR="008C45C5" w:rsidRPr="0054340B" w:rsidRDefault="008C45C5" w:rsidP="0054340B">
      <w:pPr>
        <w:pStyle w:val="Paragraphedeliste1"/>
        <w:numPr>
          <w:ilvl w:val="0"/>
          <w:numId w:val="0"/>
        </w:numPr>
        <w:spacing w:line="240" w:lineRule="auto"/>
        <w:ind w:left="1440"/>
        <w:jc w:val="both"/>
      </w:pPr>
    </w:p>
    <w:p w14:paraId="06F765BD" w14:textId="0EC2162B" w:rsidR="008C45C5" w:rsidRDefault="008C45C5" w:rsidP="0054340B">
      <w:pPr>
        <w:jc w:val="both"/>
        <w:rPr>
          <w:rFonts w:eastAsia="Times New Roman"/>
          <w:szCs w:val="20"/>
          <w:lang w:eastAsia="fr-FR"/>
        </w:rPr>
      </w:pPr>
      <w:r w:rsidRPr="0054340B">
        <w:rPr>
          <w:rFonts w:eastAsia="Times New Roman"/>
          <w:szCs w:val="20"/>
          <w:lang w:eastAsia="fr-FR"/>
        </w:rPr>
        <w:t xml:space="preserve">Dès sa création, la Société du Grand Paris s’est donc structurée de manière à répondre à cet objectif : </w:t>
      </w:r>
    </w:p>
    <w:p w14:paraId="46D926C5" w14:textId="77777777" w:rsidR="0054340B" w:rsidRPr="0054340B" w:rsidRDefault="0054340B" w:rsidP="0054340B">
      <w:pPr>
        <w:jc w:val="both"/>
        <w:rPr>
          <w:rFonts w:eastAsia="Times New Roman"/>
          <w:szCs w:val="20"/>
          <w:lang w:eastAsia="fr-FR"/>
        </w:rPr>
      </w:pPr>
    </w:p>
    <w:p w14:paraId="5C06A53A" w14:textId="77777777" w:rsidR="008C45C5" w:rsidRPr="0054340B" w:rsidRDefault="008C45C5" w:rsidP="0083506E">
      <w:pPr>
        <w:pStyle w:val="Paragraphedeliste"/>
        <w:numPr>
          <w:ilvl w:val="0"/>
          <w:numId w:val="16"/>
        </w:numPr>
        <w:ind w:left="714" w:hanging="357"/>
        <w:contextualSpacing/>
        <w:jc w:val="both"/>
        <w:rPr>
          <w:rFonts w:eastAsia="Times New Roman"/>
          <w:szCs w:val="20"/>
          <w:lang w:eastAsia="fr-FR"/>
        </w:rPr>
      </w:pPr>
      <w:r w:rsidRPr="0054340B">
        <w:rPr>
          <w:rFonts w:eastAsia="Times New Roman"/>
          <w:szCs w:val="20"/>
          <w:lang w:eastAsia="fr-FR"/>
        </w:rPr>
        <w:t xml:space="preserve">dans son </w:t>
      </w:r>
      <w:r w:rsidRPr="0054340B">
        <w:rPr>
          <w:rFonts w:eastAsia="Times New Roman"/>
          <w:b/>
          <w:szCs w:val="20"/>
          <w:lang w:eastAsia="fr-FR"/>
        </w:rPr>
        <w:t>organisation interne</w:t>
      </w:r>
      <w:r w:rsidRPr="0054340B">
        <w:rPr>
          <w:rFonts w:eastAsia="Times New Roman"/>
          <w:szCs w:val="20"/>
          <w:lang w:eastAsia="fr-FR"/>
        </w:rPr>
        <w:t>, en mettant en place des directions de projet dédiées par tronçon de ligne, permettant de disposer de la réactivité nécessaire au pilotage des études simultanées des différents projets d’infrastructures composant le réseau, tout en s’appuyant sur des unités et directions opérationnelles transversales apportant un soutien et une expertise sur des thématiques communes à tous les tronçons (ingénierie environnementale, infrastructures et méthodes constructives, systèmes, etc.) ;</w:t>
      </w:r>
    </w:p>
    <w:p w14:paraId="05FD8A4D" w14:textId="77777777" w:rsidR="008C45C5" w:rsidRPr="0054340B" w:rsidRDefault="008C45C5" w:rsidP="0083506E">
      <w:pPr>
        <w:pStyle w:val="Paragraphedeliste"/>
        <w:numPr>
          <w:ilvl w:val="0"/>
          <w:numId w:val="16"/>
        </w:numPr>
        <w:ind w:left="714" w:hanging="357"/>
        <w:contextualSpacing/>
        <w:jc w:val="both"/>
        <w:rPr>
          <w:rFonts w:eastAsia="Times New Roman"/>
          <w:szCs w:val="20"/>
          <w:lang w:eastAsia="fr-FR"/>
        </w:rPr>
      </w:pPr>
      <w:r w:rsidRPr="0054340B">
        <w:rPr>
          <w:rFonts w:eastAsia="Times New Roman"/>
          <w:szCs w:val="20"/>
          <w:lang w:eastAsia="fr-FR"/>
        </w:rPr>
        <w:t xml:space="preserve">en désignant, dès l’approbation du schéma d’ensemble du réseau en 2011, les </w:t>
      </w:r>
      <w:r w:rsidRPr="0054340B">
        <w:rPr>
          <w:rFonts w:eastAsia="Times New Roman"/>
          <w:b/>
          <w:szCs w:val="20"/>
          <w:lang w:eastAsia="fr-FR"/>
        </w:rPr>
        <w:t>bureaux d’études d’ingénierie et d’assistance technique</w:t>
      </w:r>
      <w:r w:rsidRPr="0054340B">
        <w:rPr>
          <w:rFonts w:eastAsia="Times New Roman"/>
          <w:szCs w:val="20"/>
          <w:lang w:eastAsia="fr-FR"/>
        </w:rPr>
        <w:t xml:space="preserve"> en charge des études </w:t>
      </w:r>
      <w:r w:rsidR="00BB6B3D" w:rsidRPr="0054340B">
        <w:rPr>
          <w:rFonts w:eastAsia="Times New Roman"/>
          <w:szCs w:val="20"/>
          <w:lang w:eastAsia="fr-FR"/>
        </w:rPr>
        <w:t>ainsi que des dossiers réglementaires selon les phases d’avancement du projet.</w:t>
      </w:r>
    </w:p>
    <w:p w14:paraId="00E42CFE" w14:textId="77777777" w:rsidR="00FA23D4" w:rsidRPr="0054340B" w:rsidRDefault="00FA23D4" w:rsidP="0054340B">
      <w:pPr>
        <w:jc w:val="both"/>
        <w:rPr>
          <w:rFonts w:eastAsia="Times New Roman"/>
          <w:szCs w:val="20"/>
          <w:lang w:eastAsia="fr-FR"/>
        </w:rPr>
      </w:pPr>
    </w:p>
    <w:p w14:paraId="4362BDC5" w14:textId="13B1216C" w:rsidR="008C45C5" w:rsidRDefault="008C45C5" w:rsidP="0054340B">
      <w:pPr>
        <w:jc w:val="both"/>
        <w:rPr>
          <w:rFonts w:eastAsia="Times New Roman"/>
          <w:szCs w:val="20"/>
          <w:lang w:eastAsia="fr-FR"/>
        </w:rPr>
      </w:pPr>
      <w:r w:rsidRPr="0054340B">
        <w:rPr>
          <w:rFonts w:eastAsia="Times New Roman"/>
          <w:szCs w:val="20"/>
          <w:lang w:eastAsia="fr-FR"/>
        </w:rPr>
        <w:t xml:space="preserve">Le respect du calendrier prévisionnel passe également par un processus de </w:t>
      </w:r>
      <w:r w:rsidRPr="0054340B">
        <w:rPr>
          <w:rFonts w:eastAsia="Times New Roman"/>
          <w:b/>
          <w:szCs w:val="20"/>
          <w:lang w:eastAsia="fr-FR"/>
        </w:rPr>
        <w:t>planification détaillée</w:t>
      </w:r>
      <w:r w:rsidRPr="0054340B">
        <w:rPr>
          <w:rFonts w:eastAsia="Times New Roman"/>
          <w:szCs w:val="20"/>
          <w:lang w:eastAsia="fr-FR"/>
        </w:rPr>
        <w:t xml:space="preserve"> des tâches nécessaires à la mise en œuvre du projet, qui a conduit dans certains cas à envisager l’</w:t>
      </w:r>
      <w:r w:rsidRPr="0054340B">
        <w:rPr>
          <w:rFonts w:eastAsia="Times New Roman"/>
          <w:b/>
          <w:szCs w:val="20"/>
          <w:lang w:eastAsia="fr-FR"/>
        </w:rPr>
        <w:t>anticipation de certaines démarches par rapport à la pratique courante des projets d’infrastructures de transport</w:t>
      </w:r>
      <w:r w:rsidRPr="0054340B">
        <w:rPr>
          <w:rFonts w:eastAsia="Times New Roman"/>
          <w:szCs w:val="20"/>
          <w:lang w:eastAsia="fr-FR"/>
        </w:rPr>
        <w:t> :</w:t>
      </w:r>
    </w:p>
    <w:p w14:paraId="0D5BD526" w14:textId="77777777" w:rsidR="0054340B" w:rsidRPr="0054340B" w:rsidRDefault="0054340B" w:rsidP="0054340B">
      <w:pPr>
        <w:jc w:val="both"/>
        <w:rPr>
          <w:rFonts w:eastAsia="Times New Roman"/>
          <w:szCs w:val="20"/>
          <w:lang w:eastAsia="fr-FR"/>
        </w:rPr>
      </w:pPr>
    </w:p>
    <w:p w14:paraId="3E16F5C0" w14:textId="77777777" w:rsidR="008C45C5" w:rsidRPr="0054340B" w:rsidRDefault="008C45C5" w:rsidP="0083506E">
      <w:pPr>
        <w:pStyle w:val="Paragraphedeliste"/>
        <w:numPr>
          <w:ilvl w:val="0"/>
          <w:numId w:val="18"/>
        </w:numPr>
        <w:ind w:left="714" w:hanging="357"/>
        <w:contextualSpacing/>
        <w:jc w:val="both"/>
        <w:rPr>
          <w:rFonts w:eastAsia="Times New Roman"/>
          <w:szCs w:val="20"/>
          <w:lang w:eastAsia="fr-FR"/>
        </w:rPr>
      </w:pPr>
      <w:r w:rsidRPr="0054340B">
        <w:rPr>
          <w:rFonts w:eastAsia="Times New Roman"/>
          <w:szCs w:val="20"/>
          <w:lang w:eastAsia="fr-FR"/>
        </w:rPr>
        <w:t xml:space="preserve">Le nombre très important de parcelles et de tréfonds à acquérir pour la réalisation du réseau fait de la </w:t>
      </w:r>
      <w:r w:rsidRPr="0054340B">
        <w:rPr>
          <w:rFonts w:eastAsia="Times New Roman"/>
          <w:b/>
          <w:szCs w:val="20"/>
          <w:lang w:eastAsia="fr-FR"/>
        </w:rPr>
        <w:t>maîtrise du foncier</w:t>
      </w:r>
      <w:r w:rsidRPr="0054340B">
        <w:rPr>
          <w:rFonts w:eastAsia="Times New Roman"/>
          <w:szCs w:val="20"/>
          <w:lang w:eastAsia="fr-FR"/>
        </w:rPr>
        <w:t xml:space="preserve"> l’une des actions critiques pour la tenue du calendrier. La Société du Grand Paris a retenu les dispositions suivantes pour prévenir le risque de dérive calendaire lié notamment aux démarches d’expropriation pour raison d’utilité publique :</w:t>
      </w:r>
    </w:p>
    <w:p w14:paraId="11DEA6A9" w14:textId="77777777" w:rsidR="008C45C5" w:rsidRPr="0054340B" w:rsidRDefault="008C45C5" w:rsidP="0083506E">
      <w:pPr>
        <w:pStyle w:val="Paragraphedeliste"/>
        <w:numPr>
          <w:ilvl w:val="1"/>
          <w:numId w:val="16"/>
        </w:numPr>
        <w:contextualSpacing/>
        <w:jc w:val="both"/>
        <w:rPr>
          <w:rFonts w:eastAsia="Times New Roman"/>
          <w:szCs w:val="20"/>
          <w:lang w:eastAsia="fr-FR"/>
        </w:rPr>
      </w:pPr>
      <w:r w:rsidRPr="0054340B">
        <w:rPr>
          <w:rFonts w:eastAsia="Times New Roman"/>
          <w:szCs w:val="20"/>
          <w:lang w:eastAsia="fr-FR"/>
        </w:rPr>
        <w:t>favoriser autant que possible les acquisitions à l’amiable et n’envisager l’expropriation qu’en dernier recours ;</w:t>
      </w:r>
    </w:p>
    <w:p w14:paraId="25AC680E" w14:textId="77777777" w:rsidR="008C45C5" w:rsidRPr="0054340B" w:rsidRDefault="008C45C5" w:rsidP="0083506E">
      <w:pPr>
        <w:pStyle w:val="Paragraphedeliste"/>
        <w:numPr>
          <w:ilvl w:val="1"/>
          <w:numId w:val="16"/>
        </w:numPr>
        <w:ind w:left="1434" w:hanging="357"/>
        <w:contextualSpacing/>
        <w:jc w:val="both"/>
        <w:rPr>
          <w:rFonts w:eastAsia="Times New Roman"/>
          <w:szCs w:val="20"/>
          <w:lang w:eastAsia="fr-FR"/>
        </w:rPr>
      </w:pPr>
      <w:r w:rsidRPr="0054340B">
        <w:rPr>
          <w:rFonts w:eastAsia="Times New Roman"/>
          <w:szCs w:val="20"/>
          <w:lang w:eastAsia="fr-FR"/>
        </w:rPr>
        <w:t>présenter à enquête publique les différents tronçons dès que ceux-ci présentent la maturité technique suffisante, de manière à pouvoir bénéficier au plus tôt des déclarations d’utilité publique et, à terme, des arrêtés de cessibilité nécessaires ;</w:t>
      </w:r>
    </w:p>
    <w:p w14:paraId="62209F93" w14:textId="77777777" w:rsidR="008C45C5" w:rsidRPr="0054340B" w:rsidRDefault="008C45C5" w:rsidP="0083506E">
      <w:pPr>
        <w:pStyle w:val="Paragraphedeliste"/>
        <w:numPr>
          <w:ilvl w:val="1"/>
          <w:numId w:val="16"/>
        </w:numPr>
        <w:ind w:left="1434" w:hanging="357"/>
        <w:contextualSpacing/>
        <w:jc w:val="both"/>
        <w:rPr>
          <w:rFonts w:eastAsia="Times New Roman"/>
          <w:szCs w:val="20"/>
          <w:lang w:eastAsia="fr-FR"/>
        </w:rPr>
      </w:pPr>
      <w:r w:rsidRPr="0054340B">
        <w:rPr>
          <w:rFonts w:eastAsia="Times New Roman"/>
          <w:szCs w:val="20"/>
          <w:lang w:eastAsia="fr-FR"/>
        </w:rPr>
        <w:t>demander à l’autorité compétente pour prendre les déclarations d’utilité publique de déclarer urgente la prise de possession des terrains nécessaires au projet, ce qui permet de réduire certains délais administratifs de la phase d’expropriation.</w:t>
      </w:r>
    </w:p>
    <w:p w14:paraId="1896B6FA" w14:textId="77777777" w:rsidR="00F9501D" w:rsidRPr="0054340B" w:rsidRDefault="00F9501D" w:rsidP="0054340B">
      <w:pPr>
        <w:pStyle w:val="Paragraphedeliste"/>
        <w:ind w:left="0"/>
        <w:contextualSpacing/>
        <w:jc w:val="both"/>
        <w:rPr>
          <w:rFonts w:eastAsia="Times New Roman"/>
          <w:szCs w:val="20"/>
          <w:lang w:eastAsia="fr-FR"/>
        </w:rPr>
      </w:pPr>
    </w:p>
    <w:p w14:paraId="68F64FDD" w14:textId="77777777" w:rsidR="00F9501D" w:rsidRPr="0054340B" w:rsidRDefault="008C45C5" w:rsidP="0083506E">
      <w:pPr>
        <w:pStyle w:val="Paragraphedeliste"/>
        <w:numPr>
          <w:ilvl w:val="0"/>
          <w:numId w:val="18"/>
        </w:numPr>
        <w:ind w:left="714" w:hanging="357"/>
        <w:contextualSpacing/>
        <w:jc w:val="both"/>
        <w:rPr>
          <w:rFonts w:eastAsia="Times New Roman"/>
          <w:szCs w:val="20"/>
          <w:lang w:eastAsia="fr-FR"/>
        </w:rPr>
      </w:pPr>
      <w:r w:rsidRPr="0054340B">
        <w:rPr>
          <w:rFonts w:eastAsia="Times New Roman"/>
          <w:szCs w:val="20"/>
          <w:lang w:eastAsia="fr-FR"/>
        </w:rPr>
        <w:t xml:space="preserve">Les études d’ingénierie environnementale (voir titre 1 précédent) ont par ailleurs permis de recenser et de mettre en évidence les différentes procédures complémentaires à prévoir sur chaque </w:t>
      </w:r>
      <w:r w:rsidR="00BB6B3D" w:rsidRPr="0054340B">
        <w:rPr>
          <w:rFonts w:eastAsia="Times New Roman"/>
          <w:szCs w:val="20"/>
          <w:lang w:eastAsia="fr-FR"/>
        </w:rPr>
        <w:t xml:space="preserve">Ligne </w:t>
      </w:r>
      <w:r w:rsidRPr="0054340B">
        <w:rPr>
          <w:rFonts w:eastAsia="Times New Roman"/>
          <w:szCs w:val="20"/>
          <w:lang w:eastAsia="fr-FR"/>
        </w:rPr>
        <w:t xml:space="preserve">(selon les cas : </w:t>
      </w:r>
      <w:r w:rsidR="00BB6B3D" w:rsidRPr="0054340B">
        <w:rPr>
          <w:rFonts w:eastAsia="Times New Roman"/>
          <w:szCs w:val="20"/>
          <w:lang w:eastAsia="fr-FR"/>
        </w:rPr>
        <w:t xml:space="preserve">autorisation environnementale regroupant les </w:t>
      </w:r>
      <w:r w:rsidRPr="0054340B">
        <w:rPr>
          <w:rFonts w:eastAsia="Times New Roman"/>
          <w:szCs w:val="20"/>
          <w:lang w:eastAsia="fr-FR"/>
        </w:rPr>
        <w:t>autorisations ou déclarations au titre de la loi sur l’eau, autorisations ou déclarations au titre des installations classées, autorisations de défrichement, autorisations d’intervention sur espèces protégées…). Sur cette base, une réflexion est menée entre la Société du Grand Paris et les services instructeurs afin d’optimiser le calendrier des procédures d’examen</w:t>
      </w:r>
      <w:r w:rsidR="00F9501D" w:rsidRPr="0054340B">
        <w:rPr>
          <w:rFonts w:eastAsia="Times New Roman"/>
          <w:szCs w:val="20"/>
          <w:lang w:eastAsia="fr-FR"/>
        </w:rPr>
        <w:t>.</w:t>
      </w:r>
    </w:p>
    <w:p w14:paraId="4C62B038" w14:textId="77777777" w:rsidR="00F9501D" w:rsidRPr="0054340B" w:rsidRDefault="00F9501D" w:rsidP="0054340B">
      <w:pPr>
        <w:pStyle w:val="Paragraphedeliste"/>
        <w:ind w:left="0"/>
        <w:contextualSpacing/>
        <w:jc w:val="both"/>
        <w:rPr>
          <w:rFonts w:eastAsia="Times New Roman"/>
          <w:szCs w:val="20"/>
          <w:lang w:eastAsia="fr-FR"/>
        </w:rPr>
      </w:pPr>
    </w:p>
    <w:p w14:paraId="010F3382" w14:textId="77777777" w:rsidR="008C45C5" w:rsidRPr="0054340B" w:rsidRDefault="008C45C5" w:rsidP="0083506E">
      <w:pPr>
        <w:pStyle w:val="Paragraphedeliste"/>
        <w:numPr>
          <w:ilvl w:val="0"/>
          <w:numId w:val="18"/>
        </w:numPr>
        <w:ind w:left="714" w:hanging="357"/>
        <w:contextualSpacing/>
        <w:jc w:val="both"/>
        <w:rPr>
          <w:rFonts w:eastAsia="Times New Roman"/>
          <w:szCs w:val="20"/>
          <w:lang w:eastAsia="fr-FR"/>
        </w:rPr>
      </w:pPr>
      <w:r w:rsidRPr="0054340B">
        <w:rPr>
          <w:rFonts w:eastAsia="Times New Roman"/>
          <w:szCs w:val="20"/>
          <w:lang w:eastAsia="fr-FR"/>
        </w:rPr>
        <w:t xml:space="preserve">Des </w:t>
      </w:r>
      <w:r w:rsidRPr="0054340B">
        <w:rPr>
          <w:rFonts w:eastAsia="Times New Roman"/>
          <w:b/>
          <w:szCs w:val="20"/>
          <w:lang w:eastAsia="fr-FR"/>
        </w:rPr>
        <w:t>problématiques identifiées comme sensibles</w:t>
      </w:r>
      <w:r w:rsidRPr="0054340B">
        <w:rPr>
          <w:rFonts w:eastAsia="Times New Roman"/>
          <w:szCs w:val="20"/>
          <w:lang w:eastAsia="fr-FR"/>
        </w:rPr>
        <w:t xml:space="preserve"> ont également fait l’objet d’une anticipation stratégique par le maître d’ouvrage : ainsi du schéma directeur d’évacuation des déblais, établi par la Société du Grand Paris dès la phase d’études préliminaires, afin de définir de premières orientations et de convenir de modalités d’action partagées avec les intervenants concernés, en amont de la phase opérationnelle.</w:t>
      </w:r>
    </w:p>
    <w:p w14:paraId="3F37A990" w14:textId="77777777" w:rsidR="00266025" w:rsidRPr="0054340B" w:rsidRDefault="00266025" w:rsidP="0054340B">
      <w:pPr>
        <w:pStyle w:val="Paragraphedeliste"/>
        <w:jc w:val="both"/>
        <w:rPr>
          <w:rFonts w:eastAsia="Times New Roman"/>
          <w:szCs w:val="20"/>
          <w:lang w:eastAsia="fr-FR"/>
        </w:rPr>
      </w:pPr>
    </w:p>
    <w:p w14:paraId="5570E103" w14:textId="77777777" w:rsidR="00266025" w:rsidRPr="0054340B" w:rsidRDefault="00266025" w:rsidP="0054340B">
      <w:pPr>
        <w:pStyle w:val="Paragraphedeliste"/>
        <w:ind w:left="714"/>
        <w:contextualSpacing/>
        <w:jc w:val="both"/>
        <w:rPr>
          <w:rFonts w:eastAsia="Times New Roman"/>
          <w:szCs w:val="20"/>
          <w:lang w:eastAsia="fr-FR"/>
        </w:rPr>
      </w:pPr>
    </w:p>
    <w:p w14:paraId="66752460" w14:textId="77777777" w:rsidR="00266025" w:rsidRPr="0054340B" w:rsidRDefault="00266025" w:rsidP="0054340B">
      <w:pPr>
        <w:pStyle w:val="Paragraphedeliste"/>
        <w:ind w:left="714"/>
        <w:contextualSpacing/>
        <w:jc w:val="both"/>
        <w:rPr>
          <w:rFonts w:eastAsia="Times New Roman"/>
          <w:szCs w:val="20"/>
          <w:lang w:eastAsia="fr-FR"/>
        </w:rPr>
      </w:pPr>
    </w:p>
    <w:p w14:paraId="3701737B" w14:textId="77777777" w:rsidR="002C1BD8" w:rsidRPr="0054340B" w:rsidRDefault="002C1BD8" w:rsidP="0054340B">
      <w:pPr>
        <w:jc w:val="both"/>
        <w:rPr>
          <w:szCs w:val="20"/>
        </w:rPr>
      </w:pPr>
    </w:p>
    <w:p w14:paraId="4DB81225" w14:textId="77777777" w:rsidR="002C1BD8" w:rsidRPr="0054340B" w:rsidRDefault="002C1BD8" w:rsidP="0054340B">
      <w:pPr>
        <w:jc w:val="both"/>
        <w:rPr>
          <w:szCs w:val="20"/>
        </w:rPr>
        <w:sectPr w:rsidR="002C1BD8" w:rsidRPr="0054340B" w:rsidSect="00822CCC">
          <w:headerReference w:type="default" r:id="rId61"/>
          <w:pgSz w:w="23818" w:h="16838" w:orient="landscape"/>
          <w:pgMar w:top="1418" w:right="1418" w:bottom="1418" w:left="1418" w:header="709" w:footer="709" w:gutter="0"/>
          <w:cols w:num="2" w:space="708"/>
          <w:docGrid w:linePitch="272"/>
        </w:sectPr>
      </w:pPr>
    </w:p>
    <w:p w14:paraId="299CF4D4" w14:textId="77777777" w:rsidR="008C45C5" w:rsidRPr="0054340B" w:rsidRDefault="008C45C5" w:rsidP="0054340B">
      <w:pPr>
        <w:jc w:val="both"/>
        <w:rPr>
          <w:b/>
          <w:color w:val="931638"/>
          <w:szCs w:val="20"/>
        </w:rPr>
      </w:pPr>
      <w:r w:rsidRPr="0054340B">
        <w:rPr>
          <w:b/>
          <w:color w:val="931638"/>
          <w:szCs w:val="20"/>
        </w:rPr>
        <w:lastRenderedPageBreak/>
        <w:t>Prise en compte des risques dans l’évaluation du projet</w:t>
      </w:r>
    </w:p>
    <w:p w14:paraId="05692543" w14:textId="77777777" w:rsidR="003B02C6" w:rsidRPr="0054340B" w:rsidRDefault="003B02C6" w:rsidP="0054340B">
      <w:pPr>
        <w:widowControl w:val="0"/>
        <w:autoSpaceDE w:val="0"/>
        <w:autoSpaceDN w:val="0"/>
        <w:adjustRightInd w:val="0"/>
        <w:contextualSpacing/>
        <w:jc w:val="both"/>
        <w:rPr>
          <w:rFonts w:eastAsia="Times New Roman"/>
          <w:szCs w:val="20"/>
          <w:lang w:eastAsia="fr-FR"/>
        </w:rPr>
      </w:pPr>
    </w:p>
    <w:p w14:paraId="2DC73051" w14:textId="77777777" w:rsidR="008C45C5" w:rsidRPr="0054340B" w:rsidRDefault="008C45C5" w:rsidP="0054340B">
      <w:pPr>
        <w:widowControl w:val="0"/>
        <w:autoSpaceDE w:val="0"/>
        <w:autoSpaceDN w:val="0"/>
        <w:adjustRightInd w:val="0"/>
        <w:contextualSpacing/>
        <w:jc w:val="both"/>
        <w:rPr>
          <w:rFonts w:eastAsia="Times New Roman"/>
          <w:b/>
          <w:szCs w:val="20"/>
          <w:lang w:eastAsia="fr-FR"/>
        </w:rPr>
      </w:pPr>
      <w:r w:rsidRPr="0054340B">
        <w:rPr>
          <w:rFonts w:eastAsia="Times New Roman"/>
          <w:szCs w:val="20"/>
          <w:lang w:eastAsia="fr-FR"/>
        </w:rPr>
        <w:t xml:space="preserve">Au-delà des actions que la Société du Grand Paris met en œuvre pour traiter les risques en réduisant leur probabilité d’occurrence ou en limitant leurs impacts, l’effort d’évaluation permet de s’assurer de la prise en compte de ces risques dans l’évaluation socio-économique du projet. </w:t>
      </w:r>
      <w:r w:rsidRPr="0054340B">
        <w:rPr>
          <w:rFonts w:eastAsia="Times New Roman"/>
          <w:b/>
          <w:szCs w:val="20"/>
          <w:lang w:eastAsia="fr-FR"/>
        </w:rPr>
        <w:t>Ces actions visent en particulier à minimiser les risques inhérents au choix d’hypothèses dont la réalisation est exogène au maître d’ouvrage.</w:t>
      </w:r>
    </w:p>
    <w:p w14:paraId="4D955703" w14:textId="77777777" w:rsidR="008C45C5" w:rsidRPr="0054340B" w:rsidRDefault="008C45C5" w:rsidP="0054340B">
      <w:pPr>
        <w:widowControl w:val="0"/>
        <w:autoSpaceDE w:val="0"/>
        <w:autoSpaceDN w:val="0"/>
        <w:adjustRightInd w:val="0"/>
        <w:contextualSpacing/>
        <w:jc w:val="both"/>
        <w:rPr>
          <w:rFonts w:eastAsia="Times New Roman"/>
          <w:b/>
          <w:szCs w:val="20"/>
          <w:lang w:eastAsia="fr-FR"/>
        </w:rPr>
      </w:pPr>
    </w:p>
    <w:p w14:paraId="7537E1C8" w14:textId="77777777" w:rsidR="00F9501D" w:rsidRPr="0054340B" w:rsidRDefault="00F9501D" w:rsidP="0054340B">
      <w:pPr>
        <w:widowControl w:val="0"/>
        <w:autoSpaceDE w:val="0"/>
        <w:autoSpaceDN w:val="0"/>
        <w:adjustRightInd w:val="0"/>
        <w:contextualSpacing/>
        <w:jc w:val="both"/>
        <w:rPr>
          <w:rFonts w:eastAsia="Times New Roman"/>
          <w:b/>
          <w:szCs w:val="20"/>
          <w:lang w:eastAsia="fr-FR"/>
        </w:rPr>
      </w:pPr>
    </w:p>
    <w:p w14:paraId="7BDDB1BC" w14:textId="77777777" w:rsidR="008C45C5" w:rsidRPr="0054340B" w:rsidRDefault="008C45C5" w:rsidP="0083506E">
      <w:pPr>
        <w:widowControl w:val="0"/>
        <w:numPr>
          <w:ilvl w:val="0"/>
          <w:numId w:val="22"/>
        </w:numPr>
        <w:autoSpaceDE w:val="0"/>
        <w:autoSpaceDN w:val="0"/>
        <w:adjustRightInd w:val="0"/>
        <w:contextualSpacing/>
        <w:rPr>
          <w:rFonts w:eastAsia="Times New Roman"/>
          <w:b/>
          <w:szCs w:val="20"/>
          <w:lang w:eastAsia="fr-FR"/>
        </w:rPr>
      </w:pPr>
      <w:r w:rsidRPr="0054340B">
        <w:rPr>
          <w:rFonts w:eastAsia="MS Mincho" w:cs="Arial"/>
          <w:b/>
          <w:szCs w:val="20"/>
        </w:rPr>
        <w:t>Prise en compte des risques systémiques dans l’évaluation socio-économique</w:t>
      </w:r>
    </w:p>
    <w:p w14:paraId="02F871B6" w14:textId="77777777" w:rsidR="00F9501D" w:rsidRPr="0054340B" w:rsidRDefault="00F9501D" w:rsidP="0054340B">
      <w:pPr>
        <w:jc w:val="both"/>
        <w:rPr>
          <w:szCs w:val="20"/>
        </w:rPr>
      </w:pPr>
    </w:p>
    <w:p w14:paraId="102F02B3" w14:textId="77777777" w:rsidR="008C45C5" w:rsidRPr="0054340B" w:rsidRDefault="008C45C5" w:rsidP="0054340B">
      <w:pPr>
        <w:jc w:val="both"/>
        <w:rPr>
          <w:rFonts w:eastAsia="Times New Roman"/>
          <w:szCs w:val="20"/>
          <w:lang w:eastAsia="fr-FR"/>
        </w:rPr>
      </w:pPr>
      <w:r w:rsidRPr="0054340B">
        <w:rPr>
          <w:rFonts w:eastAsia="Times New Roman"/>
          <w:szCs w:val="20"/>
          <w:lang w:eastAsia="fr-FR"/>
        </w:rPr>
        <w:t>On appelle risques systémiques tous les risques corrélés d’une façon ou d’une autre à la croissance économique. A titre d’exemple, ces risques portent sur l’évolution future de la croissance économique, la conjoncture financière et le risque de taux, l’évolution démographique… Au niveau de l’évaluation socio-économique ces risques sont traités par la méthode d’analyse de la robustesse du bilan face aux risques systémiques préconisée dans l’instruction de juin 2014.</w:t>
      </w:r>
    </w:p>
    <w:p w14:paraId="76874D9D" w14:textId="77777777" w:rsidR="008C45C5" w:rsidRPr="0054340B" w:rsidRDefault="008C45C5" w:rsidP="0054340B">
      <w:pPr>
        <w:jc w:val="both"/>
        <w:rPr>
          <w:szCs w:val="20"/>
        </w:rPr>
      </w:pPr>
    </w:p>
    <w:p w14:paraId="3FB986E8" w14:textId="77777777" w:rsidR="008C45C5" w:rsidRPr="0054340B" w:rsidRDefault="008C45C5" w:rsidP="0083506E">
      <w:pPr>
        <w:widowControl w:val="0"/>
        <w:numPr>
          <w:ilvl w:val="0"/>
          <w:numId w:val="22"/>
        </w:numPr>
        <w:autoSpaceDE w:val="0"/>
        <w:autoSpaceDN w:val="0"/>
        <w:adjustRightInd w:val="0"/>
        <w:contextualSpacing/>
        <w:rPr>
          <w:rFonts w:eastAsia="MS Mincho" w:cs="Arial"/>
          <w:b/>
          <w:szCs w:val="20"/>
        </w:rPr>
      </w:pPr>
      <w:r w:rsidRPr="0054340B">
        <w:rPr>
          <w:rFonts w:eastAsia="MS Mincho" w:cs="Arial"/>
          <w:b/>
          <w:szCs w:val="20"/>
        </w:rPr>
        <w:t>Prise en compte des risques non systémiques dans l’évaluation socio-économique</w:t>
      </w:r>
    </w:p>
    <w:p w14:paraId="4B794A52" w14:textId="77777777" w:rsidR="005649FD" w:rsidRPr="0054340B" w:rsidRDefault="005649FD" w:rsidP="0054340B">
      <w:pPr>
        <w:jc w:val="both"/>
        <w:rPr>
          <w:szCs w:val="20"/>
        </w:rPr>
      </w:pPr>
    </w:p>
    <w:p w14:paraId="0725160B" w14:textId="77777777" w:rsidR="008C45C5" w:rsidRPr="0054340B" w:rsidRDefault="008C45C5" w:rsidP="0054340B">
      <w:pPr>
        <w:jc w:val="both"/>
        <w:rPr>
          <w:szCs w:val="20"/>
        </w:rPr>
      </w:pPr>
      <w:r w:rsidRPr="0054340B">
        <w:rPr>
          <w:szCs w:val="20"/>
        </w:rPr>
        <w:t>Par opposition aux risques systémiques, les risques non systémiques sont les risques non corrélés à la croissance économique.</w:t>
      </w:r>
    </w:p>
    <w:p w14:paraId="1D209581" w14:textId="77777777" w:rsidR="00EC34CF" w:rsidRPr="0054340B" w:rsidRDefault="00EC34CF" w:rsidP="0054340B">
      <w:pPr>
        <w:jc w:val="both"/>
        <w:rPr>
          <w:i/>
          <w:szCs w:val="20"/>
          <w:u w:val="single"/>
        </w:rPr>
      </w:pPr>
    </w:p>
    <w:p w14:paraId="34CB46D7" w14:textId="3D2A5C38" w:rsidR="008C45C5" w:rsidRPr="0054340B" w:rsidRDefault="008C45C5" w:rsidP="0054340B">
      <w:pPr>
        <w:jc w:val="both"/>
        <w:rPr>
          <w:i/>
          <w:szCs w:val="20"/>
          <w:u w:val="single"/>
        </w:rPr>
      </w:pPr>
      <w:r w:rsidRPr="0054340B">
        <w:rPr>
          <w:i/>
          <w:szCs w:val="20"/>
          <w:u w:val="single"/>
        </w:rPr>
        <w:t>Risques pesant sur les coûts du projet</w:t>
      </w:r>
    </w:p>
    <w:p w14:paraId="75696B56" w14:textId="170CCD07" w:rsidR="00C37259" w:rsidRDefault="008C45C5" w:rsidP="0054340B">
      <w:pPr>
        <w:jc w:val="both"/>
        <w:rPr>
          <w:szCs w:val="20"/>
        </w:rPr>
      </w:pPr>
      <w:r w:rsidRPr="0054340B">
        <w:rPr>
          <w:szCs w:val="20"/>
        </w:rPr>
        <w:t xml:space="preserve">Dans l’évaluation socio-économique, les </w:t>
      </w:r>
      <w:r w:rsidRPr="0054340B">
        <w:rPr>
          <w:i/>
          <w:szCs w:val="20"/>
        </w:rPr>
        <w:t>risques</w:t>
      </w:r>
      <w:r w:rsidR="00C37259" w:rsidRPr="0054340B">
        <w:rPr>
          <w:i/>
          <w:szCs w:val="20"/>
        </w:rPr>
        <w:t xml:space="preserve"> identifiés</w:t>
      </w:r>
      <w:r w:rsidRPr="0054340B">
        <w:rPr>
          <w:szCs w:val="20"/>
        </w:rPr>
        <w:t xml:space="preserve"> pesant sur les coûts de conception / réalisation sont </w:t>
      </w:r>
      <w:r w:rsidR="00C37259" w:rsidRPr="0054340B">
        <w:rPr>
          <w:szCs w:val="20"/>
        </w:rPr>
        <w:t xml:space="preserve">évalués de façon intégrée au moyen d’une méthode probabiliste (méthode de Monte-Carlo, voir </w:t>
      </w:r>
      <w:r w:rsidR="004B7000" w:rsidRPr="0054340B">
        <w:rPr>
          <w:szCs w:val="20"/>
        </w:rPr>
        <w:t xml:space="preserve">développement </w:t>
      </w:r>
      <w:r w:rsidR="00C37259" w:rsidRPr="0054340B">
        <w:rPr>
          <w:i/>
          <w:szCs w:val="20"/>
        </w:rPr>
        <w:t>infra</w:t>
      </w:r>
      <w:r w:rsidR="00C37259" w:rsidRPr="0054340B">
        <w:rPr>
          <w:szCs w:val="20"/>
        </w:rPr>
        <w:t xml:space="preserve"> </w:t>
      </w:r>
      <w:r w:rsidR="004B7000" w:rsidRPr="0054340B">
        <w:rPr>
          <w:b/>
          <w:szCs w:val="20"/>
        </w:rPr>
        <w:t>Le dispositif de management des risques de la SGP,</w:t>
      </w:r>
      <w:r w:rsidR="00C37259" w:rsidRPr="0054340B">
        <w:rPr>
          <w:szCs w:val="20"/>
        </w:rPr>
        <w:t xml:space="preserve"> </w:t>
      </w:r>
      <w:r w:rsidR="001E5B3B" w:rsidRPr="0054340B">
        <w:rPr>
          <w:b/>
          <w:i/>
          <w:szCs w:val="20"/>
        </w:rPr>
        <w:t>5</w:t>
      </w:r>
      <w:r w:rsidR="00C37259" w:rsidRPr="0054340B">
        <w:rPr>
          <w:b/>
          <w:i/>
          <w:szCs w:val="20"/>
        </w:rPr>
        <w:t>. Evaluation quantitative des risques</w:t>
      </w:r>
      <w:r w:rsidR="00C37259" w:rsidRPr="0054340B">
        <w:rPr>
          <w:szCs w:val="20"/>
        </w:rPr>
        <w:t>). Cette évaluation quantitative des risques</w:t>
      </w:r>
      <w:r w:rsidR="001A78B3" w:rsidRPr="0054340B">
        <w:rPr>
          <w:szCs w:val="20"/>
        </w:rPr>
        <w:t>, en place à la SGP depuis 2018,</w:t>
      </w:r>
      <w:r w:rsidR="00C37259" w:rsidRPr="0054340B">
        <w:rPr>
          <w:szCs w:val="20"/>
        </w:rPr>
        <w:t xml:space="preserve"> permet de dimensionner une provision pour risques identifiés (PRI) qui a vocation à couvrir </w:t>
      </w:r>
      <w:r w:rsidRPr="0054340B">
        <w:rPr>
          <w:szCs w:val="20"/>
        </w:rPr>
        <w:t xml:space="preserve">associée </w:t>
      </w:r>
      <w:r w:rsidR="00C37259" w:rsidRPr="0054340B">
        <w:rPr>
          <w:szCs w:val="20"/>
        </w:rPr>
        <w:t xml:space="preserve">les risques </w:t>
      </w:r>
      <w:r w:rsidRPr="0054340B">
        <w:rPr>
          <w:szCs w:val="20"/>
        </w:rPr>
        <w:t>et incertitudes</w:t>
      </w:r>
      <w:r w:rsidR="001A78B3" w:rsidRPr="0054340B">
        <w:rPr>
          <w:szCs w:val="20"/>
        </w:rPr>
        <w:t xml:space="preserve"> identifiés</w:t>
      </w:r>
      <w:r w:rsidRPr="0054340B">
        <w:rPr>
          <w:szCs w:val="20"/>
        </w:rPr>
        <w:t>.</w:t>
      </w:r>
    </w:p>
    <w:p w14:paraId="61223E30" w14:textId="77777777" w:rsidR="0054340B" w:rsidRPr="0054340B" w:rsidRDefault="0054340B" w:rsidP="0054340B">
      <w:pPr>
        <w:jc w:val="both"/>
        <w:rPr>
          <w:b/>
          <w:szCs w:val="20"/>
        </w:rPr>
      </w:pPr>
    </w:p>
    <w:p w14:paraId="6847BC26" w14:textId="79B89D90" w:rsidR="00C37259" w:rsidRDefault="00C37259" w:rsidP="0054340B">
      <w:pPr>
        <w:jc w:val="both"/>
        <w:rPr>
          <w:szCs w:val="20"/>
        </w:rPr>
      </w:pPr>
      <w:r w:rsidRPr="0054340B">
        <w:rPr>
          <w:szCs w:val="20"/>
        </w:rPr>
        <w:t>C</w:t>
      </w:r>
      <w:r w:rsidR="008C45C5" w:rsidRPr="0054340B">
        <w:rPr>
          <w:szCs w:val="20"/>
        </w:rPr>
        <w:t xml:space="preserve">ette </w:t>
      </w:r>
      <w:r w:rsidRPr="0054340B">
        <w:rPr>
          <w:szCs w:val="20"/>
        </w:rPr>
        <w:t xml:space="preserve">évaluation des impacts financiers des risques identifiés </w:t>
      </w:r>
      <w:r w:rsidR="008C45C5" w:rsidRPr="0054340B">
        <w:rPr>
          <w:szCs w:val="20"/>
        </w:rPr>
        <w:t xml:space="preserve">est </w:t>
      </w:r>
      <w:r w:rsidRPr="0054340B">
        <w:rPr>
          <w:szCs w:val="20"/>
        </w:rPr>
        <w:t xml:space="preserve">établie </w:t>
      </w:r>
      <w:r w:rsidR="008C45C5" w:rsidRPr="0054340B">
        <w:rPr>
          <w:szCs w:val="20"/>
        </w:rPr>
        <w:t xml:space="preserve">à dire d’expert </w:t>
      </w:r>
      <w:r w:rsidRPr="0054340B">
        <w:rPr>
          <w:szCs w:val="20"/>
        </w:rPr>
        <w:t xml:space="preserve">ou </w:t>
      </w:r>
      <w:r w:rsidR="008C45C5" w:rsidRPr="0054340B">
        <w:rPr>
          <w:szCs w:val="20"/>
        </w:rPr>
        <w:t xml:space="preserve">par retour d’expérience, c’est-à-dire d’une part sur la base des analyses ex-post d’autres projets d’infrastructures similaires, et d’autre part en prenant en considération l’ensemble des mesures prévues par la maîtrise d’ouvrage et destinées à réduire les risques. </w:t>
      </w:r>
      <w:r w:rsidRPr="0054340B">
        <w:rPr>
          <w:szCs w:val="20"/>
        </w:rPr>
        <w:t xml:space="preserve">La provision qui en résulte </w:t>
      </w:r>
      <w:r w:rsidR="008C45C5" w:rsidRPr="0054340B">
        <w:rPr>
          <w:szCs w:val="20"/>
        </w:rPr>
        <w:t xml:space="preserve">intègre bien l’ensemble des risques </w:t>
      </w:r>
      <w:r w:rsidRPr="0054340B">
        <w:rPr>
          <w:szCs w:val="20"/>
        </w:rPr>
        <w:t xml:space="preserve">identifiés </w:t>
      </w:r>
      <w:r w:rsidR="008C45C5" w:rsidRPr="0054340B">
        <w:rPr>
          <w:szCs w:val="20"/>
        </w:rPr>
        <w:t xml:space="preserve">et </w:t>
      </w:r>
      <w:r w:rsidRPr="0054340B">
        <w:rPr>
          <w:szCs w:val="20"/>
        </w:rPr>
        <w:t xml:space="preserve">tient compte de </w:t>
      </w:r>
      <w:r w:rsidR="008C45C5" w:rsidRPr="0054340B">
        <w:rPr>
          <w:szCs w:val="20"/>
        </w:rPr>
        <w:t>leurs occurrences statistiques, y compris combiné</w:t>
      </w:r>
      <w:r w:rsidR="00B90763" w:rsidRPr="0054340B">
        <w:rPr>
          <w:szCs w:val="20"/>
        </w:rPr>
        <w:t>e</w:t>
      </w:r>
      <w:r w:rsidR="008C45C5" w:rsidRPr="0054340B">
        <w:rPr>
          <w:szCs w:val="20"/>
        </w:rPr>
        <w:t xml:space="preserve">s car elle intègre tous les types </w:t>
      </w:r>
      <w:r w:rsidRPr="0054340B">
        <w:rPr>
          <w:szCs w:val="20"/>
        </w:rPr>
        <w:t xml:space="preserve">de risques </w:t>
      </w:r>
      <w:r w:rsidR="008C45C5" w:rsidRPr="0054340B">
        <w:rPr>
          <w:szCs w:val="20"/>
        </w:rPr>
        <w:t>qui ont pu se produire sur d’autres projets entre les études préalables et la mise en service.</w:t>
      </w:r>
    </w:p>
    <w:p w14:paraId="3A818D42" w14:textId="77777777" w:rsidR="0054340B" w:rsidRPr="0054340B" w:rsidRDefault="0054340B" w:rsidP="0054340B">
      <w:pPr>
        <w:jc w:val="both"/>
        <w:rPr>
          <w:szCs w:val="20"/>
        </w:rPr>
      </w:pPr>
    </w:p>
    <w:p w14:paraId="2309EC07" w14:textId="049AAF35" w:rsidR="008C45C5" w:rsidRPr="0054340B" w:rsidRDefault="00C37259" w:rsidP="0054340B">
      <w:pPr>
        <w:jc w:val="both"/>
        <w:rPr>
          <w:szCs w:val="20"/>
        </w:rPr>
      </w:pPr>
      <w:r w:rsidRPr="0054340B">
        <w:rPr>
          <w:szCs w:val="20"/>
        </w:rPr>
        <w:t xml:space="preserve">Elle n’intègre pas, par construction, les </w:t>
      </w:r>
      <w:r w:rsidRPr="0054340B">
        <w:rPr>
          <w:i/>
          <w:szCs w:val="20"/>
        </w:rPr>
        <w:t>aléas et imprévus</w:t>
      </w:r>
      <w:r w:rsidRPr="0054340B">
        <w:rPr>
          <w:szCs w:val="20"/>
        </w:rPr>
        <w:t xml:space="preserve"> qui ont</w:t>
      </w:r>
      <w:r w:rsidRPr="00830DC0">
        <w:rPr>
          <w:szCs w:val="20"/>
        </w:rPr>
        <w:t xml:space="preserve"> </w:t>
      </w:r>
      <w:r w:rsidR="0032668E" w:rsidRPr="00830DC0">
        <w:rPr>
          <w:szCs w:val="20"/>
        </w:rPr>
        <w:t>eu</w:t>
      </w:r>
      <w:r w:rsidRPr="00830DC0">
        <w:rPr>
          <w:szCs w:val="20"/>
        </w:rPr>
        <w:t xml:space="preserve"> </w:t>
      </w:r>
      <w:r w:rsidRPr="0054340B">
        <w:rPr>
          <w:szCs w:val="20"/>
        </w:rPr>
        <w:t>vocation à être couverts par la provision pour aléas et imprévus (PAI) mutualisée à l’échelle du GPE et déterminée à raison d’un taux forfaitaire appliqué au coût d’investissement</w:t>
      </w:r>
      <w:r w:rsidR="001A78B3" w:rsidRPr="0054340B">
        <w:rPr>
          <w:szCs w:val="20"/>
        </w:rPr>
        <w:t xml:space="preserve"> certain</w:t>
      </w:r>
      <w:r w:rsidRPr="0054340B">
        <w:rPr>
          <w:szCs w:val="20"/>
        </w:rPr>
        <w:t>.</w:t>
      </w:r>
    </w:p>
    <w:p w14:paraId="39B057F0" w14:textId="77777777" w:rsidR="00EC34CF" w:rsidRPr="0054340B" w:rsidRDefault="00EC34CF" w:rsidP="0054340B">
      <w:pPr>
        <w:jc w:val="both"/>
        <w:rPr>
          <w:i/>
          <w:szCs w:val="20"/>
          <w:u w:val="single"/>
        </w:rPr>
      </w:pPr>
    </w:p>
    <w:p w14:paraId="4EB08370" w14:textId="629643B5" w:rsidR="008C45C5" w:rsidRPr="0054340B" w:rsidRDefault="008C45C5" w:rsidP="0054340B">
      <w:pPr>
        <w:jc w:val="both"/>
        <w:rPr>
          <w:i/>
          <w:szCs w:val="20"/>
          <w:u w:val="single"/>
        </w:rPr>
      </w:pPr>
      <w:r w:rsidRPr="0054340B">
        <w:rPr>
          <w:i/>
          <w:szCs w:val="20"/>
          <w:u w:val="single"/>
        </w:rPr>
        <w:t>Risque pesant sur les délais du projet</w:t>
      </w:r>
    </w:p>
    <w:p w14:paraId="64AF30AF" w14:textId="1714DED7" w:rsidR="008C45C5" w:rsidRDefault="008C45C5" w:rsidP="0054340B">
      <w:pPr>
        <w:jc w:val="both"/>
        <w:rPr>
          <w:szCs w:val="20"/>
        </w:rPr>
      </w:pPr>
      <w:r w:rsidRPr="0054340B">
        <w:rPr>
          <w:szCs w:val="20"/>
        </w:rPr>
        <w:t>En ce qui concerne les délais, des tests de décalage dans le temps de la mise en service ont été réalisés à l’échelle du programme</w:t>
      </w:r>
      <w:r w:rsidRPr="0054340B">
        <w:rPr>
          <w:color w:val="FF0000"/>
          <w:szCs w:val="20"/>
        </w:rPr>
        <w:t xml:space="preserve"> </w:t>
      </w:r>
      <w:r w:rsidRPr="0054340B">
        <w:rPr>
          <w:szCs w:val="20"/>
        </w:rPr>
        <w:t xml:space="preserve">et montrent que la VAN décroît à mesure que la date de mise en service est repoussée. </w:t>
      </w:r>
    </w:p>
    <w:p w14:paraId="16B5AAFC" w14:textId="77777777" w:rsidR="0054340B" w:rsidRPr="0054340B" w:rsidRDefault="0054340B" w:rsidP="0054340B">
      <w:pPr>
        <w:jc w:val="both"/>
        <w:rPr>
          <w:strike/>
          <w:color w:val="FF0000"/>
          <w:szCs w:val="20"/>
        </w:rPr>
      </w:pPr>
    </w:p>
    <w:p w14:paraId="2FEB90FA" w14:textId="77777777" w:rsidR="008C45C5" w:rsidRPr="0054340B" w:rsidRDefault="008C45C5" w:rsidP="0054340B">
      <w:pPr>
        <w:jc w:val="both"/>
        <w:rPr>
          <w:szCs w:val="20"/>
        </w:rPr>
      </w:pPr>
      <w:r w:rsidRPr="0054340B">
        <w:rPr>
          <w:szCs w:val="20"/>
        </w:rPr>
        <w:t xml:space="preserve">Par ailleurs, des tests de décalage dans le temps de l’occurrence des avantages économiques ont été également menés, qui permettent de s’assurer qu’un tel retard ne mettrait pas en péril la rentabilité socio-économique de l’opération. </w:t>
      </w:r>
    </w:p>
    <w:p w14:paraId="4516F4BE" w14:textId="77777777" w:rsidR="00344F67" w:rsidRPr="0054340B" w:rsidRDefault="00344F67" w:rsidP="0054340B">
      <w:pPr>
        <w:jc w:val="both"/>
        <w:rPr>
          <w:b/>
          <w:bCs/>
          <w:color w:val="FF0000"/>
          <w:szCs w:val="20"/>
          <w:lang w:val="x-none"/>
        </w:rPr>
      </w:pPr>
    </w:p>
    <w:p w14:paraId="6BA2DB4F" w14:textId="77777777" w:rsidR="008C45C5" w:rsidRPr="0054340B" w:rsidRDefault="008C45C5" w:rsidP="0054340B">
      <w:pPr>
        <w:jc w:val="both"/>
        <w:rPr>
          <w:rFonts w:eastAsia="Times New Roman"/>
          <w:i/>
          <w:szCs w:val="20"/>
          <w:u w:val="single"/>
          <w:lang w:eastAsia="fr-FR"/>
        </w:rPr>
      </w:pPr>
      <w:r w:rsidRPr="0054340B">
        <w:rPr>
          <w:rFonts w:eastAsia="Times New Roman"/>
          <w:i/>
          <w:szCs w:val="20"/>
          <w:u w:val="single"/>
          <w:lang w:eastAsia="fr-FR"/>
        </w:rPr>
        <w:t>Risques pesant sur les avantages du projet (recettes, avantages non monétaires…) et en particulier risques pesant sur la fréquentation future de la ligne</w:t>
      </w:r>
    </w:p>
    <w:p w14:paraId="61C45185" w14:textId="526D46F5" w:rsidR="008C45C5" w:rsidRDefault="008C45C5" w:rsidP="0054340B">
      <w:pPr>
        <w:jc w:val="both"/>
        <w:rPr>
          <w:rFonts w:eastAsia="Times New Roman"/>
          <w:szCs w:val="20"/>
          <w:lang w:eastAsia="fr-FR"/>
        </w:rPr>
      </w:pPr>
      <w:r w:rsidRPr="0054340B">
        <w:rPr>
          <w:rFonts w:eastAsia="Times New Roman"/>
          <w:szCs w:val="20"/>
          <w:lang w:eastAsia="fr-FR"/>
        </w:rPr>
        <w:t>Les hypothèses retenues pour caractériser l’attractivité du futur réseau Grand Paris Express interviennent à plusieurs niveaux de la vie du projet :</w:t>
      </w:r>
    </w:p>
    <w:p w14:paraId="454814CC" w14:textId="77777777" w:rsidR="0054340B" w:rsidRPr="0054340B" w:rsidRDefault="0054340B" w:rsidP="0054340B">
      <w:pPr>
        <w:jc w:val="both"/>
        <w:rPr>
          <w:rFonts w:eastAsia="Times New Roman"/>
          <w:szCs w:val="20"/>
          <w:lang w:eastAsia="fr-FR"/>
        </w:rPr>
      </w:pPr>
    </w:p>
    <w:p w14:paraId="437843D7" w14:textId="77777777" w:rsidR="00F9501D" w:rsidRPr="0054340B" w:rsidRDefault="008C45C5" w:rsidP="0083506E">
      <w:pPr>
        <w:numPr>
          <w:ilvl w:val="0"/>
          <w:numId w:val="16"/>
        </w:numPr>
        <w:ind w:left="714" w:hanging="357"/>
        <w:contextualSpacing/>
        <w:jc w:val="both"/>
        <w:rPr>
          <w:rFonts w:eastAsia="Times New Roman"/>
          <w:szCs w:val="20"/>
          <w:lang w:eastAsia="fr-FR"/>
        </w:rPr>
      </w:pPr>
      <w:r w:rsidRPr="0054340B">
        <w:rPr>
          <w:rFonts w:eastAsia="Times New Roman"/>
          <w:i/>
          <w:szCs w:val="20"/>
          <w:lang w:eastAsia="fr-FR"/>
        </w:rPr>
        <w:t xml:space="preserve">au niveau de l’opportunité du projet : </w:t>
      </w:r>
      <w:r w:rsidRPr="0054340B">
        <w:rPr>
          <w:rFonts w:eastAsia="Times New Roman"/>
          <w:szCs w:val="20"/>
          <w:lang w:eastAsia="fr-FR"/>
        </w:rPr>
        <w:t>les avantages associés à l’évaluation socio-économique dépendent directement de la fréquentation prévisionnelle des différentes lignes ainsi que des effets économiques élargis, qui reposent sur le rôle de « moteur de croissance » du réseau de transport ;</w:t>
      </w:r>
    </w:p>
    <w:p w14:paraId="77CF77DA" w14:textId="77777777" w:rsidR="008C45C5" w:rsidRPr="0054340B" w:rsidRDefault="008C45C5" w:rsidP="0083506E">
      <w:pPr>
        <w:numPr>
          <w:ilvl w:val="0"/>
          <w:numId w:val="16"/>
        </w:numPr>
        <w:ind w:left="714" w:hanging="357"/>
        <w:contextualSpacing/>
        <w:jc w:val="both"/>
        <w:rPr>
          <w:rFonts w:eastAsia="Times New Roman"/>
          <w:szCs w:val="20"/>
          <w:lang w:eastAsia="fr-FR"/>
        </w:rPr>
      </w:pPr>
      <w:r w:rsidRPr="0054340B">
        <w:rPr>
          <w:rFonts w:eastAsia="Times New Roman"/>
          <w:i/>
          <w:szCs w:val="20"/>
          <w:lang w:eastAsia="fr-FR"/>
        </w:rPr>
        <w:t>au niveau de la conception du projet :</w:t>
      </w:r>
      <w:r w:rsidRPr="0054340B">
        <w:rPr>
          <w:rFonts w:eastAsia="Times New Roman"/>
          <w:szCs w:val="20"/>
          <w:lang w:eastAsia="fr-FR"/>
        </w:rPr>
        <w:t xml:space="preserve"> les prévisions de trafic sont également déterminantes dans le dimensionnement des ouvrages et des systèmes.</w:t>
      </w:r>
    </w:p>
    <w:p w14:paraId="6D35E3D9" w14:textId="77777777" w:rsidR="008C45C5" w:rsidRPr="0054340B" w:rsidRDefault="008C45C5" w:rsidP="0054340B">
      <w:pPr>
        <w:jc w:val="both"/>
        <w:rPr>
          <w:szCs w:val="20"/>
        </w:rPr>
      </w:pPr>
    </w:p>
    <w:p w14:paraId="4772ED33" w14:textId="7952B03F" w:rsidR="008C45C5" w:rsidRDefault="008C45C5" w:rsidP="0054340B">
      <w:pPr>
        <w:jc w:val="both"/>
        <w:rPr>
          <w:rFonts w:eastAsia="Times New Roman"/>
          <w:szCs w:val="20"/>
          <w:lang w:eastAsia="fr-FR"/>
        </w:rPr>
      </w:pPr>
      <w:r w:rsidRPr="0054340B">
        <w:rPr>
          <w:rFonts w:eastAsia="Times New Roman"/>
          <w:szCs w:val="20"/>
          <w:lang w:eastAsia="fr-FR"/>
        </w:rPr>
        <w:t>Dans ces domaines, la Société du Grand Paris a fait le choix d’une approche consistant à disposer de plusieurs séries de résultats et à les croiser entre eux, de manière à apprécier la robustesse des conclusions qui en sont tirées, que celles-ci concernent l’intérêt du projet ou bien les caractéristiques détaillées des différents systèmes et ouvrages :</w:t>
      </w:r>
    </w:p>
    <w:p w14:paraId="74404E6E" w14:textId="77777777" w:rsidR="0054340B" w:rsidRPr="0054340B" w:rsidRDefault="0054340B" w:rsidP="0054340B">
      <w:pPr>
        <w:jc w:val="both"/>
        <w:rPr>
          <w:rFonts w:eastAsia="Times New Roman"/>
          <w:szCs w:val="20"/>
          <w:lang w:eastAsia="fr-FR"/>
        </w:rPr>
      </w:pPr>
    </w:p>
    <w:p w14:paraId="1F0290A0" w14:textId="77777777" w:rsidR="008C45C5" w:rsidRPr="0054340B" w:rsidRDefault="008C45C5" w:rsidP="0083506E">
      <w:pPr>
        <w:numPr>
          <w:ilvl w:val="0"/>
          <w:numId w:val="19"/>
        </w:numPr>
        <w:ind w:left="714" w:hanging="357"/>
        <w:contextualSpacing/>
        <w:jc w:val="both"/>
        <w:rPr>
          <w:rFonts w:eastAsia="Times New Roman"/>
          <w:szCs w:val="20"/>
          <w:lang w:eastAsia="fr-FR"/>
        </w:rPr>
      </w:pPr>
      <w:r w:rsidRPr="0054340B">
        <w:rPr>
          <w:rFonts w:eastAsia="Times New Roman"/>
          <w:szCs w:val="20"/>
          <w:lang w:eastAsia="fr-FR"/>
        </w:rPr>
        <w:t>En matière d’évaluation socio-économique :</w:t>
      </w:r>
    </w:p>
    <w:p w14:paraId="40730E76" w14:textId="77777777" w:rsidR="008C45C5" w:rsidRPr="0054340B" w:rsidRDefault="008C45C5" w:rsidP="0054340B">
      <w:pPr>
        <w:ind w:left="714"/>
        <w:contextualSpacing/>
        <w:jc w:val="both"/>
        <w:rPr>
          <w:rFonts w:eastAsia="Times New Roman"/>
          <w:szCs w:val="20"/>
          <w:lang w:eastAsia="fr-FR"/>
        </w:rPr>
      </w:pPr>
    </w:p>
    <w:p w14:paraId="18FE9186" w14:textId="1B90F06A" w:rsidR="008C45C5" w:rsidRPr="0054340B" w:rsidRDefault="008C45C5" w:rsidP="0083506E">
      <w:pPr>
        <w:numPr>
          <w:ilvl w:val="0"/>
          <w:numId w:val="20"/>
        </w:numPr>
        <w:contextualSpacing/>
        <w:jc w:val="both"/>
        <w:rPr>
          <w:rFonts w:eastAsia="Times New Roman"/>
          <w:szCs w:val="20"/>
          <w:lang w:eastAsia="fr-FR"/>
        </w:rPr>
      </w:pPr>
      <w:r w:rsidRPr="0054340B">
        <w:rPr>
          <w:rFonts w:eastAsia="Times New Roman"/>
          <w:szCs w:val="20"/>
          <w:lang w:eastAsia="fr-FR"/>
        </w:rPr>
        <w:t>Les hypothèses macroéconomiques prennent un</w:t>
      </w:r>
      <w:r w:rsidR="00EC34CF" w:rsidRPr="0054340B">
        <w:rPr>
          <w:rFonts w:eastAsia="Times New Roman"/>
          <w:b/>
          <w:szCs w:val="20"/>
          <w:lang w:eastAsia="fr-FR"/>
        </w:rPr>
        <w:t xml:space="preserve"> cadrage de référence</w:t>
      </w:r>
      <w:r w:rsidRPr="0054340B">
        <w:rPr>
          <w:rFonts w:eastAsia="Times New Roman"/>
          <w:szCs w:val="20"/>
          <w:lang w:eastAsia="fr-FR"/>
        </w:rPr>
        <w:t xml:space="preserve"> dit « </w:t>
      </w:r>
      <w:r w:rsidRPr="0054340B">
        <w:rPr>
          <w:rFonts w:eastAsia="Times New Roman"/>
          <w:b/>
          <w:szCs w:val="20"/>
          <w:lang w:eastAsia="fr-FR"/>
        </w:rPr>
        <w:t>tendanciel</w:t>
      </w:r>
      <w:r w:rsidRPr="0054340B">
        <w:rPr>
          <w:rFonts w:eastAsia="Times New Roman"/>
          <w:szCs w:val="20"/>
          <w:lang w:eastAsia="fr-FR"/>
        </w:rPr>
        <w:t xml:space="preserve"> », </w:t>
      </w:r>
      <w:r w:rsidR="00EC34CF" w:rsidRPr="0054340B">
        <w:rPr>
          <w:rFonts w:eastAsia="Times New Roman"/>
          <w:szCs w:val="20"/>
          <w:lang w:eastAsia="fr-FR"/>
        </w:rPr>
        <w:t xml:space="preserve">en l’absence de réalisation du Grand Paris Express, </w:t>
      </w:r>
      <w:r w:rsidRPr="0054340B">
        <w:rPr>
          <w:rFonts w:eastAsia="Times New Roman"/>
          <w:szCs w:val="20"/>
          <w:lang w:eastAsia="fr-FR"/>
        </w:rPr>
        <w:t>qui fait l’hypothèse d’un prolongement des tendances passées en termes de croissance socio-démographique</w:t>
      </w:r>
      <w:r w:rsidR="00EC34CF" w:rsidRPr="0054340B">
        <w:rPr>
          <w:rFonts w:eastAsia="Times New Roman"/>
          <w:szCs w:val="20"/>
          <w:lang w:eastAsia="fr-FR"/>
        </w:rPr>
        <w:t>.</w:t>
      </w:r>
      <w:r w:rsidRPr="0054340B">
        <w:rPr>
          <w:rFonts w:eastAsia="Times New Roman"/>
          <w:szCs w:val="20"/>
          <w:lang w:eastAsia="fr-FR"/>
        </w:rPr>
        <w:t xml:space="preserve"> </w:t>
      </w:r>
    </w:p>
    <w:p w14:paraId="79216E2F" w14:textId="77777777" w:rsidR="008C45C5" w:rsidRPr="0054340B" w:rsidRDefault="008C45C5" w:rsidP="0054340B">
      <w:pPr>
        <w:ind w:left="284"/>
        <w:contextualSpacing/>
        <w:jc w:val="both"/>
        <w:rPr>
          <w:rFonts w:eastAsia="Times New Roman"/>
          <w:szCs w:val="20"/>
          <w:lang w:eastAsia="fr-FR"/>
        </w:rPr>
      </w:pPr>
    </w:p>
    <w:p w14:paraId="45DB9986" w14:textId="0C3798A6" w:rsidR="008C45C5" w:rsidRPr="0054340B" w:rsidRDefault="008C45C5" w:rsidP="0083506E">
      <w:pPr>
        <w:numPr>
          <w:ilvl w:val="0"/>
          <w:numId w:val="20"/>
        </w:numPr>
        <w:contextualSpacing/>
        <w:jc w:val="both"/>
        <w:rPr>
          <w:rFonts w:eastAsia="Times New Roman"/>
          <w:szCs w:val="20"/>
          <w:lang w:eastAsia="fr-FR"/>
        </w:rPr>
      </w:pPr>
      <w:r w:rsidRPr="0054340B">
        <w:rPr>
          <w:rFonts w:eastAsia="Times New Roman"/>
          <w:szCs w:val="20"/>
          <w:lang w:eastAsia="fr-FR"/>
        </w:rPr>
        <w:t xml:space="preserve">Un </w:t>
      </w:r>
      <w:r w:rsidRPr="0054340B">
        <w:rPr>
          <w:rFonts w:eastAsia="Times New Roman"/>
          <w:b/>
          <w:szCs w:val="20"/>
          <w:lang w:eastAsia="fr-FR"/>
        </w:rPr>
        <w:t>raisonnement en « fourchette »</w:t>
      </w:r>
      <w:r w:rsidRPr="0054340B">
        <w:rPr>
          <w:rFonts w:eastAsia="Times New Roman"/>
          <w:szCs w:val="20"/>
          <w:lang w:eastAsia="fr-FR"/>
        </w:rPr>
        <w:t xml:space="preserve"> est également privilégié s’agissant de la situation de projet, avec notamment l’utilisation de </w:t>
      </w:r>
      <w:r w:rsidR="00EC34CF" w:rsidRPr="0054340B">
        <w:rPr>
          <w:rFonts w:eastAsia="Times New Roman"/>
          <w:b/>
          <w:szCs w:val="20"/>
          <w:lang w:eastAsia="fr-FR"/>
        </w:rPr>
        <w:t>deux</w:t>
      </w:r>
      <w:r w:rsidRPr="0054340B">
        <w:rPr>
          <w:rFonts w:eastAsia="Times New Roman"/>
          <w:b/>
          <w:szCs w:val="20"/>
          <w:lang w:eastAsia="fr-FR"/>
        </w:rPr>
        <w:t xml:space="preserve"> scénarios socio-démographiques prospectifs distincts</w:t>
      </w:r>
      <w:r w:rsidRPr="0054340B">
        <w:rPr>
          <w:rFonts w:eastAsia="Times New Roman"/>
          <w:szCs w:val="20"/>
          <w:lang w:eastAsia="fr-FR"/>
        </w:rPr>
        <w:t xml:space="preserve"> permettant de caractériser la </w:t>
      </w:r>
      <w:r w:rsidRPr="0054340B">
        <w:rPr>
          <w:rFonts w:eastAsia="Times New Roman"/>
          <w:b/>
          <w:szCs w:val="20"/>
          <w:lang w:eastAsia="fr-FR"/>
        </w:rPr>
        <w:t>situation avec projet</w:t>
      </w:r>
      <w:r w:rsidRPr="0054340B">
        <w:rPr>
          <w:rFonts w:eastAsia="Times New Roman"/>
          <w:szCs w:val="20"/>
          <w:lang w:eastAsia="fr-FR"/>
        </w:rPr>
        <w:t xml:space="preserve"> et correspondant à des hypothèses « basse » </w:t>
      </w:r>
      <w:r w:rsidR="00EC34CF" w:rsidRPr="0054340B">
        <w:rPr>
          <w:rFonts w:eastAsia="Times New Roman"/>
          <w:szCs w:val="20"/>
          <w:lang w:eastAsia="fr-FR"/>
        </w:rPr>
        <w:t xml:space="preserve">et </w:t>
      </w:r>
      <w:r w:rsidRPr="0054340B">
        <w:rPr>
          <w:rFonts w:eastAsia="Times New Roman"/>
          <w:szCs w:val="20"/>
          <w:lang w:eastAsia="fr-FR"/>
        </w:rPr>
        <w:t xml:space="preserve">« haute » </w:t>
      </w:r>
      <w:r w:rsidR="00EC34CF" w:rsidRPr="0054340B">
        <w:rPr>
          <w:rFonts w:eastAsia="Times New Roman"/>
          <w:szCs w:val="20"/>
          <w:lang w:eastAsia="fr-FR"/>
        </w:rPr>
        <w:t xml:space="preserve">de croissance des emplois entre 2005 et 2030. </w:t>
      </w:r>
      <w:r w:rsidRPr="0054340B">
        <w:rPr>
          <w:rFonts w:eastAsia="Times New Roman"/>
          <w:szCs w:val="20"/>
          <w:lang w:eastAsia="fr-FR"/>
        </w:rPr>
        <w:t xml:space="preserve">Le conseil scientifique de la Société du Grand Paris, composé </w:t>
      </w:r>
      <w:r w:rsidR="00EC34CF" w:rsidRPr="0054340B">
        <w:rPr>
          <w:rFonts w:eastAsia="Times New Roman"/>
          <w:szCs w:val="20"/>
          <w:lang w:eastAsia="fr-FR"/>
        </w:rPr>
        <w:t>de personnalités académiques de haut niveau</w:t>
      </w:r>
      <w:r w:rsidRPr="0054340B">
        <w:rPr>
          <w:rFonts w:eastAsia="Times New Roman"/>
          <w:szCs w:val="20"/>
          <w:lang w:eastAsia="fr-FR"/>
        </w:rPr>
        <w:t xml:space="preserve"> dans les domaines de l’économie urbaine et des transports, a estimé que ces cadrages couvraient raisonnablement les différents scénarios possibles. La Société du Grand Paris mène en parallèle plusieurs études visant à consolider les hypothèses de croissance socio-démographique utilisées pour qualifier et quantifier l’intérêt du projet, notamment au travers de l’utilisation de modèles « LUTI » (Land Use Transport Interaction). </w:t>
      </w:r>
    </w:p>
    <w:p w14:paraId="149D8266" w14:textId="77777777" w:rsidR="008C45C5" w:rsidRPr="0054340B" w:rsidRDefault="008C45C5" w:rsidP="0054340B">
      <w:pPr>
        <w:ind w:left="720"/>
        <w:contextualSpacing/>
        <w:jc w:val="both"/>
        <w:rPr>
          <w:rFonts w:eastAsia="Times New Roman"/>
          <w:szCs w:val="20"/>
          <w:lang w:eastAsia="fr-FR"/>
        </w:rPr>
      </w:pPr>
    </w:p>
    <w:p w14:paraId="79A038ED" w14:textId="6A2B42A9" w:rsidR="008C45C5" w:rsidRPr="0054340B" w:rsidRDefault="008C45C5" w:rsidP="0054340B">
      <w:pPr>
        <w:jc w:val="both"/>
        <w:rPr>
          <w:rFonts w:eastAsia="Times New Roman"/>
          <w:szCs w:val="20"/>
          <w:lang w:eastAsia="fr-FR"/>
        </w:rPr>
      </w:pPr>
      <w:r w:rsidRPr="0054340B">
        <w:rPr>
          <w:rFonts w:eastAsia="Times New Roman"/>
          <w:szCs w:val="20"/>
          <w:lang w:eastAsia="fr-FR"/>
        </w:rPr>
        <w:t xml:space="preserve">En matière de dimensionnement des systèmes et des ouvrages, la Société du Grand Paris a </w:t>
      </w:r>
      <w:r w:rsidRPr="0054340B">
        <w:rPr>
          <w:rFonts w:eastAsia="Times New Roman"/>
          <w:b/>
          <w:szCs w:val="20"/>
          <w:lang w:eastAsia="fr-FR"/>
        </w:rPr>
        <w:t>recours à plusieurs outils de modélisation des trafics prévisionnels</w:t>
      </w:r>
      <w:r w:rsidRPr="0054340B">
        <w:rPr>
          <w:rFonts w:eastAsia="Times New Roman"/>
          <w:szCs w:val="20"/>
          <w:lang w:eastAsia="fr-FR"/>
        </w:rPr>
        <w:t xml:space="preserve">, en particulier les modèles gérés et utilisés par la Direction régionale et interdépartementale de l’équipement et de l’aménagement (DRIEA), la RATP et </w:t>
      </w:r>
      <w:r w:rsidR="00EC34CF" w:rsidRPr="0054340B">
        <w:rPr>
          <w:rFonts w:eastAsia="Times New Roman"/>
          <w:szCs w:val="20"/>
          <w:lang w:eastAsia="fr-FR"/>
        </w:rPr>
        <w:t>Île-de-France Mobilités, l’ex</w:t>
      </w:r>
      <w:r w:rsidRPr="0054340B">
        <w:rPr>
          <w:rFonts w:eastAsia="Times New Roman"/>
          <w:szCs w:val="20"/>
          <w:lang w:eastAsia="fr-FR"/>
        </w:rPr>
        <w:t xml:space="preserve"> Syndicat des transports d’Ile-de-France (STIF). La comparaison des éléments produits par ces différents outils </w:t>
      </w:r>
      <w:r w:rsidR="00EC34CF" w:rsidRPr="0054340B">
        <w:rPr>
          <w:rFonts w:eastAsia="Times New Roman"/>
          <w:szCs w:val="20"/>
          <w:lang w:eastAsia="fr-FR"/>
        </w:rPr>
        <w:t xml:space="preserve">a </w:t>
      </w:r>
      <w:r w:rsidRPr="0054340B">
        <w:rPr>
          <w:rFonts w:eastAsia="Times New Roman"/>
          <w:szCs w:val="20"/>
          <w:lang w:eastAsia="fr-FR"/>
        </w:rPr>
        <w:t>perm</w:t>
      </w:r>
      <w:r w:rsidR="00EC34CF" w:rsidRPr="0054340B">
        <w:rPr>
          <w:rFonts w:eastAsia="Times New Roman"/>
          <w:szCs w:val="20"/>
          <w:lang w:eastAsia="fr-FR"/>
        </w:rPr>
        <w:t xml:space="preserve">is </w:t>
      </w:r>
      <w:r w:rsidRPr="0054340B">
        <w:rPr>
          <w:rFonts w:eastAsia="Times New Roman"/>
          <w:szCs w:val="20"/>
          <w:lang w:eastAsia="fr-FR"/>
        </w:rPr>
        <w:t>de fiabiliser les résultats</w:t>
      </w:r>
      <w:r w:rsidR="00EC34CF" w:rsidRPr="0054340B">
        <w:rPr>
          <w:rFonts w:eastAsia="Times New Roman"/>
          <w:szCs w:val="20"/>
          <w:lang w:eastAsia="fr-FR"/>
        </w:rPr>
        <w:t xml:space="preserve"> dans la première étape de 2010 à 2020</w:t>
      </w:r>
      <w:r w:rsidRPr="0054340B">
        <w:rPr>
          <w:rFonts w:eastAsia="Times New Roman"/>
          <w:szCs w:val="20"/>
          <w:lang w:eastAsia="fr-FR"/>
        </w:rPr>
        <w:t xml:space="preserve">, en </w:t>
      </w:r>
      <w:r w:rsidR="00EC34CF" w:rsidRPr="0054340B">
        <w:rPr>
          <w:rFonts w:eastAsia="Times New Roman"/>
          <w:szCs w:val="20"/>
          <w:lang w:eastAsia="fr-FR"/>
        </w:rPr>
        <w:t>réduisant</w:t>
      </w:r>
      <w:r w:rsidRPr="0054340B">
        <w:rPr>
          <w:rFonts w:eastAsia="Times New Roman"/>
          <w:szCs w:val="20"/>
          <w:lang w:eastAsia="fr-FR"/>
        </w:rPr>
        <w:t xml:space="preserve"> les risques de biais liés à l’utilisation d’un outil unique.</w:t>
      </w:r>
      <w:r w:rsidR="00EC34CF" w:rsidRPr="0054340B">
        <w:rPr>
          <w:rFonts w:eastAsia="Times New Roman"/>
          <w:szCs w:val="20"/>
          <w:lang w:eastAsia="fr-FR"/>
        </w:rPr>
        <w:t xml:space="preserve"> Ce travail sera accompli de la même manière pour les résultats </w:t>
      </w:r>
      <w:r w:rsidR="00EC0AB5" w:rsidRPr="0054340B">
        <w:rPr>
          <w:rFonts w:eastAsia="Times New Roman"/>
          <w:szCs w:val="20"/>
          <w:lang w:eastAsia="fr-FR"/>
        </w:rPr>
        <w:t>du modèle MODUS-3 utilisés dans la présente évaluation.</w:t>
      </w:r>
    </w:p>
    <w:p w14:paraId="12B4CCF1" w14:textId="77777777" w:rsidR="003B02C6" w:rsidRPr="0054340B" w:rsidRDefault="003B02C6" w:rsidP="0054340B">
      <w:pPr>
        <w:jc w:val="both"/>
        <w:rPr>
          <w:szCs w:val="20"/>
        </w:rPr>
      </w:pPr>
    </w:p>
    <w:p w14:paraId="1C90527D" w14:textId="77777777" w:rsidR="008C45C5" w:rsidRPr="0054340B" w:rsidRDefault="008C45C5" w:rsidP="0054340B">
      <w:pPr>
        <w:jc w:val="both"/>
        <w:rPr>
          <w:szCs w:val="20"/>
        </w:rPr>
      </w:pPr>
    </w:p>
    <w:p w14:paraId="67B94B51" w14:textId="77777777" w:rsidR="008C45C5" w:rsidRPr="0054340B" w:rsidRDefault="008C45C5" w:rsidP="0083506E">
      <w:pPr>
        <w:widowControl w:val="0"/>
        <w:numPr>
          <w:ilvl w:val="0"/>
          <w:numId w:val="22"/>
        </w:numPr>
        <w:autoSpaceDE w:val="0"/>
        <w:autoSpaceDN w:val="0"/>
        <w:adjustRightInd w:val="0"/>
        <w:contextualSpacing/>
        <w:jc w:val="both"/>
        <w:rPr>
          <w:rFonts w:eastAsia="MS Mincho" w:cs="Arial"/>
          <w:b/>
          <w:szCs w:val="20"/>
        </w:rPr>
      </w:pPr>
      <w:r w:rsidRPr="0054340B">
        <w:rPr>
          <w:rFonts w:eastAsia="MS Mincho" w:cs="Arial"/>
          <w:b/>
          <w:szCs w:val="20"/>
        </w:rPr>
        <w:t>Conclusion</w:t>
      </w:r>
    </w:p>
    <w:p w14:paraId="4A8B4E52" w14:textId="77777777" w:rsidR="008C45C5" w:rsidRPr="0054340B" w:rsidRDefault="008C45C5" w:rsidP="0054340B">
      <w:pPr>
        <w:jc w:val="both"/>
        <w:rPr>
          <w:b/>
          <w:szCs w:val="20"/>
        </w:rPr>
      </w:pPr>
    </w:p>
    <w:p w14:paraId="5D488F35" w14:textId="18A9498E" w:rsidR="008C45C5" w:rsidRPr="0054340B" w:rsidRDefault="008C45C5" w:rsidP="0054340B">
      <w:pPr>
        <w:jc w:val="both"/>
        <w:rPr>
          <w:szCs w:val="20"/>
        </w:rPr>
      </w:pPr>
      <w:r w:rsidRPr="0054340B">
        <w:rPr>
          <w:rFonts w:eastAsia="Times New Roman"/>
          <w:szCs w:val="20"/>
          <w:lang w:eastAsia="fr-FR"/>
        </w:rPr>
        <w:t xml:space="preserve">L’évaluation socio-économique du </w:t>
      </w:r>
      <w:r w:rsidR="00610784" w:rsidRPr="0054340B">
        <w:rPr>
          <w:rFonts w:eastAsia="Times New Roman"/>
          <w:szCs w:val="20"/>
          <w:lang w:eastAsia="fr-FR"/>
        </w:rPr>
        <w:t xml:space="preserve">projet </w:t>
      </w:r>
      <w:r w:rsidRPr="0054340B">
        <w:rPr>
          <w:rFonts w:eastAsia="Times New Roman"/>
          <w:szCs w:val="20"/>
          <w:lang w:eastAsia="fr-FR"/>
        </w:rPr>
        <w:t>a donc bien intégré les différents risques, soit sous forme de test de stress dans le cas spécifique des risques systémiques, soit sous la forme d’hypothèses prudentes (intégration d’un fort taux d’aléas dans les coûts d’investissement), soit par la construction de scénarios contrastés de demande.</w:t>
      </w:r>
    </w:p>
    <w:p w14:paraId="43AAC1EA" w14:textId="77777777" w:rsidR="008C45C5" w:rsidRPr="0054340B" w:rsidRDefault="008C45C5" w:rsidP="0054340B">
      <w:pPr>
        <w:jc w:val="both"/>
        <w:rPr>
          <w:szCs w:val="20"/>
        </w:rPr>
      </w:pPr>
    </w:p>
    <w:p w14:paraId="08DE09CC" w14:textId="77777777" w:rsidR="008C45C5" w:rsidRPr="0054340B" w:rsidRDefault="005B6E09" w:rsidP="0054340B">
      <w:pPr>
        <w:jc w:val="both"/>
        <w:rPr>
          <w:b/>
          <w:color w:val="931638"/>
          <w:szCs w:val="20"/>
        </w:rPr>
      </w:pPr>
      <w:r w:rsidRPr="0054340B">
        <w:rPr>
          <w:b/>
          <w:color w:val="931638"/>
          <w:szCs w:val="20"/>
        </w:rPr>
        <w:t>Le dispositif de management des risques de la SGP</w:t>
      </w:r>
    </w:p>
    <w:p w14:paraId="492A9E24" w14:textId="77777777" w:rsidR="003B02C6" w:rsidRPr="0054340B" w:rsidRDefault="003B02C6" w:rsidP="0054340B">
      <w:pPr>
        <w:jc w:val="both"/>
        <w:rPr>
          <w:szCs w:val="20"/>
        </w:rPr>
      </w:pPr>
    </w:p>
    <w:p w14:paraId="0301AC6A" w14:textId="77777777" w:rsidR="00667D84" w:rsidRPr="0054340B" w:rsidRDefault="00001B20" w:rsidP="0054340B">
      <w:pPr>
        <w:jc w:val="both"/>
        <w:rPr>
          <w:szCs w:val="20"/>
        </w:rPr>
      </w:pPr>
      <w:r w:rsidRPr="0054340B">
        <w:rPr>
          <w:szCs w:val="20"/>
        </w:rPr>
        <w:t xml:space="preserve">Le dispositif de management des risques </w:t>
      </w:r>
      <w:r w:rsidR="00667D84" w:rsidRPr="0054340B">
        <w:rPr>
          <w:szCs w:val="20"/>
        </w:rPr>
        <w:t>est supervisé par le Conseil de S</w:t>
      </w:r>
      <w:r w:rsidRPr="0054340B">
        <w:rPr>
          <w:szCs w:val="20"/>
        </w:rPr>
        <w:t xml:space="preserve">urveillance de la SGP. </w:t>
      </w:r>
      <w:r w:rsidR="00667D84" w:rsidRPr="0054340B">
        <w:rPr>
          <w:szCs w:val="20"/>
        </w:rPr>
        <w:t>La Direction des Risques, de l’Audit et du Contrôle interne (DRAC), créée en 2016, assure la conception, la mise en œuvre et le contrôle de ce dispositif.</w:t>
      </w:r>
    </w:p>
    <w:p w14:paraId="7240101C" w14:textId="77777777" w:rsidR="003B02C6" w:rsidRPr="0054340B" w:rsidRDefault="003B02C6" w:rsidP="0054340B">
      <w:pPr>
        <w:jc w:val="both"/>
        <w:rPr>
          <w:szCs w:val="20"/>
        </w:rPr>
      </w:pPr>
    </w:p>
    <w:p w14:paraId="1EB6E575" w14:textId="77777777" w:rsidR="00001B20" w:rsidRPr="0054340B" w:rsidRDefault="00001B20" w:rsidP="0083506E">
      <w:pPr>
        <w:widowControl w:val="0"/>
        <w:numPr>
          <w:ilvl w:val="0"/>
          <w:numId w:val="23"/>
        </w:numPr>
        <w:autoSpaceDE w:val="0"/>
        <w:autoSpaceDN w:val="0"/>
        <w:adjustRightInd w:val="0"/>
        <w:contextualSpacing/>
        <w:jc w:val="both"/>
        <w:rPr>
          <w:rFonts w:eastAsia="MS Mincho" w:cs="Arial"/>
          <w:b/>
          <w:szCs w:val="20"/>
        </w:rPr>
      </w:pPr>
      <w:r w:rsidRPr="0054340B">
        <w:rPr>
          <w:rFonts w:eastAsia="MS Mincho" w:cs="Arial"/>
          <w:b/>
          <w:szCs w:val="20"/>
        </w:rPr>
        <w:t>Cadre</w:t>
      </w:r>
      <w:r w:rsidRPr="0054340B">
        <w:rPr>
          <w:b/>
          <w:szCs w:val="20"/>
        </w:rPr>
        <w:t xml:space="preserve"> du </w:t>
      </w:r>
      <w:r w:rsidRPr="0054340B">
        <w:rPr>
          <w:rFonts w:eastAsia="MS Mincho" w:cs="Arial"/>
          <w:b/>
          <w:szCs w:val="20"/>
        </w:rPr>
        <w:t>dispositif</w:t>
      </w:r>
    </w:p>
    <w:p w14:paraId="698D7778" w14:textId="77777777" w:rsidR="00001B20" w:rsidRPr="0054340B" w:rsidRDefault="00001B20" w:rsidP="0054340B">
      <w:pPr>
        <w:jc w:val="both"/>
        <w:rPr>
          <w:rFonts w:eastAsia="Times New Roman"/>
          <w:szCs w:val="20"/>
          <w:lang w:eastAsia="fr-FR"/>
        </w:rPr>
      </w:pPr>
    </w:p>
    <w:p w14:paraId="732D18BF" w14:textId="620DC161" w:rsidR="00667D84" w:rsidRDefault="00667D84" w:rsidP="0054340B">
      <w:pPr>
        <w:jc w:val="both"/>
        <w:rPr>
          <w:rFonts w:eastAsia="Times New Roman"/>
          <w:szCs w:val="20"/>
          <w:lang w:eastAsia="fr-FR"/>
        </w:rPr>
      </w:pPr>
      <w:r w:rsidRPr="0054340B">
        <w:rPr>
          <w:rFonts w:eastAsia="Times New Roman"/>
          <w:szCs w:val="20"/>
          <w:lang w:eastAsia="fr-FR"/>
        </w:rPr>
        <w:t>La SGP s’est dotée dès 2014 d’un « référentiel de management des risques</w:t>
      </w:r>
      <w:r w:rsidR="007405FD" w:rsidRPr="0054340B">
        <w:rPr>
          <w:rFonts w:eastAsia="Times New Roman"/>
          <w:szCs w:val="20"/>
          <w:lang w:eastAsia="fr-FR"/>
        </w:rPr>
        <w:t xml:space="preserve"> </w:t>
      </w:r>
      <w:r w:rsidRPr="0054340B">
        <w:rPr>
          <w:rFonts w:eastAsia="Times New Roman"/>
          <w:szCs w:val="20"/>
          <w:lang w:eastAsia="fr-FR"/>
        </w:rPr>
        <w:t xml:space="preserve">applicable à l'ensemble du RTPGP ». Dès l’entrée en phase d’exécution des travaux de la première ligne en 2018, la Ligne 15 </w:t>
      </w:r>
      <w:r w:rsidRPr="0054340B">
        <w:rPr>
          <w:rFonts w:eastAsia="Times New Roman"/>
          <w:szCs w:val="20"/>
          <w:lang w:eastAsia="fr-FR"/>
        </w:rPr>
        <w:lastRenderedPageBreak/>
        <w:t>Sud, le référentiel a été complété sous la forme d’un plan de management des risques (PMR), mis à jour dans sa dernière version en juillet 2019.</w:t>
      </w:r>
    </w:p>
    <w:p w14:paraId="44C083F9" w14:textId="77777777" w:rsidR="0054340B" w:rsidRPr="0054340B" w:rsidRDefault="0054340B" w:rsidP="0054340B">
      <w:pPr>
        <w:jc w:val="both"/>
        <w:rPr>
          <w:szCs w:val="20"/>
        </w:rPr>
      </w:pPr>
    </w:p>
    <w:p w14:paraId="241B55A5" w14:textId="2893CA37" w:rsidR="00F26A3E" w:rsidRDefault="005B6E09" w:rsidP="0054340B">
      <w:pPr>
        <w:jc w:val="both"/>
        <w:rPr>
          <w:rFonts w:eastAsia="Times New Roman"/>
          <w:szCs w:val="20"/>
          <w:lang w:eastAsia="fr-FR"/>
        </w:rPr>
      </w:pPr>
      <w:r w:rsidRPr="0054340B">
        <w:rPr>
          <w:rFonts w:eastAsia="Times New Roman"/>
          <w:szCs w:val="20"/>
          <w:lang w:eastAsia="fr-FR"/>
        </w:rPr>
        <w:t xml:space="preserve">En cohérence avec l’évolution constante des risques auxquels est exposée la SGP, et avec la plus-value escomptée du retour d’expérience, des premières lignes les plus avancées pour les lignes suivantes, le dispositif de maîtrise des risques de la SGP est conçu pour être régulièrement mis à jour et enrichi. Il s’applique à la SGP et </w:t>
      </w:r>
      <w:r w:rsidR="00F26A3E" w:rsidRPr="0054340B">
        <w:rPr>
          <w:rFonts w:eastAsia="Times New Roman"/>
          <w:szCs w:val="20"/>
          <w:lang w:eastAsia="fr-FR"/>
        </w:rPr>
        <w:t xml:space="preserve">est </w:t>
      </w:r>
      <w:r w:rsidRPr="0054340B">
        <w:rPr>
          <w:rFonts w:eastAsia="Times New Roman"/>
          <w:szCs w:val="20"/>
          <w:lang w:eastAsia="fr-FR"/>
        </w:rPr>
        <w:t>décliné vers les maîtres d’œuvre et entreprises au moyen de la documentation contractuelle.</w:t>
      </w:r>
      <w:r w:rsidR="00F26A3E" w:rsidRPr="0054340B">
        <w:rPr>
          <w:rFonts w:eastAsia="Times New Roman"/>
          <w:szCs w:val="20"/>
          <w:lang w:eastAsia="fr-FR"/>
        </w:rPr>
        <w:t xml:space="preserve"> La démarche est ainsi commune à l’ensemble des entités de la SGP et implique tous les acteurs des projets</w:t>
      </w:r>
    </w:p>
    <w:p w14:paraId="48C162E4" w14:textId="77777777" w:rsidR="0054340B" w:rsidRPr="0054340B" w:rsidRDefault="0054340B" w:rsidP="0054340B">
      <w:pPr>
        <w:jc w:val="both"/>
        <w:rPr>
          <w:rFonts w:eastAsia="Times New Roman"/>
          <w:szCs w:val="20"/>
          <w:lang w:eastAsia="fr-FR"/>
        </w:rPr>
      </w:pPr>
    </w:p>
    <w:p w14:paraId="47B150F7" w14:textId="2A514843" w:rsidR="00F26A3E" w:rsidRPr="0054340B" w:rsidRDefault="00F26A3E" w:rsidP="0054340B">
      <w:pPr>
        <w:jc w:val="both"/>
        <w:rPr>
          <w:rFonts w:eastAsia="Times New Roman"/>
          <w:szCs w:val="20"/>
          <w:lang w:eastAsia="fr-FR"/>
        </w:rPr>
      </w:pPr>
      <w:r w:rsidRPr="0054340B">
        <w:rPr>
          <w:rFonts w:eastAsia="Times New Roman"/>
          <w:szCs w:val="20"/>
          <w:lang w:eastAsia="fr-FR"/>
        </w:rPr>
        <w:t>Le PMR fait partie d’un ensemble documentaire, intégrant notamment :</w:t>
      </w:r>
    </w:p>
    <w:p w14:paraId="0B4DFBA0" w14:textId="77777777" w:rsidR="0032668E" w:rsidRPr="0054340B" w:rsidRDefault="0032668E" w:rsidP="0054340B">
      <w:pPr>
        <w:jc w:val="both"/>
        <w:rPr>
          <w:rFonts w:eastAsia="Times New Roman"/>
          <w:szCs w:val="20"/>
          <w:lang w:eastAsia="fr-FR"/>
        </w:rPr>
      </w:pPr>
    </w:p>
    <w:p w14:paraId="787BEC25" w14:textId="63C10C21" w:rsidR="00F26A3E" w:rsidRPr="0054340B" w:rsidRDefault="00F26A3E" w:rsidP="0083506E">
      <w:pPr>
        <w:numPr>
          <w:ilvl w:val="0"/>
          <w:numId w:val="19"/>
        </w:numPr>
        <w:ind w:left="714" w:hanging="357"/>
        <w:jc w:val="both"/>
        <w:rPr>
          <w:rFonts w:eastAsia="Times New Roman"/>
          <w:szCs w:val="20"/>
          <w:lang w:eastAsia="fr-FR"/>
        </w:rPr>
      </w:pPr>
      <w:r w:rsidRPr="0054340B">
        <w:rPr>
          <w:rFonts w:eastAsia="Times New Roman"/>
          <w:szCs w:val="20"/>
          <w:lang w:eastAsia="fr-FR"/>
        </w:rPr>
        <w:t xml:space="preserve">les </w:t>
      </w:r>
      <w:r w:rsidR="00E9520E" w:rsidRPr="0054340B">
        <w:rPr>
          <w:rFonts w:eastAsia="Times New Roman"/>
          <w:b/>
          <w:szCs w:val="20"/>
          <w:lang w:eastAsia="fr-FR"/>
        </w:rPr>
        <w:t>L</w:t>
      </w:r>
      <w:r w:rsidRPr="0054340B">
        <w:rPr>
          <w:rFonts w:eastAsia="Times New Roman"/>
          <w:b/>
          <w:szCs w:val="20"/>
          <w:lang w:eastAsia="fr-FR"/>
        </w:rPr>
        <w:t>ignes directrices de déontologie de la SGP</w:t>
      </w:r>
      <w:r w:rsidRPr="0054340B">
        <w:rPr>
          <w:rFonts w:eastAsia="Times New Roman"/>
          <w:szCs w:val="20"/>
          <w:lang w:eastAsia="fr-FR"/>
        </w:rPr>
        <w:t>, approuvées par délibération du Président n°P2012-03 en date du 5 mars 2012 (article 1) et annexées au règlement intérieur de la Société (article 2) pour une entrée en vigueur le 5 avril 2012. En matière de management des risques comme dans toute action entreprise dans le cadre des missions assurées pour le compte de la SGP, les collaborateurs sont appelés individuellement à agir dans le sens du bénéfice global du projet, de façon réactive, en toute transparence vis-à-vis de sa hiérarchie en particulier, et en veillant à la préservation des intérêts de la SGP, notamment pour ce qui concerne la protection des informations sensibles</w:t>
      </w:r>
      <w:r w:rsidR="007405FD" w:rsidRPr="0054340B">
        <w:rPr>
          <w:rFonts w:eastAsia="Times New Roman"/>
          <w:szCs w:val="20"/>
          <w:lang w:eastAsia="fr-FR"/>
        </w:rPr>
        <w:t xml:space="preserve"> </w:t>
      </w:r>
      <w:r w:rsidRPr="0054340B">
        <w:rPr>
          <w:rFonts w:eastAsia="Times New Roman"/>
          <w:szCs w:val="20"/>
          <w:lang w:eastAsia="fr-FR"/>
        </w:rPr>
        <w:t xml:space="preserve">qui cadre les principes adoptés par la SGP en matière de management des risques. </w:t>
      </w:r>
    </w:p>
    <w:p w14:paraId="451F2E2B" w14:textId="77777777" w:rsidR="005646C4" w:rsidRPr="0054340B" w:rsidRDefault="005646C4" w:rsidP="0054340B">
      <w:pPr>
        <w:ind w:left="714"/>
        <w:jc w:val="both"/>
        <w:rPr>
          <w:rFonts w:eastAsia="Times New Roman"/>
          <w:szCs w:val="20"/>
          <w:lang w:eastAsia="fr-FR"/>
        </w:rPr>
      </w:pPr>
    </w:p>
    <w:p w14:paraId="583B02A8" w14:textId="77777777" w:rsidR="00F26A3E" w:rsidRPr="0054340B" w:rsidRDefault="00F26A3E" w:rsidP="0083506E">
      <w:pPr>
        <w:numPr>
          <w:ilvl w:val="0"/>
          <w:numId w:val="19"/>
        </w:numPr>
        <w:jc w:val="both"/>
        <w:rPr>
          <w:rFonts w:eastAsia="Times New Roman"/>
          <w:szCs w:val="20"/>
          <w:lang w:eastAsia="fr-FR"/>
        </w:rPr>
      </w:pPr>
      <w:r w:rsidRPr="0054340B">
        <w:rPr>
          <w:rFonts w:eastAsia="Times New Roman"/>
          <w:szCs w:val="20"/>
          <w:lang w:eastAsia="fr-FR"/>
        </w:rPr>
        <w:t xml:space="preserve">la </w:t>
      </w:r>
      <w:r w:rsidRPr="0054340B">
        <w:rPr>
          <w:rFonts w:eastAsia="Times New Roman"/>
          <w:b/>
          <w:szCs w:val="20"/>
          <w:lang w:eastAsia="fr-FR"/>
        </w:rPr>
        <w:t>Politique de Management des Risques de la SGP</w:t>
      </w:r>
      <w:r w:rsidRPr="0054340B">
        <w:rPr>
          <w:rFonts w:eastAsia="Times New Roman"/>
          <w:szCs w:val="20"/>
          <w:lang w:eastAsia="fr-FR"/>
        </w:rPr>
        <w:t xml:space="preserve">, approuvée par délibération du Directoire numéro D 2016-69 du 25/10/2016, définit « les dispositifs efficaces de gestion des risques contribuant à la réussite du projet. » […] « Ces dispositifs doivent permettre de : </w:t>
      </w:r>
    </w:p>
    <w:p w14:paraId="6AE1DB78" w14:textId="77777777" w:rsidR="005646C4" w:rsidRPr="0054340B" w:rsidRDefault="005646C4" w:rsidP="0054340B">
      <w:pPr>
        <w:ind w:left="720"/>
        <w:jc w:val="both"/>
        <w:rPr>
          <w:rFonts w:eastAsia="Times New Roman"/>
          <w:szCs w:val="20"/>
          <w:lang w:eastAsia="fr-FR"/>
        </w:rPr>
      </w:pPr>
    </w:p>
    <w:p w14:paraId="75AD6EC5" w14:textId="77777777" w:rsidR="00F26A3E" w:rsidRPr="0054340B" w:rsidRDefault="00F26A3E" w:rsidP="0083506E">
      <w:pPr>
        <w:numPr>
          <w:ilvl w:val="1"/>
          <w:numId w:val="19"/>
        </w:numPr>
        <w:jc w:val="both"/>
        <w:rPr>
          <w:rFonts w:eastAsia="Times New Roman"/>
          <w:szCs w:val="20"/>
          <w:lang w:eastAsia="fr-FR"/>
        </w:rPr>
      </w:pPr>
      <w:r w:rsidRPr="0054340B">
        <w:rPr>
          <w:rFonts w:eastAsia="Times New Roman"/>
          <w:szCs w:val="20"/>
          <w:lang w:eastAsia="fr-FR"/>
        </w:rPr>
        <w:t>soutenir les collaborateurs et les équipes dans leur travail d’identification et de traitement des menaces et des opportunités liées à leurs activités, en leur donnant de meilleures chances de succès,</w:t>
      </w:r>
    </w:p>
    <w:p w14:paraId="197F763A" w14:textId="77777777" w:rsidR="00F26A3E" w:rsidRPr="0054340B" w:rsidRDefault="00F26A3E" w:rsidP="0083506E">
      <w:pPr>
        <w:numPr>
          <w:ilvl w:val="1"/>
          <w:numId w:val="19"/>
        </w:numPr>
        <w:jc w:val="both"/>
        <w:rPr>
          <w:rFonts w:eastAsia="Times New Roman"/>
          <w:szCs w:val="20"/>
          <w:lang w:eastAsia="fr-FR"/>
        </w:rPr>
      </w:pPr>
      <w:r w:rsidRPr="0054340B">
        <w:rPr>
          <w:rFonts w:eastAsia="Times New Roman"/>
          <w:szCs w:val="20"/>
          <w:lang w:eastAsia="fr-FR"/>
        </w:rPr>
        <w:t>éliminer ou réduire les risques pesant sur les coûts, les délais et la qualité du projet, en identifiant et en saisissant systématiquement les opportunités d’optimisation,</w:t>
      </w:r>
    </w:p>
    <w:p w14:paraId="49E74FE2" w14:textId="77777777" w:rsidR="00F26A3E" w:rsidRPr="0054340B" w:rsidRDefault="00F26A3E" w:rsidP="0083506E">
      <w:pPr>
        <w:numPr>
          <w:ilvl w:val="1"/>
          <w:numId w:val="19"/>
        </w:numPr>
        <w:jc w:val="both"/>
        <w:rPr>
          <w:rFonts w:eastAsia="Times New Roman"/>
          <w:szCs w:val="20"/>
          <w:lang w:eastAsia="fr-FR"/>
        </w:rPr>
      </w:pPr>
      <w:r w:rsidRPr="0054340B">
        <w:rPr>
          <w:rFonts w:eastAsia="Times New Roman"/>
          <w:szCs w:val="20"/>
          <w:lang w:eastAsia="fr-FR"/>
        </w:rPr>
        <w:t>communiquer avec transparence auprès de toutes les parties prenantes, de manière à prouver que la SGP reconnaît, comprend et maîtrise les risques associés au projet qu’elle porte,</w:t>
      </w:r>
    </w:p>
    <w:p w14:paraId="49F06F83" w14:textId="77777777" w:rsidR="00F26A3E" w:rsidRPr="0054340B" w:rsidRDefault="00F26A3E" w:rsidP="0083506E">
      <w:pPr>
        <w:numPr>
          <w:ilvl w:val="1"/>
          <w:numId w:val="19"/>
        </w:numPr>
        <w:jc w:val="both"/>
        <w:rPr>
          <w:rFonts w:eastAsia="Times New Roman"/>
          <w:szCs w:val="20"/>
          <w:lang w:eastAsia="fr-FR"/>
        </w:rPr>
      </w:pPr>
      <w:r w:rsidRPr="0054340B">
        <w:rPr>
          <w:rFonts w:eastAsia="Times New Roman"/>
          <w:szCs w:val="20"/>
          <w:lang w:eastAsia="fr-FR"/>
        </w:rPr>
        <w:t>améliorer la prise de décision en encourageant à tous les niveaux l’identification et la discussion des risques,</w:t>
      </w:r>
    </w:p>
    <w:p w14:paraId="27F2C956" w14:textId="77777777" w:rsidR="00F26A3E" w:rsidRPr="0054340B" w:rsidRDefault="00F26A3E" w:rsidP="0083506E">
      <w:pPr>
        <w:numPr>
          <w:ilvl w:val="1"/>
          <w:numId w:val="19"/>
        </w:numPr>
        <w:jc w:val="both"/>
        <w:rPr>
          <w:rFonts w:eastAsia="Times New Roman"/>
          <w:szCs w:val="20"/>
          <w:lang w:eastAsia="fr-FR"/>
        </w:rPr>
      </w:pPr>
      <w:r w:rsidRPr="0054340B">
        <w:rPr>
          <w:rFonts w:eastAsia="Times New Roman"/>
          <w:szCs w:val="20"/>
          <w:lang w:eastAsia="fr-FR"/>
        </w:rPr>
        <w:t>informer les processus d’allocation des ressources, d’achat et de gestion contractuelle, ainsi que les modalités de détermination des provisions pour risques, afin de garantir une utilisation appropriée des budgets,</w:t>
      </w:r>
    </w:p>
    <w:p w14:paraId="2822AC6E" w14:textId="77777777" w:rsidR="00F26A3E" w:rsidRPr="0054340B" w:rsidRDefault="00F26A3E" w:rsidP="0083506E">
      <w:pPr>
        <w:numPr>
          <w:ilvl w:val="1"/>
          <w:numId w:val="19"/>
        </w:numPr>
        <w:jc w:val="both"/>
        <w:rPr>
          <w:rFonts w:eastAsia="Times New Roman"/>
          <w:szCs w:val="20"/>
          <w:lang w:eastAsia="fr-FR"/>
        </w:rPr>
      </w:pPr>
      <w:r w:rsidRPr="0054340B">
        <w:rPr>
          <w:rFonts w:eastAsia="Times New Roman"/>
          <w:szCs w:val="20"/>
          <w:lang w:eastAsia="fr-FR"/>
        </w:rPr>
        <w:t>assurer le respect par la SGP de ses obligations réglementaires et légales. »</w:t>
      </w:r>
    </w:p>
    <w:p w14:paraId="553DB6AD" w14:textId="77777777" w:rsidR="00001B20" w:rsidRPr="0054340B" w:rsidRDefault="00001B20" w:rsidP="0054340B">
      <w:pPr>
        <w:ind w:left="1080"/>
        <w:jc w:val="both"/>
        <w:rPr>
          <w:rFonts w:eastAsia="Times New Roman"/>
          <w:szCs w:val="20"/>
          <w:lang w:eastAsia="fr-FR"/>
        </w:rPr>
      </w:pPr>
      <w:r w:rsidRPr="0054340B">
        <w:rPr>
          <w:rFonts w:eastAsia="Times New Roman"/>
          <w:szCs w:val="20"/>
          <w:lang w:eastAsia="fr-FR"/>
        </w:rPr>
        <w:t xml:space="preserve">« Champ d’application, modalités de mise en œuvre et ressources : </w:t>
      </w:r>
    </w:p>
    <w:p w14:paraId="3B95E5F6" w14:textId="77777777" w:rsidR="00001B20" w:rsidRPr="0054340B" w:rsidRDefault="00001B20" w:rsidP="0083506E">
      <w:pPr>
        <w:numPr>
          <w:ilvl w:val="1"/>
          <w:numId w:val="19"/>
        </w:numPr>
        <w:jc w:val="both"/>
        <w:rPr>
          <w:rFonts w:eastAsia="Times New Roman"/>
          <w:szCs w:val="20"/>
          <w:lang w:eastAsia="fr-FR"/>
        </w:rPr>
      </w:pPr>
      <w:r w:rsidRPr="0054340B">
        <w:rPr>
          <w:rFonts w:eastAsia="Times New Roman"/>
          <w:szCs w:val="20"/>
          <w:lang w:eastAsia="fr-FR"/>
        </w:rPr>
        <w:t>La politique de management des risques de la SGP s’applique à l’ensemble des activités menées par la SGP. La mise en œuvre de cette politique relève, pour la SGP, de son système de management interne, et pour ses prestataires et fournisseurs, des accords et contrats passés avec la SGP.</w:t>
      </w:r>
    </w:p>
    <w:p w14:paraId="00A3E36A" w14:textId="77777777" w:rsidR="00001B20" w:rsidRPr="0054340B" w:rsidRDefault="00001B20" w:rsidP="0083506E">
      <w:pPr>
        <w:numPr>
          <w:ilvl w:val="1"/>
          <w:numId w:val="19"/>
        </w:numPr>
        <w:jc w:val="both"/>
        <w:rPr>
          <w:rFonts w:eastAsia="Times New Roman"/>
          <w:szCs w:val="20"/>
          <w:lang w:eastAsia="fr-FR"/>
        </w:rPr>
      </w:pPr>
      <w:r w:rsidRPr="0054340B">
        <w:rPr>
          <w:rFonts w:eastAsia="Times New Roman"/>
          <w:szCs w:val="20"/>
          <w:lang w:eastAsia="fr-FR"/>
        </w:rPr>
        <w:t xml:space="preserve">La SGP veille à ce que les ressources nécessaires à la mise en œuvre de cette politique soient disponibles, veille à sa diffusion et s’assure qu’elle demeure effective et pertinente tout au long du projet, à travers des revues et mises à jour régulières. » </w:t>
      </w:r>
    </w:p>
    <w:p w14:paraId="2A581334" w14:textId="77777777" w:rsidR="00F26A3E" w:rsidRPr="0054340B" w:rsidRDefault="00F26A3E" w:rsidP="0054340B">
      <w:pPr>
        <w:jc w:val="both"/>
        <w:rPr>
          <w:rFonts w:eastAsia="Times New Roman"/>
          <w:szCs w:val="20"/>
          <w:lang w:eastAsia="fr-FR"/>
        </w:rPr>
      </w:pPr>
    </w:p>
    <w:p w14:paraId="0FE5867D" w14:textId="3DFBA689" w:rsidR="00F26A3E" w:rsidRPr="0054340B" w:rsidRDefault="00F26A3E" w:rsidP="0054340B">
      <w:pPr>
        <w:ind w:left="357"/>
        <w:jc w:val="both"/>
        <w:rPr>
          <w:rFonts w:eastAsia="Times New Roman"/>
          <w:szCs w:val="20"/>
          <w:lang w:eastAsia="fr-FR"/>
        </w:rPr>
      </w:pPr>
      <w:r w:rsidRPr="0054340B">
        <w:rPr>
          <w:rFonts w:eastAsia="Times New Roman"/>
          <w:szCs w:val="20"/>
          <w:lang w:eastAsia="fr-FR"/>
        </w:rPr>
        <w:t>Ce cadre interne aux principes</w:t>
      </w:r>
      <w:r w:rsidR="00BC3720" w:rsidRPr="0054340B">
        <w:rPr>
          <w:rFonts w:eastAsia="Times New Roman"/>
          <w:szCs w:val="20"/>
          <w:lang w:eastAsia="fr-FR"/>
        </w:rPr>
        <w:t xml:space="preserve"> </w:t>
      </w:r>
      <w:r w:rsidRPr="0054340B">
        <w:rPr>
          <w:rFonts w:eastAsia="Times New Roman"/>
          <w:szCs w:val="20"/>
          <w:lang w:eastAsia="fr-FR"/>
        </w:rPr>
        <w:t xml:space="preserve">de management des risques adoptés par la SGP est complété de cinq </w:t>
      </w:r>
      <w:r w:rsidRPr="0054340B">
        <w:rPr>
          <w:rFonts w:eastAsia="Times New Roman"/>
          <w:b/>
          <w:szCs w:val="20"/>
          <w:lang w:eastAsia="fr-FR"/>
        </w:rPr>
        <w:t>sources</w:t>
      </w:r>
      <w:r w:rsidR="00001B20" w:rsidRPr="0054340B">
        <w:rPr>
          <w:rFonts w:eastAsia="Times New Roman"/>
          <w:b/>
          <w:szCs w:val="20"/>
          <w:lang w:eastAsia="fr-FR"/>
        </w:rPr>
        <w:t xml:space="preserve"> règlementaires et normatives</w:t>
      </w:r>
      <w:r w:rsidRPr="0054340B">
        <w:rPr>
          <w:rFonts w:eastAsia="Times New Roman"/>
          <w:szCs w:val="20"/>
          <w:lang w:eastAsia="fr-FR"/>
        </w:rPr>
        <w:t xml:space="preserve"> :</w:t>
      </w:r>
    </w:p>
    <w:p w14:paraId="73652B28" w14:textId="77777777" w:rsidR="005646C4" w:rsidRPr="0054340B" w:rsidRDefault="005646C4" w:rsidP="0054340B">
      <w:pPr>
        <w:jc w:val="both"/>
        <w:rPr>
          <w:rFonts w:eastAsia="Times New Roman"/>
          <w:szCs w:val="20"/>
          <w:lang w:eastAsia="fr-FR"/>
        </w:rPr>
      </w:pPr>
    </w:p>
    <w:p w14:paraId="0B359981" w14:textId="77777777" w:rsidR="00F26A3E" w:rsidRPr="0054340B" w:rsidRDefault="00F26A3E" w:rsidP="0083506E">
      <w:pPr>
        <w:numPr>
          <w:ilvl w:val="1"/>
          <w:numId w:val="19"/>
        </w:numPr>
        <w:jc w:val="both"/>
        <w:rPr>
          <w:rFonts w:eastAsia="Times New Roman"/>
          <w:szCs w:val="20"/>
          <w:lang w:eastAsia="fr-FR"/>
        </w:rPr>
      </w:pPr>
      <w:r w:rsidRPr="0054340B">
        <w:rPr>
          <w:rFonts w:eastAsia="Times New Roman"/>
          <w:szCs w:val="20"/>
          <w:lang w:eastAsia="fr-FR"/>
        </w:rPr>
        <w:t xml:space="preserve">les normes ISO (31000 : 2018, Guide 73 : 2009, EN 31010 : 2010), en particulier pour l’organisation de la maîtrise opérationnelle des risques, </w:t>
      </w:r>
    </w:p>
    <w:p w14:paraId="224E9E64" w14:textId="77777777" w:rsidR="00F26A3E" w:rsidRPr="0054340B" w:rsidRDefault="00F26A3E" w:rsidP="0083506E">
      <w:pPr>
        <w:numPr>
          <w:ilvl w:val="1"/>
          <w:numId w:val="19"/>
        </w:numPr>
        <w:jc w:val="both"/>
        <w:rPr>
          <w:rFonts w:eastAsia="Times New Roman"/>
          <w:szCs w:val="20"/>
          <w:lang w:eastAsia="fr-FR"/>
        </w:rPr>
      </w:pPr>
      <w:r w:rsidRPr="0054340B">
        <w:rPr>
          <w:rFonts w:eastAsia="Times New Roman"/>
          <w:szCs w:val="20"/>
          <w:lang w:eastAsia="fr-FR"/>
        </w:rPr>
        <w:t>le COSO ERM 2017, plus spécifiquement pour ce qui concerne les processus de gouvernance,</w:t>
      </w:r>
    </w:p>
    <w:p w14:paraId="3D1F2278" w14:textId="62D9A677" w:rsidR="00F26A3E" w:rsidRPr="0054340B" w:rsidRDefault="00F26A3E" w:rsidP="0083506E">
      <w:pPr>
        <w:numPr>
          <w:ilvl w:val="1"/>
          <w:numId w:val="19"/>
        </w:numPr>
        <w:jc w:val="both"/>
        <w:rPr>
          <w:rFonts w:eastAsia="Times New Roman"/>
          <w:szCs w:val="20"/>
          <w:lang w:eastAsia="fr-FR"/>
        </w:rPr>
      </w:pPr>
      <w:r w:rsidRPr="0054340B">
        <w:rPr>
          <w:rFonts w:eastAsia="Times New Roman"/>
          <w:szCs w:val="20"/>
          <w:lang w:eastAsia="fr-FR"/>
        </w:rPr>
        <w:t xml:space="preserve">le cadrage du fascicule 69 annexé au cahier des </w:t>
      </w:r>
      <w:r w:rsidR="00610784" w:rsidRPr="0054340B">
        <w:rPr>
          <w:rFonts w:eastAsia="Times New Roman"/>
          <w:szCs w:val="20"/>
          <w:lang w:eastAsia="fr-FR"/>
        </w:rPr>
        <w:t xml:space="preserve">clauses </w:t>
      </w:r>
      <w:r w:rsidRPr="0054340B">
        <w:rPr>
          <w:rFonts w:eastAsia="Times New Roman"/>
          <w:szCs w:val="20"/>
          <w:lang w:eastAsia="fr-FR"/>
        </w:rPr>
        <w:t>techniques générales applicables aux marchés publics de travaux (2012),</w:t>
      </w:r>
    </w:p>
    <w:p w14:paraId="6E7A1BA6" w14:textId="77777777" w:rsidR="00F26A3E" w:rsidRPr="0054340B" w:rsidRDefault="00F26A3E" w:rsidP="0083506E">
      <w:pPr>
        <w:numPr>
          <w:ilvl w:val="1"/>
          <w:numId w:val="19"/>
        </w:numPr>
        <w:jc w:val="both"/>
        <w:rPr>
          <w:rFonts w:eastAsia="Times New Roman"/>
          <w:szCs w:val="20"/>
          <w:lang w:eastAsia="fr-FR"/>
        </w:rPr>
      </w:pPr>
      <w:r w:rsidRPr="0054340B">
        <w:rPr>
          <w:rFonts w:eastAsia="Times New Roman"/>
          <w:szCs w:val="20"/>
          <w:lang w:eastAsia="fr-FR"/>
        </w:rPr>
        <w:t xml:space="preserve">les recommandations émises par l’AFTES (2012), </w:t>
      </w:r>
    </w:p>
    <w:p w14:paraId="5D83A923" w14:textId="77777777" w:rsidR="00F26A3E" w:rsidRPr="0054340B" w:rsidRDefault="00F26A3E" w:rsidP="0083506E">
      <w:pPr>
        <w:numPr>
          <w:ilvl w:val="1"/>
          <w:numId w:val="19"/>
        </w:numPr>
        <w:jc w:val="both"/>
        <w:rPr>
          <w:rFonts w:eastAsia="Times New Roman"/>
          <w:szCs w:val="20"/>
          <w:lang w:eastAsia="fr-FR"/>
        </w:rPr>
      </w:pPr>
      <w:r w:rsidRPr="0054340B">
        <w:rPr>
          <w:rFonts w:eastAsia="Times New Roman"/>
          <w:szCs w:val="20"/>
          <w:lang w:eastAsia="fr-FR"/>
        </w:rPr>
        <w:t>le guide édité par le GERMA (Management des projets complexes de génie civil urbain – Guide pratique pour la maîtrise et la gestion des risques, 2012).</w:t>
      </w:r>
    </w:p>
    <w:p w14:paraId="1EFC8B0B" w14:textId="77777777" w:rsidR="00001B20" w:rsidRPr="0054340B" w:rsidRDefault="00001B20" w:rsidP="0054340B">
      <w:pPr>
        <w:jc w:val="both"/>
        <w:rPr>
          <w:rFonts w:eastAsia="Times New Roman"/>
          <w:szCs w:val="20"/>
          <w:lang w:eastAsia="fr-FR"/>
        </w:rPr>
      </w:pPr>
    </w:p>
    <w:p w14:paraId="596EEAFA" w14:textId="7FFB33D0" w:rsidR="00F26A3E" w:rsidRPr="0054340B" w:rsidRDefault="00F26A3E" w:rsidP="0054340B">
      <w:pPr>
        <w:jc w:val="both"/>
        <w:rPr>
          <w:szCs w:val="20"/>
        </w:rPr>
      </w:pPr>
      <w:r w:rsidRPr="0054340B">
        <w:rPr>
          <w:szCs w:val="20"/>
        </w:rPr>
        <w:t xml:space="preserve">L’organisation du management des risques est </w:t>
      </w:r>
      <w:r w:rsidR="004B7000" w:rsidRPr="0054340B">
        <w:rPr>
          <w:szCs w:val="20"/>
        </w:rPr>
        <w:t xml:space="preserve">également </w:t>
      </w:r>
      <w:r w:rsidRPr="0054340B">
        <w:rPr>
          <w:szCs w:val="20"/>
        </w:rPr>
        <w:t xml:space="preserve">structurée par la loi MOP, qui définit les rôles et responsabilités respectifs des co-contractants dans la construction d’ouvrages relevant d’une commande publique, fonction du mode de contractualisation (MOP « Classique », MOP en « conception-réalisation », </w:t>
      </w:r>
      <w:r w:rsidR="0032668E" w:rsidRPr="0054340B">
        <w:rPr>
          <w:szCs w:val="20"/>
        </w:rPr>
        <w:t>partenariat, …</w:t>
      </w:r>
      <w:r w:rsidRPr="0054340B">
        <w:rPr>
          <w:szCs w:val="20"/>
        </w:rPr>
        <w:t xml:space="preserve">). </w:t>
      </w:r>
      <w:r w:rsidR="004B7000" w:rsidRPr="0054340B">
        <w:rPr>
          <w:szCs w:val="20"/>
        </w:rPr>
        <w:t>La loi</w:t>
      </w:r>
      <w:r w:rsidRPr="0054340B">
        <w:rPr>
          <w:szCs w:val="20"/>
        </w:rPr>
        <w:t xml:space="preserve"> introduit notamment la nécessité de chiffrer le budget du projet en coût à terminaison dès les études d’avant-projet en tenant compte des enveloppes financières destinées à couvrir les risques et aléas induits par la réalisation même du projet, en plus des coûts identifiés et des coûts encore incertains du fait de l’avancement des études. Les modalités de contractualisation des risques entre </w:t>
      </w:r>
      <w:r w:rsidR="004B7000" w:rsidRPr="0054340B">
        <w:rPr>
          <w:szCs w:val="20"/>
        </w:rPr>
        <w:t>maîtres d’œuvres (MOE)</w:t>
      </w:r>
      <w:r w:rsidRPr="0054340B">
        <w:rPr>
          <w:szCs w:val="20"/>
        </w:rPr>
        <w:t xml:space="preserve"> et entreprises pour les marchés publics sur travaux souterrains, décrit par le fascicule 69, a par ailleurs fortement influencé le dispositif.</w:t>
      </w:r>
    </w:p>
    <w:p w14:paraId="0F396BB0" w14:textId="77777777" w:rsidR="00001B20" w:rsidRPr="0054340B" w:rsidRDefault="00001B20" w:rsidP="0054340B">
      <w:pPr>
        <w:jc w:val="both"/>
        <w:rPr>
          <w:szCs w:val="20"/>
        </w:rPr>
      </w:pPr>
    </w:p>
    <w:p w14:paraId="28E503E0" w14:textId="77777777" w:rsidR="00001B20" w:rsidRPr="0054340B" w:rsidRDefault="00001B20" w:rsidP="0083506E">
      <w:pPr>
        <w:widowControl w:val="0"/>
        <w:numPr>
          <w:ilvl w:val="0"/>
          <w:numId w:val="23"/>
        </w:numPr>
        <w:autoSpaceDE w:val="0"/>
        <w:autoSpaceDN w:val="0"/>
        <w:adjustRightInd w:val="0"/>
        <w:contextualSpacing/>
        <w:jc w:val="both"/>
        <w:rPr>
          <w:rFonts w:eastAsia="MS Mincho" w:cs="Arial"/>
          <w:b/>
          <w:szCs w:val="20"/>
        </w:rPr>
      </w:pPr>
      <w:r w:rsidRPr="0054340B">
        <w:rPr>
          <w:rFonts w:eastAsia="MS Mincho" w:cs="Arial"/>
          <w:b/>
          <w:szCs w:val="20"/>
        </w:rPr>
        <w:t>Principaux facteurs de risques</w:t>
      </w:r>
      <w:r w:rsidR="00A5541D" w:rsidRPr="0054340B">
        <w:rPr>
          <w:rFonts w:eastAsia="MS Mincho" w:cs="Arial"/>
          <w:b/>
          <w:szCs w:val="20"/>
        </w:rPr>
        <w:t xml:space="preserve"> </w:t>
      </w:r>
    </w:p>
    <w:p w14:paraId="74D2600B" w14:textId="77777777" w:rsidR="00A5541D" w:rsidRPr="0054340B" w:rsidRDefault="00A5541D" w:rsidP="0054340B">
      <w:pPr>
        <w:jc w:val="both"/>
        <w:rPr>
          <w:szCs w:val="20"/>
        </w:rPr>
      </w:pPr>
    </w:p>
    <w:p w14:paraId="45BB84A0" w14:textId="7A30AA36" w:rsidR="00001B20" w:rsidRDefault="00154A25" w:rsidP="0054340B">
      <w:pPr>
        <w:jc w:val="both"/>
        <w:rPr>
          <w:szCs w:val="20"/>
        </w:rPr>
      </w:pPr>
      <w:r w:rsidRPr="0054340B">
        <w:rPr>
          <w:szCs w:val="20"/>
        </w:rPr>
        <w:t>Quatre risques transverses</w:t>
      </w:r>
      <w:r w:rsidR="001E5B3B" w:rsidRPr="0054340B">
        <w:rPr>
          <w:szCs w:val="20"/>
        </w:rPr>
        <w:t xml:space="preserve"> de criticité maximale</w:t>
      </w:r>
      <w:r w:rsidRPr="0054340B">
        <w:rPr>
          <w:szCs w:val="20"/>
        </w:rPr>
        <w:t xml:space="preserve">, générés par le contexte spécifique d’intervention, le sous-dimensionnement de la SGP et la multiplicité des interfaces, peuvent être mise en évidence. Ces risques transverses sont </w:t>
      </w:r>
      <w:r w:rsidR="00D36808" w:rsidRPr="0054340B">
        <w:rPr>
          <w:szCs w:val="20"/>
        </w:rPr>
        <w:t>soulignés</w:t>
      </w:r>
      <w:r w:rsidRPr="0054340B">
        <w:rPr>
          <w:szCs w:val="20"/>
        </w:rPr>
        <w:t xml:space="preserve"> par l</w:t>
      </w:r>
      <w:r w:rsidR="00001B20" w:rsidRPr="0054340B">
        <w:rPr>
          <w:szCs w:val="20"/>
        </w:rPr>
        <w:t xml:space="preserve">’audit externe commandité </w:t>
      </w:r>
      <w:r w:rsidRPr="0054340B">
        <w:rPr>
          <w:szCs w:val="20"/>
        </w:rPr>
        <w:t xml:space="preserve">au cabinet PwC </w:t>
      </w:r>
      <w:r w:rsidR="00001B20" w:rsidRPr="0054340B">
        <w:rPr>
          <w:szCs w:val="20"/>
        </w:rPr>
        <w:t>par le Conseil de Surveillance de la SGP</w:t>
      </w:r>
      <w:r w:rsidR="00A5541D" w:rsidRPr="0054340B">
        <w:rPr>
          <w:szCs w:val="20"/>
        </w:rPr>
        <w:t xml:space="preserve"> </w:t>
      </w:r>
      <w:r w:rsidRPr="0054340B">
        <w:rPr>
          <w:szCs w:val="20"/>
        </w:rPr>
        <w:t xml:space="preserve">et </w:t>
      </w:r>
      <w:r w:rsidR="00A5541D" w:rsidRPr="0054340B">
        <w:rPr>
          <w:szCs w:val="20"/>
        </w:rPr>
        <w:t>restitué en juin 2019.</w:t>
      </w:r>
      <w:r w:rsidR="008162B0" w:rsidRPr="0054340B">
        <w:rPr>
          <w:szCs w:val="20"/>
        </w:rPr>
        <w:t xml:space="preserve"> Ils convergent avec les analyses de risques internes établies par le risk management de la SGP.</w:t>
      </w:r>
    </w:p>
    <w:p w14:paraId="37FECEA8" w14:textId="77777777" w:rsidR="0054340B" w:rsidRPr="0054340B" w:rsidRDefault="0054340B" w:rsidP="0054340B">
      <w:pPr>
        <w:jc w:val="both"/>
        <w:rPr>
          <w:szCs w:val="20"/>
        </w:rPr>
      </w:pPr>
    </w:p>
    <w:p w14:paraId="45DBC711" w14:textId="454AD261" w:rsidR="00A5541D" w:rsidRDefault="00A5541D" w:rsidP="0054340B">
      <w:pPr>
        <w:jc w:val="both"/>
        <w:rPr>
          <w:szCs w:val="20"/>
        </w:rPr>
      </w:pPr>
      <w:r w:rsidRPr="0054340B">
        <w:rPr>
          <w:b/>
          <w:szCs w:val="20"/>
        </w:rPr>
        <w:t>Un risque technique et géotechnique inhérent aux travaux souterrains</w:t>
      </w:r>
      <w:r w:rsidRPr="0054340B">
        <w:rPr>
          <w:szCs w:val="20"/>
        </w:rPr>
        <w:t>, renforcé dans le cas du GPE par :</w:t>
      </w:r>
    </w:p>
    <w:p w14:paraId="6275BACA" w14:textId="77777777" w:rsidR="0054340B" w:rsidRPr="0054340B" w:rsidRDefault="0054340B" w:rsidP="0054340B">
      <w:pPr>
        <w:jc w:val="both"/>
        <w:rPr>
          <w:szCs w:val="20"/>
        </w:rPr>
      </w:pPr>
    </w:p>
    <w:p w14:paraId="1B70A1F5" w14:textId="77777777" w:rsidR="00A5541D" w:rsidRPr="0054340B" w:rsidRDefault="00A5541D" w:rsidP="0083506E">
      <w:pPr>
        <w:numPr>
          <w:ilvl w:val="0"/>
          <w:numId w:val="19"/>
        </w:numPr>
        <w:jc w:val="both"/>
        <w:rPr>
          <w:rFonts w:eastAsia="Times New Roman"/>
          <w:szCs w:val="20"/>
          <w:lang w:eastAsia="fr-FR"/>
        </w:rPr>
      </w:pPr>
      <w:r w:rsidRPr="0054340B">
        <w:rPr>
          <w:rFonts w:eastAsia="Times New Roman"/>
          <w:szCs w:val="20"/>
          <w:lang w:eastAsia="fr-FR"/>
        </w:rPr>
        <w:t>l’importance des ouvrages,</w:t>
      </w:r>
    </w:p>
    <w:p w14:paraId="4B01F21E" w14:textId="77777777" w:rsidR="00A5541D" w:rsidRPr="0054340B" w:rsidRDefault="00A5541D" w:rsidP="0083506E">
      <w:pPr>
        <w:numPr>
          <w:ilvl w:val="0"/>
          <w:numId w:val="19"/>
        </w:numPr>
        <w:jc w:val="both"/>
        <w:rPr>
          <w:rFonts w:eastAsia="Times New Roman"/>
          <w:szCs w:val="20"/>
          <w:lang w:eastAsia="fr-FR"/>
        </w:rPr>
      </w:pPr>
      <w:r w:rsidRPr="0054340B">
        <w:rPr>
          <w:rFonts w:eastAsia="Times New Roman"/>
          <w:szCs w:val="20"/>
          <w:lang w:eastAsia="fr-FR"/>
        </w:rPr>
        <w:t xml:space="preserve">le manque de retour d’expérience de chantiers précédents à des profondeurs similaires, </w:t>
      </w:r>
    </w:p>
    <w:p w14:paraId="24B258FE" w14:textId="77777777" w:rsidR="00A5541D" w:rsidRPr="0054340B" w:rsidRDefault="00A5541D" w:rsidP="0083506E">
      <w:pPr>
        <w:numPr>
          <w:ilvl w:val="0"/>
          <w:numId w:val="19"/>
        </w:numPr>
        <w:jc w:val="both"/>
        <w:rPr>
          <w:rFonts w:eastAsia="Times New Roman"/>
          <w:szCs w:val="20"/>
          <w:lang w:eastAsia="fr-FR"/>
        </w:rPr>
      </w:pPr>
      <w:r w:rsidRPr="0054340B">
        <w:rPr>
          <w:rFonts w:eastAsia="Times New Roman"/>
          <w:szCs w:val="20"/>
          <w:lang w:eastAsia="fr-FR"/>
        </w:rPr>
        <w:t>l’emplacement du projet dans des zones urbaines très denses, souvent dicté par le besoin de maillage avec le réseau existant,</w:t>
      </w:r>
    </w:p>
    <w:p w14:paraId="690CD7EC" w14:textId="77777777" w:rsidR="00A5541D" w:rsidRPr="0054340B" w:rsidRDefault="00A5541D" w:rsidP="0083506E">
      <w:pPr>
        <w:numPr>
          <w:ilvl w:val="0"/>
          <w:numId w:val="19"/>
        </w:numPr>
        <w:jc w:val="both"/>
        <w:rPr>
          <w:rFonts w:eastAsia="Times New Roman"/>
          <w:szCs w:val="20"/>
          <w:lang w:eastAsia="fr-FR"/>
        </w:rPr>
      </w:pPr>
      <w:r w:rsidRPr="0054340B">
        <w:rPr>
          <w:rFonts w:eastAsia="Times New Roman"/>
          <w:szCs w:val="20"/>
          <w:lang w:eastAsia="fr-FR"/>
        </w:rPr>
        <w:t>les contraintes de ressources et la pression sur les délais en phase études.</w:t>
      </w:r>
    </w:p>
    <w:p w14:paraId="2CC455CC" w14:textId="77777777" w:rsidR="00001B20" w:rsidRPr="0054340B" w:rsidRDefault="00001B20" w:rsidP="0054340B">
      <w:pPr>
        <w:jc w:val="both"/>
        <w:rPr>
          <w:szCs w:val="20"/>
        </w:rPr>
      </w:pPr>
    </w:p>
    <w:p w14:paraId="5F42E791" w14:textId="77777777" w:rsidR="0054340B" w:rsidRDefault="00A5541D" w:rsidP="0054340B">
      <w:pPr>
        <w:jc w:val="both"/>
        <w:rPr>
          <w:szCs w:val="20"/>
        </w:rPr>
      </w:pPr>
      <w:r w:rsidRPr="0054340B">
        <w:rPr>
          <w:b/>
          <w:szCs w:val="20"/>
        </w:rPr>
        <w:t>Un risque sur les capacités des entreprises de travaux publics et d’ingénierie</w:t>
      </w:r>
      <w:r w:rsidR="00154A25" w:rsidRPr="0054340B">
        <w:rPr>
          <w:szCs w:val="20"/>
        </w:rPr>
        <w:t>, accentué par :</w:t>
      </w:r>
    </w:p>
    <w:p w14:paraId="031C3D84" w14:textId="598BB245" w:rsidR="00A5541D" w:rsidRPr="0054340B" w:rsidRDefault="00A5541D" w:rsidP="0054340B">
      <w:pPr>
        <w:jc w:val="both"/>
        <w:rPr>
          <w:szCs w:val="20"/>
        </w:rPr>
      </w:pPr>
      <w:r w:rsidRPr="0054340B">
        <w:rPr>
          <w:szCs w:val="20"/>
        </w:rPr>
        <w:t xml:space="preserve"> </w:t>
      </w:r>
    </w:p>
    <w:p w14:paraId="6D70B296" w14:textId="77777777" w:rsidR="00A5541D" w:rsidRPr="0054340B" w:rsidRDefault="00A5541D" w:rsidP="0083506E">
      <w:pPr>
        <w:numPr>
          <w:ilvl w:val="0"/>
          <w:numId w:val="19"/>
        </w:numPr>
        <w:jc w:val="both"/>
        <w:rPr>
          <w:rFonts w:eastAsia="Times New Roman"/>
          <w:szCs w:val="20"/>
          <w:lang w:eastAsia="fr-FR"/>
        </w:rPr>
      </w:pPr>
      <w:r w:rsidRPr="0054340B">
        <w:rPr>
          <w:szCs w:val="20"/>
        </w:rPr>
        <w:t xml:space="preserve">la </w:t>
      </w:r>
      <w:r w:rsidRPr="0054340B">
        <w:rPr>
          <w:rFonts w:eastAsia="Times New Roman"/>
          <w:szCs w:val="20"/>
          <w:lang w:eastAsia="fr-FR"/>
        </w:rPr>
        <w:t xml:space="preserve">concomitance de plusieurs mégaprojets : Grand Paris Express, EOLE, CDG Express, l’organisation des JOP Paris 2024. </w:t>
      </w:r>
    </w:p>
    <w:p w14:paraId="17802932" w14:textId="77777777" w:rsidR="00001B20" w:rsidRPr="0054340B" w:rsidRDefault="00154A25" w:rsidP="0083506E">
      <w:pPr>
        <w:numPr>
          <w:ilvl w:val="0"/>
          <w:numId w:val="19"/>
        </w:numPr>
        <w:jc w:val="both"/>
        <w:rPr>
          <w:rFonts w:eastAsia="Times New Roman"/>
          <w:szCs w:val="20"/>
          <w:lang w:eastAsia="fr-FR"/>
        </w:rPr>
      </w:pPr>
      <w:r w:rsidRPr="0054340B">
        <w:rPr>
          <w:rFonts w:eastAsia="Times New Roman"/>
          <w:szCs w:val="20"/>
          <w:lang w:eastAsia="fr-FR"/>
        </w:rPr>
        <w:t xml:space="preserve">Les </w:t>
      </w:r>
      <w:r w:rsidR="00A5541D" w:rsidRPr="0054340B">
        <w:rPr>
          <w:rFonts w:eastAsia="Times New Roman"/>
          <w:szCs w:val="20"/>
          <w:lang w:eastAsia="fr-FR"/>
        </w:rPr>
        <w:t>sollicitations importantes d’autres secteurs : activités de contrôle technique et les activités d’instruction des demandes d’autorisations assurées par les services de l’Etat.</w:t>
      </w:r>
    </w:p>
    <w:p w14:paraId="2AB92195" w14:textId="77777777" w:rsidR="00001B20" w:rsidRPr="0054340B" w:rsidRDefault="00001B20" w:rsidP="0054340B">
      <w:pPr>
        <w:jc w:val="both"/>
        <w:rPr>
          <w:szCs w:val="20"/>
        </w:rPr>
      </w:pPr>
    </w:p>
    <w:p w14:paraId="1B4A105F" w14:textId="24BA9219" w:rsidR="00A5541D" w:rsidRDefault="00A5541D" w:rsidP="0054340B">
      <w:pPr>
        <w:jc w:val="both"/>
        <w:rPr>
          <w:szCs w:val="20"/>
        </w:rPr>
      </w:pPr>
      <w:r w:rsidRPr="0054340B">
        <w:rPr>
          <w:b/>
          <w:szCs w:val="20"/>
        </w:rPr>
        <w:t>Un risque lié à la « dette technique » héritée de la contrainte forte sur les ressources</w:t>
      </w:r>
      <w:r w:rsidRPr="0054340B">
        <w:rPr>
          <w:szCs w:val="20"/>
        </w:rPr>
        <w:t xml:space="preserve"> durant les premières années de la Société du Grand Paris</w:t>
      </w:r>
      <w:r w:rsidR="005646C4" w:rsidRPr="0054340B">
        <w:rPr>
          <w:szCs w:val="20"/>
        </w:rPr>
        <w:t> :</w:t>
      </w:r>
    </w:p>
    <w:p w14:paraId="24839C8E" w14:textId="77777777" w:rsidR="0054340B" w:rsidRPr="0054340B" w:rsidRDefault="0054340B" w:rsidP="0054340B">
      <w:pPr>
        <w:jc w:val="both"/>
        <w:rPr>
          <w:szCs w:val="20"/>
        </w:rPr>
      </w:pPr>
    </w:p>
    <w:p w14:paraId="0362CBAE" w14:textId="77777777" w:rsidR="0009519A" w:rsidRPr="0054340B" w:rsidRDefault="00A5541D" w:rsidP="0083506E">
      <w:pPr>
        <w:numPr>
          <w:ilvl w:val="0"/>
          <w:numId w:val="19"/>
        </w:numPr>
        <w:jc w:val="both"/>
        <w:rPr>
          <w:szCs w:val="20"/>
        </w:rPr>
      </w:pPr>
      <w:r w:rsidRPr="0054340B">
        <w:rPr>
          <w:szCs w:val="20"/>
        </w:rPr>
        <w:t xml:space="preserve">des axes d’amélioration </w:t>
      </w:r>
      <w:r w:rsidR="00154A25" w:rsidRPr="0054340B">
        <w:rPr>
          <w:szCs w:val="20"/>
        </w:rPr>
        <w:t xml:space="preserve">sont identifiés </w:t>
      </w:r>
      <w:r w:rsidRPr="0054340B">
        <w:rPr>
          <w:szCs w:val="20"/>
        </w:rPr>
        <w:t>en matière de processus et d’outils pour la gestion technique du projet (gestion des exigences fonctionnelles et du référentiel technique, gestion de la configuration, gestion des modifications, gestion des interfaces) impactant l’action de l’ensemble de la chaine.</w:t>
      </w:r>
    </w:p>
    <w:p w14:paraId="002C8A69" w14:textId="77777777" w:rsidR="0009519A" w:rsidRPr="0054340B" w:rsidRDefault="00154A25" w:rsidP="0083506E">
      <w:pPr>
        <w:numPr>
          <w:ilvl w:val="0"/>
          <w:numId w:val="19"/>
        </w:numPr>
        <w:jc w:val="both"/>
        <w:rPr>
          <w:szCs w:val="20"/>
        </w:rPr>
      </w:pPr>
      <w:r w:rsidRPr="0054340B">
        <w:rPr>
          <w:szCs w:val="20"/>
        </w:rPr>
        <w:t>un éventuel</w:t>
      </w:r>
      <w:r w:rsidR="00A5541D" w:rsidRPr="0054340B">
        <w:rPr>
          <w:szCs w:val="20"/>
        </w:rPr>
        <w:t xml:space="preserve"> retard sur la passation des marchés systèmes transverses (RMS, radio, etc.) peut induire un développement asynchrone de ces systèmes par rapport aux automatismes de conduite. Des actions sécurisant la cohérence a posteriori sont à prévoir.</w:t>
      </w:r>
    </w:p>
    <w:p w14:paraId="47C69A76" w14:textId="77777777" w:rsidR="00A5541D" w:rsidRPr="0054340B" w:rsidRDefault="00A5541D" w:rsidP="0054340B">
      <w:pPr>
        <w:jc w:val="both"/>
        <w:rPr>
          <w:szCs w:val="20"/>
        </w:rPr>
      </w:pPr>
    </w:p>
    <w:p w14:paraId="2920832D" w14:textId="6819B466" w:rsidR="00A5541D" w:rsidRDefault="00A5541D" w:rsidP="0054340B">
      <w:pPr>
        <w:jc w:val="both"/>
        <w:rPr>
          <w:b/>
          <w:szCs w:val="20"/>
        </w:rPr>
      </w:pPr>
      <w:r w:rsidRPr="0054340B">
        <w:rPr>
          <w:b/>
          <w:szCs w:val="20"/>
        </w:rPr>
        <w:t>Un risque lié à la désignation de l’Opérateur de Transport (OT) :</w:t>
      </w:r>
    </w:p>
    <w:p w14:paraId="3D2A8B77" w14:textId="77777777" w:rsidR="0054340B" w:rsidRPr="0054340B" w:rsidRDefault="0054340B" w:rsidP="0054340B">
      <w:pPr>
        <w:jc w:val="both"/>
        <w:rPr>
          <w:b/>
          <w:szCs w:val="20"/>
        </w:rPr>
      </w:pPr>
    </w:p>
    <w:p w14:paraId="5F552332" w14:textId="77777777" w:rsidR="00A5541D" w:rsidRPr="0054340B" w:rsidRDefault="00C37259" w:rsidP="0083506E">
      <w:pPr>
        <w:numPr>
          <w:ilvl w:val="0"/>
          <w:numId w:val="19"/>
        </w:numPr>
        <w:jc w:val="both"/>
        <w:rPr>
          <w:szCs w:val="20"/>
        </w:rPr>
      </w:pPr>
      <w:r w:rsidRPr="0054340B">
        <w:rPr>
          <w:szCs w:val="20"/>
        </w:rPr>
        <w:t>l</w:t>
      </w:r>
      <w:r w:rsidR="00A5541D" w:rsidRPr="0054340B">
        <w:rPr>
          <w:szCs w:val="20"/>
        </w:rPr>
        <w:t>es besoins d’exploitation sont des données d’entrée nécessaires au développement des systèmes qui démarre, or l’opérateur ne sera désigné que dans deux ans. La SGP s’appuie donc sur l’expertise de l’AMO Systèmes pour définir les données d’entrée.</w:t>
      </w:r>
    </w:p>
    <w:p w14:paraId="60342ACD" w14:textId="77777777" w:rsidR="00A5541D" w:rsidRPr="0054340B" w:rsidRDefault="00C37259" w:rsidP="0083506E">
      <w:pPr>
        <w:numPr>
          <w:ilvl w:val="0"/>
          <w:numId w:val="19"/>
        </w:numPr>
        <w:jc w:val="both"/>
        <w:rPr>
          <w:szCs w:val="20"/>
        </w:rPr>
      </w:pPr>
      <w:r w:rsidRPr="0054340B">
        <w:rPr>
          <w:szCs w:val="20"/>
        </w:rPr>
        <w:t>l</w:t>
      </w:r>
      <w:r w:rsidR="00A5541D" w:rsidRPr="0054340B">
        <w:rPr>
          <w:szCs w:val="20"/>
        </w:rPr>
        <w:t>e planning de la procédure de désignation de l’OT est sans marge.</w:t>
      </w:r>
    </w:p>
    <w:p w14:paraId="4C5ADB0E" w14:textId="77777777" w:rsidR="00FC0EE0" w:rsidRPr="0054340B" w:rsidRDefault="00FC0EE0" w:rsidP="0054340B">
      <w:pPr>
        <w:jc w:val="both"/>
        <w:rPr>
          <w:szCs w:val="20"/>
        </w:rPr>
      </w:pPr>
    </w:p>
    <w:p w14:paraId="54928718" w14:textId="77777777" w:rsidR="00FC0EE0" w:rsidRPr="0054340B" w:rsidRDefault="00B60EE7" w:rsidP="0054340B">
      <w:pPr>
        <w:jc w:val="both"/>
        <w:rPr>
          <w:szCs w:val="20"/>
        </w:rPr>
      </w:pPr>
      <w:r w:rsidRPr="0054340B">
        <w:rPr>
          <w:szCs w:val="20"/>
        </w:rPr>
        <w:t>En complément de ces facteurs de risques, les</w:t>
      </w:r>
      <w:r w:rsidR="00963F05" w:rsidRPr="0054340B">
        <w:rPr>
          <w:szCs w:val="20"/>
        </w:rPr>
        <w:t xml:space="preserve"> analyses </w:t>
      </w:r>
      <w:r w:rsidR="001E5B3B" w:rsidRPr="0054340B">
        <w:rPr>
          <w:szCs w:val="20"/>
        </w:rPr>
        <w:t xml:space="preserve">internes </w:t>
      </w:r>
      <w:r w:rsidR="00963F05" w:rsidRPr="0054340B">
        <w:rPr>
          <w:szCs w:val="20"/>
        </w:rPr>
        <w:t>réalisées par la SGP lors de la mise à jour annuelle de la cartographie des risques de haut niveau de l’entreprise (voir dispositif ci-dessous), conduisent à l</w:t>
      </w:r>
      <w:r w:rsidR="001E5B3B" w:rsidRPr="0054340B">
        <w:rPr>
          <w:szCs w:val="20"/>
        </w:rPr>
        <w:t xml:space="preserve">’identification </w:t>
      </w:r>
      <w:r w:rsidRPr="0054340B">
        <w:rPr>
          <w:szCs w:val="20"/>
        </w:rPr>
        <w:t>des autres risques suivants</w:t>
      </w:r>
      <w:r w:rsidR="001E5B3B" w:rsidRPr="0054340B">
        <w:rPr>
          <w:szCs w:val="20"/>
        </w:rPr>
        <w:t> :</w:t>
      </w:r>
    </w:p>
    <w:p w14:paraId="145589D9" w14:textId="77777777" w:rsidR="00963F05" w:rsidRPr="0054340B" w:rsidRDefault="00963F05" w:rsidP="0054340B">
      <w:pPr>
        <w:jc w:val="both"/>
        <w:rPr>
          <w:szCs w:val="20"/>
        </w:rPr>
      </w:pPr>
    </w:p>
    <w:p w14:paraId="3096136A" w14:textId="77777777" w:rsidR="00963F05" w:rsidRPr="0054340B" w:rsidRDefault="001E5B3B" w:rsidP="0054340B">
      <w:pPr>
        <w:jc w:val="both"/>
        <w:rPr>
          <w:szCs w:val="20"/>
        </w:rPr>
      </w:pPr>
      <w:r w:rsidRPr="0054340B">
        <w:rPr>
          <w:szCs w:val="20"/>
        </w:rPr>
        <w:t>Trois</w:t>
      </w:r>
      <w:r w:rsidR="00963F05" w:rsidRPr="0054340B">
        <w:rPr>
          <w:szCs w:val="20"/>
        </w:rPr>
        <w:t xml:space="preserve"> risques</w:t>
      </w:r>
      <w:r w:rsidRPr="0054340B">
        <w:rPr>
          <w:szCs w:val="20"/>
        </w:rPr>
        <w:t xml:space="preserve"> complémentaires</w:t>
      </w:r>
      <w:r w:rsidR="00963F05" w:rsidRPr="0054340B">
        <w:rPr>
          <w:szCs w:val="20"/>
        </w:rPr>
        <w:t xml:space="preserve"> de criticité maximale :</w:t>
      </w:r>
    </w:p>
    <w:p w14:paraId="08738B39" w14:textId="77777777" w:rsidR="001E5B3B" w:rsidRPr="0054340B" w:rsidRDefault="001E5B3B" w:rsidP="0054340B">
      <w:pPr>
        <w:jc w:val="both"/>
        <w:rPr>
          <w:szCs w:val="20"/>
        </w:rPr>
      </w:pPr>
    </w:p>
    <w:p w14:paraId="53B0C8A5" w14:textId="77777777" w:rsidR="00963F05" w:rsidRPr="0054340B" w:rsidRDefault="00963F05" w:rsidP="0083506E">
      <w:pPr>
        <w:numPr>
          <w:ilvl w:val="0"/>
          <w:numId w:val="19"/>
        </w:numPr>
        <w:jc w:val="both"/>
        <w:rPr>
          <w:rFonts w:eastAsia="Times New Roman"/>
          <w:szCs w:val="20"/>
          <w:lang w:eastAsia="fr-FR"/>
        </w:rPr>
      </w:pPr>
      <w:r w:rsidRPr="0054340B">
        <w:rPr>
          <w:rFonts w:eastAsia="Times New Roman"/>
          <w:b/>
          <w:szCs w:val="20"/>
          <w:lang w:eastAsia="fr-FR"/>
        </w:rPr>
        <w:t xml:space="preserve">Risque </w:t>
      </w:r>
      <w:r w:rsidR="005646C4" w:rsidRPr="0054340B">
        <w:rPr>
          <w:rFonts w:eastAsia="Times New Roman"/>
          <w:b/>
          <w:szCs w:val="20"/>
          <w:lang w:eastAsia="fr-FR"/>
        </w:rPr>
        <w:t>lié à la gestion des interfaces</w:t>
      </w:r>
      <w:r w:rsidRPr="0054340B">
        <w:rPr>
          <w:rFonts w:eastAsia="Times New Roman"/>
          <w:szCs w:val="20"/>
          <w:lang w:eastAsia="fr-FR"/>
        </w:rPr>
        <w:t xml:space="preserve"> : atténué pour les deux lignes qui passent en conception - réalisation, le risque est élevé pour les lignes contractualisées en loi MOP « classique ». Il couvre les problèmes d’interfaces entre Génie Civil, Systèmes et Tout Corps d’Etat, mais aussi entre deux lignes du Grand Paris Express, ou encore entre le Grand Paris Express et un réseau de transport en exploitation ou un autre projet d’infrastructure.</w:t>
      </w:r>
    </w:p>
    <w:p w14:paraId="400E51F6" w14:textId="77777777" w:rsidR="001E5B3B" w:rsidRPr="0054340B" w:rsidRDefault="001E5B3B" w:rsidP="0054340B">
      <w:pPr>
        <w:ind w:left="720"/>
        <w:jc w:val="both"/>
        <w:rPr>
          <w:rFonts w:eastAsia="Times New Roman"/>
          <w:szCs w:val="20"/>
          <w:lang w:eastAsia="fr-FR"/>
        </w:rPr>
      </w:pPr>
    </w:p>
    <w:p w14:paraId="006B130D" w14:textId="77777777" w:rsidR="00963F05" w:rsidRPr="0054340B" w:rsidRDefault="00963F05" w:rsidP="0083506E">
      <w:pPr>
        <w:numPr>
          <w:ilvl w:val="0"/>
          <w:numId w:val="19"/>
        </w:numPr>
        <w:jc w:val="both"/>
        <w:rPr>
          <w:rFonts w:eastAsia="Times New Roman"/>
          <w:szCs w:val="20"/>
          <w:lang w:eastAsia="fr-FR"/>
        </w:rPr>
      </w:pPr>
      <w:r w:rsidRPr="0054340B">
        <w:rPr>
          <w:rFonts w:eastAsia="Times New Roman"/>
          <w:b/>
          <w:szCs w:val="20"/>
          <w:lang w:eastAsia="fr-FR"/>
        </w:rPr>
        <w:t xml:space="preserve">Risque </w:t>
      </w:r>
      <w:r w:rsidR="005646C4" w:rsidRPr="0054340B">
        <w:rPr>
          <w:rFonts w:eastAsia="Times New Roman"/>
          <w:b/>
          <w:szCs w:val="20"/>
          <w:lang w:eastAsia="fr-FR"/>
        </w:rPr>
        <w:t>de défaut de s</w:t>
      </w:r>
      <w:r w:rsidRPr="0054340B">
        <w:rPr>
          <w:rFonts w:eastAsia="Times New Roman"/>
          <w:b/>
          <w:szCs w:val="20"/>
          <w:lang w:eastAsia="fr-FR"/>
        </w:rPr>
        <w:t>tabilité programmatique</w:t>
      </w:r>
      <w:r w:rsidRPr="0054340B">
        <w:rPr>
          <w:rFonts w:eastAsia="Times New Roman"/>
          <w:szCs w:val="20"/>
          <w:lang w:eastAsia="fr-FR"/>
        </w:rPr>
        <w:t xml:space="preserve"> : le risque vise le caractère incomplet des référentiels en amont, leur défaut de stabilité dans le temps, et les défaillances de la gestion des évolutions. Les impacts d’une instabilité du programme sont accentués par deux facteurs : d’une part les décalages temporels de contractualisation entre Génie Civil, puis Systèmes et Tout Corps d’Etat pour les projets en MOP, et d’autre part le modèle de contrat forfaitisé en conception – réalisation reposant sur un programme réputé « intangible ». </w:t>
      </w:r>
    </w:p>
    <w:p w14:paraId="26C6948B" w14:textId="77777777" w:rsidR="001E5B3B" w:rsidRPr="0054340B" w:rsidRDefault="001E5B3B" w:rsidP="0054340B">
      <w:pPr>
        <w:jc w:val="both"/>
        <w:rPr>
          <w:rFonts w:eastAsia="Times New Roman"/>
          <w:szCs w:val="20"/>
          <w:lang w:eastAsia="fr-FR"/>
        </w:rPr>
      </w:pPr>
    </w:p>
    <w:p w14:paraId="2B3D6287" w14:textId="77777777" w:rsidR="00963F05" w:rsidRPr="0054340B" w:rsidRDefault="00963F05" w:rsidP="0083506E">
      <w:pPr>
        <w:numPr>
          <w:ilvl w:val="0"/>
          <w:numId w:val="19"/>
        </w:numPr>
        <w:jc w:val="both"/>
        <w:rPr>
          <w:rFonts w:eastAsia="Times New Roman"/>
          <w:szCs w:val="20"/>
          <w:lang w:eastAsia="fr-FR"/>
        </w:rPr>
      </w:pPr>
      <w:r w:rsidRPr="0054340B">
        <w:rPr>
          <w:rFonts w:eastAsia="Times New Roman"/>
          <w:b/>
          <w:szCs w:val="20"/>
          <w:lang w:eastAsia="fr-FR"/>
        </w:rPr>
        <w:t xml:space="preserve">Risque </w:t>
      </w:r>
      <w:r w:rsidR="005646C4" w:rsidRPr="0054340B">
        <w:rPr>
          <w:rFonts w:eastAsia="Times New Roman"/>
          <w:b/>
          <w:szCs w:val="20"/>
          <w:lang w:eastAsia="fr-FR"/>
        </w:rPr>
        <w:t>lié au</w:t>
      </w:r>
      <w:r w:rsidRPr="0054340B">
        <w:rPr>
          <w:rFonts w:eastAsia="Times New Roman"/>
          <w:b/>
          <w:szCs w:val="20"/>
          <w:lang w:eastAsia="fr-FR"/>
        </w:rPr>
        <w:t> </w:t>
      </w:r>
      <w:r w:rsidR="005646C4" w:rsidRPr="0054340B">
        <w:rPr>
          <w:rFonts w:eastAsia="Times New Roman"/>
          <w:b/>
          <w:szCs w:val="20"/>
          <w:lang w:eastAsia="fr-FR"/>
        </w:rPr>
        <w:t>r</w:t>
      </w:r>
      <w:r w:rsidRPr="0054340B">
        <w:rPr>
          <w:rFonts w:eastAsia="Times New Roman"/>
          <w:b/>
          <w:szCs w:val="20"/>
          <w:lang w:eastAsia="fr-FR"/>
        </w:rPr>
        <w:t>edimensionnement des effectifs</w:t>
      </w:r>
      <w:r w:rsidRPr="0054340B">
        <w:rPr>
          <w:rFonts w:eastAsia="Times New Roman"/>
          <w:szCs w:val="20"/>
          <w:lang w:eastAsia="fr-FR"/>
        </w:rPr>
        <w:t xml:space="preserve"> : le risque reste élevé malgré les actions prises, du fait du contexte défavorable (difficultés à recruter, concurrence d’autres projets d’infrastructure et des prestataires de la SGP), de la nature des profils recherchés (compétences rares), et du volume de postes à pourvoir (200 effectifs en 2019). Il recouvre également l’intégration des nouveaux arrivants et l’accompagnement des équipes déjà en place vers les nouveaux modes de fonctionnement. Sa maîtrise constitue un préalable à la réussite du projet de transformation de l’entreprise, ce qui en renforce la criticité.</w:t>
      </w:r>
    </w:p>
    <w:p w14:paraId="6CF9A5B3" w14:textId="77777777" w:rsidR="00963F05" w:rsidRPr="0054340B" w:rsidRDefault="00963F05" w:rsidP="0054340B">
      <w:pPr>
        <w:ind w:left="360"/>
        <w:jc w:val="both"/>
        <w:rPr>
          <w:szCs w:val="20"/>
        </w:rPr>
      </w:pPr>
    </w:p>
    <w:p w14:paraId="4056C59E" w14:textId="059C84FD" w:rsidR="00963F05" w:rsidRPr="0054340B" w:rsidRDefault="001E5B3B" w:rsidP="0054340B">
      <w:pPr>
        <w:ind w:left="360"/>
        <w:jc w:val="both"/>
        <w:rPr>
          <w:szCs w:val="20"/>
        </w:rPr>
      </w:pPr>
      <w:r w:rsidRPr="0054340B">
        <w:rPr>
          <w:szCs w:val="20"/>
        </w:rPr>
        <w:t>T</w:t>
      </w:r>
      <w:r w:rsidR="00963F05" w:rsidRPr="0054340B">
        <w:rPr>
          <w:szCs w:val="20"/>
        </w:rPr>
        <w:t xml:space="preserve">rois autres ensembles de risques </w:t>
      </w:r>
      <w:r w:rsidR="0032668E" w:rsidRPr="0054340B">
        <w:rPr>
          <w:szCs w:val="20"/>
        </w:rPr>
        <w:t>majeurs :</w:t>
      </w:r>
    </w:p>
    <w:p w14:paraId="5BE80AC0" w14:textId="77777777" w:rsidR="001E5B3B" w:rsidRPr="0054340B" w:rsidRDefault="001E5B3B" w:rsidP="0054340B">
      <w:pPr>
        <w:ind w:left="360"/>
        <w:jc w:val="both"/>
        <w:rPr>
          <w:szCs w:val="20"/>
        </w:rPr>
      </w:pPr>
    </w:p>
    <w:p w14:paraId="6FF1451C" w14:textId="77777777" w:rsidR="00270024" w:rsidRPr="0054340B" w:rsidRDefault="00963F05" w:rsidP="0083506E">
      <w:pPr>
        <w:numPr>
          <w:ilvl w:val="0"/>
          <w:numId w:val="19"/>
        </w:numPr>
        <w:jc w:val="both"/>
        <w:rPr>
          <w:rFonts w:eastAsia="Times New Roman"/>
          <w:szCs w:val="20"/>
          <w:lang w:eastAsia="fr-FR"/>
        </w:rPr>
      </w:pPr>
      <w:r w:rsidRPr="0054340B">
        <w:rPr>
          <w:rFonts w:eastAsia="Times New Roman"/>
          <w:b/>
          <w:szCs w:val="20"/>
          <w:lang w:eastAsia="fr-FR"/>
        </w:rPr>
        <w:t>Risques liés à l’avancement de la phase travaux</w:t>
      </w:r>
      <w:r w:rsidRPr="0054340B">
        <w:rPr>
          <w:rFonts w:eastAsia="Times New Roman"/>
          <w:szCs w:val="20"/>
          <w:lang w:eastAsia="fr-FR"/>
        </w:rPr>
        <w:t xml:space="preserve"> : augmentation de l’exposition aux risques de chantier et avoisinants ; volumétrie des contractualisations à réaliser dans un contexte de marché peu favorable, et des marchés à piloter dans leur réalisation ; gestion des aléas et maintien de la confiance dans le projet ; anticipation des phases de tests et mise en service.</w:t>
      </w:r>
    </w:p>
    <w:p w14:paraId="15F52974" w14:textId="77777777" w:rsidR="001E5B3B" w:rsidRPr="0054340B" w:rsidRDefault="001E5B3B" w:rsidP="0054340B">
      <w:pPr>
        <w:ind w:left="720"/>
        <w:jc w:val="both"/>
        <w:rPr>
          <w:rFonts w:eastAsia="Times New Roman"/>
          <w:szCs w:val="20"/>
          <w:lang w:eastAsia="fr-FR"/>
        </w:rPr>
      </w:pPr>
    </w:p>
    <w:p w14:paraId="7943F85E" w14:textId="77777777" w:rsidR="001E5B3B" w:rsidRPr="0054340B" w:rsidRDefault="00963F05" w:rsidP="0083506E">
      <w:pPr>
        <w:numPr>
          <w:ilvl w:val="0"/>
          <w:numId w:val="19"/>
        </w:numPr>
        <w:jc w:val="both"/>
        <w:rPr>
          <w:rFonts w:eastAsia="Times New Roman"/>
          <w:szCs w:val="20"/>
          <w:lang w:eastAsia="fr-FR"/>
        </w:rPr>
      </w:pPr>
      <w:r w:rsidRPr="0054340B">
        <w:rPr>
          <w:rFonts w:eastAsia="Times New Roman"/>
          <w:b/>
          <w:szCs w:val="20"/>
          <w:lang w:eastAsia="fr-FR"/>
        </w:rPr>
        <w:t>Risques liés au contexte de transformation de l’entreprise</w:t>
      </w:r>
      <w:r w:rsidRPr="0054340B">
        <w:rPr>
          <w:rFonts w:eastAsia="Times New Roman"/>
          <w:szCs w:val="20"/>
          <w:lang w:eastAsia="fr-FR"/>
        </w:rPr>
        <w:t xml:space="preserve"> : exposition aux risques de dysfonctionnement, voire de départs d’effectifs, liés à la période transitoire, y compris dans la mise en place opérationnelle de la nouvelle organisation.</w:t>
      </w:r>
      <w:r w:rsidRPr="0054340B">
        <w:rPr>
          <w:rFonts w:eastAsia="Times New Roman"/>
          <w:szCs w:val="20"/>
          <w:lang w:eastAsia="fr-FR"/>
        </w:rPr>
        <w:tab/>
      </w:r>
    </w:p>
    <w:p w14:paraId="3F9C14F3" w14:textId="77777777" w:rsidR="00270024" w:rsidRPr="0054340B" w:rsidRDefault="00963F05" w:rsidP="0054340B">
      <w:pPr>
        <w:jc w:val="both"/>
        <w:rPr>
          <w:rFonts w:eastAsia="Times New Roman"/>
          <w:szCs w:val="20"/>
          <w:lang w:eastAsia="fr-FR"/>
        </w:rPr>
      </w:pPr>
      <w:r w:rsidRPr="0054340B">
        <w:rPr>
          <w:rFonts w:eastAsia="Times New Roman"/>
          <w:szCs w:val="20"/>
          <w:lang w:eastAsia="fr-FR"/>
        </w:rPr>
        <w:tab/>
      </w:r>
      <w:r w:rsidRPr="0054340B">
        <w:rPr>
          <w:rFonts w:eastAsia="Times New Roman"/>
          <w:szCs w:val="20"/>
          <w:lang w:eastAsia="fr-FR"/>
        </w:rPr>
        <w:tab/>
      </w:r>
      <w:r w:rsidRPr="0054340B">
        <w:rPr>
          <w:rFonts w:eastAsia="Times New Roman"/>
          <w:szCs w:val="20"/>
          <w:lang w:eastAsia="fr-FR"/>
        </w:rPr>
        <w:tab/>
      </w:r>
      <w:r w:rsidRPr="0054340B">
        <w:rPr>
          <w:rFonts w:eastAsia="Times New Roman"/>
          <w:szCs w:val="20"/>
          <w:lang w:eastAsia="fr-FR"/>
        </w:rPr>
        <w:tab/>
      </w:r>
    </w:p>
    <w:p w14:paraId="61DC9035" w14:textId="77777777" w:rsidR="00963F05" w:rsidRPr="0054340B" w:rsidRDefault="00963F05" w:rsidP="0083506E">
      <w:pPr>
        <w:numPr>
          <w:ilvl w:val="0"/>
          <w:numId w:val="19"/>
        </w:numPr>
        <w:jc w:val="both"/>
        <w:rPr>
          <w:rFonts w:eastAsia="Times New Roman"/>
          <w:szCs w:val="20"/>
          <w:lang w:eastAsia="fr-FR"/>
        </w:rPr>
      </w:pPr>
      <w:r w:rsidRPr="0054340B">
        <w:rPr>
          <w:rFonts w:eastAsia="Times New Roman"/>
          <w:b/>
          <w:szCs w:val="20"/>
          <w:lang w:eastAsia="fr-FR"/>
        </w:rPr>
        <w:t>Risques liés aux aspects réglementaires</w:t>
      </w:r>
      <w:r w:rsidRPr="0054340B">
        <w:rPr>
          <w:rFonts w:eastAsia="Times New Roman"/>
          <w:szCs w:val="20"/>
          <w:lang w:eastAsia="fr-FR"/>
        </w:rPr>
        <w:t xml:space="preserve"> : identifiés comme critiques au tournant de 2017 / 2018, ces risques ont vu leur niveau de criticité baisser grâce aux actions menées ; mais certains gardent une criticité élevée, les plans d’actions étant toujours en cours.</w:t>
      </w:r>
    </w:p>
    <w:p w14:paraId="65952A9A" w14:textId="77777777" w:rsidR="00A5541D" w:rsidRPr="0054340B" w:rsidRDefault="00A5541D" w:rsidP="0054340B">
      <w:pPr>
        <w:jc w:val="both"/>
        <w:rPr>
          <w:szCs w:val="20"/>
        </w:rPr>
      </w:pPr>
    </w:p>
    <w:p w14:paraId="26903E9F" w14:textId="77777777" w:rsidR="00181D68" w:rsidRPr="0054340B" w:rsidRDefault="00963F05" w:rsidP="0083506E">
      <w:pPr>
        <w:widowControl w:val="0"/>
        <w:numPr>
          <w:ilvl w:val="0"/>
          <w:numId w:val="23"/>
        </w:numPr>
        <w:autoSpaceDE w:val="0"/>
        <w:autoSpaceDN w:val="0"/>
        <w:adjustRightInd w:val="0"/>
        <w:contextualSpacing/>
        <w:jc w:val="both"/>
        <w:rPr>
          <w:rFonts w:eastAsia="MS Mincho" w:cs="Arial"/>
          <w:b/>
          <w:szCs w:val="20"/>
        </w:rPr>
      </w:pPr>
      <w:r w:rsidRPr="0054340B">
        <w:rPr>
          <w:rFonts w:eastAsia="MS Mincho" w:cs="Arial"/>
          <w:b/>
          <w:szCs w:val="20"/>
        </w:rPr>
        <w:br w:type="page"/>
      </w:r>
      <w:r w:rsidR="00FC0EE0" w:rsidRPr="0054340B">
        <w:rPr>
          <w:rFonts w:eastAsia="MS Mincho" w:cs="Arial"/>
          <w:b/>
          <w:szCs w:val="20"/>
        </w:rPr>
        <w:lastRenderedPageBreak/>
        <w:t>F</w:t>
      </w:r>
      <w:r w:rsidR="00181D68" w:rsidRPr="0054340B">
        <w:rPr>
          <w:rFonts w:eastAsia="MS Mincho" w:cs="Arial"/>
          <w:b/>
          <w:szCs w:val="20"/>
        </w:rPr>
        <w:t>inalités du dispositif</w:t>
      </w:r>
    </w:p>
    <w:p w14:paraId="06BF2A17" w14:textId="77777777" w:rsidR="00181D68" w:rsidRPr="0054340B" w:rsidRDefault="00181D68" w:rsidP="0054340B">
      <w:pPr>
        <w:jc w:val="both"/>
        <w:rPr>
          <w:szCs w:val="20"/>
        </w:rPr>
      </w:pPr>
    </w:p>
    <w:p w14:paraId="6EBE5D0A" w14:textId="243528FA" w:rsidR="00A5541D" w:rsidRDefault="00A5541D" w:rsidP="0054340B">
      <w:pPr>
        <w:jc w:val="both"/>
        <w:rPr>
          <w:szCs w:val="20"/>
        </w:rPr>
      </w:pPr>
      <w:r w:rsidRPr="0054340B">
        <w:rPr>
          <w:szCs w:val="20"/>
        </w:rPr>
        <w:t xml:space="preserve">Le dispositif de management des risques fournit une approche structurée pour </w:t>
      </w:r>
      <w:r w:rsidRPr="0054340B">
        <w:rPr>
          <w:b/>
          <w:szCs w:val="20"/>
        </w:rPr>
        <w:t>l’identification, l’évaluation, le traitement et le contrôle des risques</w:t>
      </w:r>
      <w:r w:rsidRPr="0054340B">
        <w:rPr>
          <w:szCs w:val="20"/>
        </w:rPr>
        <w:t xml:space="preserve"> de toute nature. Les méthodes de management des risques mises en œuvre par la SGP et ses prestataires doivent être homogènes, à des fins de consolidation, de transversalité et de cohérence de pilotage. Il constitue un outil au service de l’atteinte des objectifs du projet, structuré par 4 composantes :</w:t>
      </w:r>
    </w:p>
    <w:p w14:paraId="2671C302" w14:textId="77777777" w:rsidR="0054340B" w:rsidRPr="0054340B" w:rsidRDefault="0054340B" w:rsidP="0054340B">
      <w:pPr>
        <w:jc w:val="both"/>
        <w:rPr>
          <w:szCs w:val="20"/>
        </w:rPr>
      </w:pPr>
    </w:p>
    <w:p w14:paraId="18043AAD" w14:textId="77777777" w:rsidR="00A5541D" w:rsidRPr="0054340B" w:rsidRDefault="00A5541D" w:rsidP="0083506E">
      <w:pPr>
        <w:numPr>
          <w:ilvl w:val="0"/>
          <w:numId w:val="19"/>
        </w:numPr>
        <w:jc w:val="both"/>
        <w:rPr>
          <w:rFonts w:eastAsia="Times New Roman"/>
          <w:szCs w:val="20"/>
          <w:lang w:eastAsia="fr-FR"/>
        </w:rPr>
      </w:pPr>
      <w:r w:rsidRPr="0054340B">
        <w:rPr>
          <w:rFonts w:eastAsia="Times New Roman"/>
          <w:szCs w:val="20"/>
          <w:lang w:eastAsia="fr-FR"/>
        </w:rPr>
        <w:t xml:space="preserve">définir </w:t>
      </w:r>
      <w:r w:rsidRPr="0054340B">
        <w:rPr>
          <w:rFonts w:eastAsia="Times New Roman"/>
          <w:b/>
          <w:szCs w:val="20"/>
          <w:lang w:eastAsia="fr-FR"/>
        </w:rPr>
        <w:t>les risques en fonction des objectifs</w:t>
      </w:r>
      <w:r w:rsidRPr="0054340B">
        <w:rPr>
          <w:rFonts w:eastAsia="Times New Roman"/>
          <w:szCs w:val="20"/>
          <w:lang w:eastAsia="fr-FR"/>
        </w:rPr>
        <w:t xml:space="preserve"> fixés à l’établissement et intégrer les processus de management de risques aux processus de pilotage ;</w:t>
      </w:r>
    </w:p>
    <w:p w14:paraId="754BC401" w14:textId="77777777" w:rsidR="00A5541D" w:rsidRPr="0054340B" w:rsidRDefault="00A5541D" w:rsidP="0083506E">
      <w:pPr>
        <w:numPr>
          <w:ilvl w:val="0"/>
          <w:numId w:val="19"/>
        </w:numPr>
        <w:jc w:val="both"/>
        <w:rPr>
          <w:rFonts w:eastAsia="Times New Roman"/>
          <w:szCs w:val="20"/>
          <w:lang w:eastAsia="fr-FR"/>
        </w:rPr>
      </w:pPr>
      <w:r w:rsidRPr="0054340B">
        <w:rPr>
          <w:rFonts w:eastAsia="Times New Roman"/>
          <w:szCs w:val="20"/>
          <w:lang w:eastAsia="fr-FR"/>
        </w:rPr>
        <w:t xml:space="preserve">soutenir la capacité de la SGP à atteindre ses objectifs, en </w:t>
      </w:r>
      <w:r w:rsidRPr="0054340B">
        <w:rPr>
          <w:rFonts w:eastAsia="Times New Roman"/>
          <w:b/>
          <w:szCs w:val="20"/>
          <w:lang w:eastAsia="fr-FR"/>
        </w:rPr>
        <w:t>anticipant les risques et en mettant en place des plans d’action</w:t>
      </w:r>
      <w:r w:rsidRPr="0054340B">
        <w:rPr>
          <w:rFonts w:eastAsia="Times New Roman"/>
          <w:szCs w:val="20"/>
          <w:lang w:eastAsia="fr-FR"/>
        </w:rPr>
        <w:t xml:space="preserve"> permettant de réduire la probabilité et les conséquences potentielles d’évènements pouvant avoir un effet négatif sur le projet ; </w:t>
      </w:r>
    </w:p>
    <w:p w14:paraId="76AB4D4D" w14:textId="77777777" w:rsidR="00A5541D" w:rsidRPr="0054340B" w:rsidRDefault="00A5541D" w:rsidP="0083506E">
      <w:pPr>
        <w:numPr>
          <w:ilvl w:val="0"/>
          <w:numId w:val="19"/>
        </w:numPr>
        <w:jc w:val="both"/>
        <w:rPr>
          <w:rFonts w:eastAsia="Times New Roman"/>
          <w:szCs w:val="20"/>
          <w:lang w:eastAsia="fr-FR"/>
        </w:rPr>
      </w:pPr>
      <w:r w:rsidRPr="0054340B">
        <w:rPr>
          <w:rFonts w:eastAsia="Times New Roman"/>
          <w:b/>
          <w:szCs w:val="20"/>
          <w:lang w:eastAsia="fr-FR"/>
        </w:rPr>
        <w:t>améliorer la prise de décision, le pilotage des coûts à terminaison, la planification, la hiérarchisation des activités et l’allocation des ressources</w:t>
      </w:r>
      <w:r w:rsidRPr="0054340B">
        <w:rPr>
          <w:rFonts w:eastAsia="Times New Roman"/>
          <w:szCs w:val="20"/>
          <w:lang w:eastAsia="fr-FR"/>
        </w:rPr>
        <w:t xml:space="preserve"> en augmentant la connaissance des risques, en fournissant aux activités les moyens de traiter les risques au niveau le plus adéquat, et en organisant des processus de décision adaptés ;</w:t>
      </w:r>
    </w:p>
    <w:p w14:paraId="24C17564" w14:textId="77777777" w:rsidR="00A5541D" w:rsidRPr="0054340B" w:rsidRDefault="00A5541D" w:rsidP="0083506E">
      <w:pPr>
        <w:numPr>
          <w:ilvl w:val="0"/>
          <w:numId w:val="19"/>
        </w:numPr>
        <w:jc w:val="both"/>
        <w:rPr>
          <w:rFonts w:eastAsia="Times New Roman"/>
          <w:szCs w:val="20"/>
          <w:lang w:eastAsia="fr-FR"/>
        </w:rPr>
      </w:pPr>
      <w:r w:rsidRPr="0054340B">
        <w:rPr>
          <w:rFonts w:eastAsia="Times New Roman"/>
          <w:b/>
          <w:szCs w:val="20"/>
          <w:lang w:eastAsia="fr-FR"/>
        </w:rPr>
        <w:t>fournir une assurance raisonnable aux parties prenantes internes et externes</w:t>
      </w:r>
      <w:r w:rsidRPr="0054340B">
        <w:rPr>
          <w:rFonts w:eastAsia="Times New Roman"/>
          <w:szCs w:val="20"/>
          <w:lang w:eastAsia="fr-FR"/>
        </w:rPr>
        <w:t xml:space="preserve"> quant à la capacité de la SGP à comprendre ses risques les plus significatifs et à les traiter activement, au moyen de procédures de reporting adaptées.</w:t>
      </w:r>
    </w:p>
    <w:p w14:paraId="2CC13EE4" w14:textId="77777777" w:rsidR="00A5541D" w:rsidRPr="0054340B" w:rsidRDefault="00A5541D" w:rsidP="0054340B">
      <w:pPr>
        <w:jc w:val="both"/>
        <w:rPr>
          <w:szCs w:val="20"/>
        </w:rPr>
      </w:pPr>
    </w:p>
    <w:p w14:paraId="0C968833" w14:textId="7552E270" w:rsidR="00D36808" w:rsidRDefault="00D36808" w:rsidP="0054340B">
      <w:pPr>
        <w:jc w:val="both"/>
        <w:rPr>
          <w:rFonts w:eastAsia="Times New Roman"/>
          <w:szCs w:val="20"/>
          <w:lang w:eastAsia="fr-FR"/>
        </w:rPr>
      </w:pPr>
      <w:r w:rsidRPr="0054340B">
        <w:rPr>
          <w:rFonts w:eastAsia="Times New Roman"/>
          <w:b/>
          <w:szCs w:val="20"/>
          <w:lang w:eastAsia="fr-FR"/>
        </w:rPr>
        <w:t>La prise en compte des risques est donc prioritairement d’ordre opérationnel et qualitatif</w:t>
      </w:r>
      <w:r w:rsidRPr="0054340B">
        <w:rPr>
          <w:rFonts w:eastAsia="Times New Roman"/>
          <w:szCs w:val="20"/>
          <w:lang w:eastAsia="fr-FR"/>
        </w:rPr>
        <w:t xml:space="preserve"> (cf. ci-</w:t>
      </w:r>
      <w:r w:rsidR="006527F5" w:rsidRPr="0054340B">
        <w:rPr>
          <w:rFonts w:eastAsia="Times New Roman"/>
          <w:szCs w:val="20"/>
          <w:lang w:eastAsia="fr-FR"/>
        </w:rPr>
        <w:t>dessous</w:t>
      </w:r>
      <w:r w:rsidRPr="0054340B">
        <w:rPr>
          <w:rFonts w:eastAsia="Times New Roman"/>
          <w:szCs w:val="20"/>
          <w:lang w:eastAsia="fr-FR"/>
        </w:rPr>
        <w:t xml:space="preserve"> appétence aux risques et qua</w:t>
      </w:r>
      <w:r w:rsidR="006527F5" w:rsidRPr="0054340B">
        <w:rPr>
          <w:rFonts w:eastAsia="Times New Roman"/>
          <w:szCs w:val="20"/>
          <w:lang w:eastAsia="fr-FR"/>
        </w:rPr>
        <w:t>lification des risques majeurs). Elle vise à recenser et hiérarchiser</w:t>
      </w:r>
      <w:r w:rsidRPr="0054340B">
        <w:rPr>
          <w:rFonts w:eastAsia="Times New Roman"/>
          <w:szCs w:val="20"/>
          <w:lang w:eastAsia="fr-FR"/>
        </w:rPr>
        <w:t xml:space="preserve"> la criticité des risques afin, d’une part, d’en prioriser le traitement et, d’autre part, de dimensionner les plans de maîtrise proportionnellement à leur enjeu.</w:t>
      </w:r>
    </w:p>
    <w:p w14:paraId="07C5E42B" w14:textId="77777777" w:rsidR="0054340B" w:rsidRPr="0054340B" w:rsidRDefault="0054340B" w:rsidP="0054340B">
      <w:pPr>
        <w:jc w:val="both"/>
        <w:rPr>
          <w:rFonts w:eastAsia="Times New Roman"/>
          <w:szCs w:val="20"/>
          <w:lang w:eastAsia="fr-FR"/>
        </w:rPr>
      </w:pPr>
    </w:p>
    <w:p w14:paraId="05F3B811" w14:textId="4DCEF44D" w:rsidR="00001B20" w:rsidRDefault="00001B20" w:rsidP="0054340B">
      <w:pPr>
        <w:jc w:val="both"/>
        <w:rPr>
          <w:szCs w:val="20"/>
        </w:rPr>
      </w:pPr>
      <w:r w:rsidRPr="0054340B">
        <w:rPr>
          <w:szCs w:val="20"/>
        </w:rPr>
        <w:t>Sont visés</w:t>
      </w:r>
      <w:r w:rsidR="00D36808" w:rsidRPr="0054340B">
        <w:rPr>
          <w:szCs w:val="20"/>
        </w:rPr>
        <w:t xml:space="preserve"> les typologies de risques suivantes</w:t>
      </w:r>
      <w:r w:rsidRPr="0054340B">
        <w:rPr>
          <w:szCs w:val="20"/>
        </w:rPr>
        <w:t xml:space="preserve"> : </w:t>
      </w:r>
    </w:p>
    <w:p w14:paraId="177F0E09" w14:textId="77777777" w:rsidR="0054340B" w:rsidRPr="0054340B" w:rsidRDefault="0054340B" w:rsidP="0054340B">
      <w:pPr>
        <w:jc w:val="both"/>
        <w:rPr>
          <w:szCs w:val="20"/>
        </w:rPr>
      </w:pPr>
    </w:p>
    <w:p w14:paraId="71E905BE" w14:textId="77777777" w:rsidR="00001B20" w:rsidRPr="0054340B" w:rsidRDefault="00001B20" w:rsidP="0083506E">
      <w:pPr>
        <w:numPr>
          <w:ilvl w:val="0"/>
          <w:numId w:val="19"/>
        </w:numPr>
        <w:jc w:val="both"/>
        <w:rPr>
          <w:rFonts w:eastAsia="Times New Roman"/>
          <w:b/>
          <w:szCs w:val="20"/>
          <w:lang w:eastAsia="fr-FR"/>
        </w:rPr>
      </w:pPr>
      <w:r w:rsidRPr="0054340B">
        <w:rPr>
          <w:rFonts w:eastAsia="Times New Roman"/>
          <w:b/>
          <w:szCs w:val="20"/>
          <w:lang w:eastAsia="fr-FR"/>
        </w:rPr>
        <w:t>les risques de conformité ;</w:t>
      </w:r>
    </w:p>
    <w:p w14:paraId="138E3240" w14:textId="77777777" w:rsidR="00001B20" w:rsidRPr="0054340B" w:rsidRDefault="00001B20" w:rsidP="0083506E">
      <w:pPr>
        <w:numPr>
          <w:ilvl w:val="0"/>
          <w:numId w:val="19"/>
        </w:numPr>
        <w:jc w:val="both"/>
        <w:rPr>
          <w:rFonts w:eastAsia="Times New Roman"/>
          <w:b/>
          <w:szCs w:val="20"/>
          <w:lang w:eastAsia="fr-FR"/>
        </w:rPr>
      </w:pPr>
      <w:r w:rsidRPr="0054340B">
        <w:rPr>
          <w:rFonts w:eastAsia="Times New Roman"/>
          <w:b/>
          <w:szCs w:val="20"/>
          <w:lang w:eastAsia="fr-FR"/>
        </w:rPr>
        <w:t>les risques liés à la sûreté et à la sécurité ;</w:t>
      </w:r>
    </w:p>
    <w:p w14:paraId="512A8E33" w14:textId="77777777" w:rsidR="00001B20" w:rsidRPr="0054340B" w:rsidRDefault="00001B20" w:rsidP="0083506E">
      <w:pPr>
        <w:numPr>
          <w:ilvl w:val="0"/>
          <w:numId w:val="19"/>
        </w:numPr>
        <w:jc w:val="both"/>
        <w:rPr>
          <w:rFonts w:eastAsia="Times New Roman"/>
          <w:b/>
          <w:szCs w:val="20"/>
          <w:lang w:eastAsia="fr-FR"/>
        </w:rPr>
      </w:pPr>
      <w:r w:rsidRPr="0054340B">
        <w:rPr>
          <w:rFonts w:eastAsia="Times New Roman"/>
          <w:b/>
          <w:szCs w:val="20"/>
          <w:lang w:eastAsia="fr-FR"/>
        </w:rPr>
        <w:t xml:space="preserve">les risques liés à l’image de la SGP ; </w:t>
      </w:r>
    </w:p>
    <w:p w14:paraId="689E2945" w14:textId="77777777" w:rsidR="00001B20" w:rsidRPr="0054340B" w:rsidRDefault="00001B20" w:rsidP="0083506E">
      <w:pPr>
        <w:numPr>
          <w:ilvl w:val="0"/>
          <w:numId w:val="19"/>
        </w:numPr>
        <w:jc w:val="both"/>
        <w:rPr>
          <w:rFonts w:eastAsia="Times New Roman"/>
          <w:b/>
          <w:szCs w:val="20"/>
          <w:lang w:eastAsia="fr-FR"/>
        </w:rPr>
      </w:pPr>
      <w:r w:rsidRPr="0054340B">
        <w:rPr>
          <w:rFonts w:eastAsia="Times New Roman"/>
          <w:b/>
          <w:szCs w:val="20"/>
          <w:lang w:eastAsia="fr-FR"/>
        </w:rPr>
        <w:t>tous les risques à impact financier élevé ;</w:t>
      </w:r>
    </w:p>
    <w:p w14:paraId="16A227BE" w14:textId="77777777" w:rsidR="00001B20" w:rsidRPr="0054340B" w:rsidRDefault="00001B20" w:rsidP="0083506E">
      <w:pPr>
        <w:numPr>
          <w:ilvl w:val="0"/>
          <w:numId w:val="19"/>
        </w:numPr>
        <w:jc w:val="both"/>
        <w:rPr>
          <w:rFonts w:eastAsia="Times New Roman"/>
          <w:szCs w:val="20"/>
          <w:lang w:eastAsia="fr-FR"/>
        </w:rPr>
      </w:pPr>
      <w:r w:rsidRPr="0054340B">
        <w:rPr>
          <w:rFonts w:eastAsia="Times New Roman"/>
          <w:b/>
          <w:szCs w:val="20"/>
          <w:lang w:eastAsia="fr-FR"/>
        </w:rPr>
        <w:t>tous les risques ayant un impact sur les jalons clefs des plannings de référence</w:t>
      </w:r>
      <w:r w:rsidRPr="0054340B">
        <w:rPr>
          <w:rFonts w:eastAsia="Times New Roman"/>
          <w:szCs w:val="20"/>
          <w:lang w:eastAsia="fr-FR"/>
        </w:rPr>
        <w:t>.</w:t>
      </w:r>
    </w:p>
    <w:p w14:paraId="65DB582C" w14:textId="77777777" w:rsidR="00001B20" w:rsidRPr="0054340B" w:rsidRDefault="00001B20" w:rsidP="0054340B">
      <w:pPr>
        <w:jc w:val="both"/>
        <w:rPr>
          <w:szCs w:val="20"/>
        </w:rPr>
      </w:pPr>
    </w:p>
    <w:p w14:paraId="2AD27A02" w14:textId="5B0A8572" w:rsidR="00296CE1" w:rsidRDefault="00A5541D" w:rsidP="0054340B">
      <w:pPr>
        <w:jc w:val="both"/>
        <w:rPr>
          <w:szCs w:val="20"/>
        </w:rPr>
      </w:pPr>
      <w:r w:rsidRPr="0054340B">
        <w:rPr>
          <w:szCs w:val="20"/>
        </w:rPr>
        <w:t xml:space="preserve">Les risques identifiés sont </w:t>
      </w:r>
      <w:r w:rsidR="006527F5" w:rsidRPr="0054340B">
        <w:rPr>
          <w:szCs w:val="20"/>
        </w:rPr>
        <w:t xml:space="preserve">tous </w:t>
      </w:r>
      <w:r w:rsidRPr="0054340B">
        <w:rPr>
          <w:szCs w:val="20"/>
        </w:rPr>
        <w:t xml:space="preserve">évalués selon des échelles </w:t>
      </w:r>
      <w:r w:rsidR="00D36808" w:rsidRPr="0054340B">
        <w:rPr>
          <w:szCs w:val="20"/>
        </w:rPr>
        <w:t xml:space="preserve">normées </w:t>
      </w:r>
      <w:r w:rsidRPr="0054340B">
        <w:rPr>
          <w:szCs w:val="20"/>
        </w:rPr>
        <w:t>de probabilité (niveau 1 à 4) et de gravité (</w:t>
      </w:r>
      <w:r w:rsidR="00296CE1" w:rsidRPr="0054340B">
        <w:rPr>
          <w:szCs w:val="20"/>
        </w:rPr>
        <w:t>niveau 1 à 4</w:t>
      </w:r>
      <w:r w:rsidR="002914A7" w:rsidRPr="0054340B">
        <w:rPr>
          <w:szCs w:val="20"/>
        </w:rPr>
        <w:t xml:space="preserve"> multicritères</w:t>
      </w:r>
      <w:r w:rsidR="00296CE1" w:rsidRPr="0054340B">
        <w:rPr>
          <w:szCs w:val="20"/>
        </w:rPr>
        <w:t xml:space="preserve"> : </w:t>
      </w:r>
      <w:r w:rsidRPr="0054340B">
        <w:rPr>
          <w:szCs w:val="20"/>
        </w:rPr>
        <w:t xml:space="preserve">coûts, délais, </w:t>
      </w:r>
      <w:r w:rsidR="00296CE1" w:rsidRPr="0054340B">
        <w:rPr>
          <w:szCs w:val="20"/>
        </w:rPr>
        <w:t>sécurité, juridique, image, opérations) qui se traduisent en criticité (probabilité x gravité). Les risques majeurs sont les risques de criticité 9 à 16 ou de gravité 4, traduction opérationnelle de l’appétence aux risques de l’établissement.</w:t>
      </w:r>
    </w:p>
    <w:p w14:paraId="3DAE492C" w14:textId="77777777" w:rsidR="0054340B" w:rsidRPr="0054340B" w:rsidRDefault="0054340B" w:rsidP="0054340B">
      <w:pPr>
        <w:jc w:val="both"/>
        <w:rPr>
          <w:szCs w:val="20"/>
        </w:rPr>
      </w:pPr>
    </w:p>
    <w:p w14:paraId="679F7963" w14:textId="59978786" w:rsidR="006527F5" w:rsidRPr="0054340B" w:rsidRDefault="006527F5" w:rsidP="0054340B">
      <w:pPr>
        <w:jc w:val="both"/>
        <w:rPr>
          <w:szCs w:val="20"/>
        </w:rPr>
      </w:pPr>
      <w:r w:rsidRPr="0054340B">
        <w:rPr>
          <w:szCs w:val="20"/>
        </w:rPr>
        <w:t xml:space="preserve">Le PMR de la SGP stipule que les risques majeurs doivent être mis sous contrôle. Ceux-ci font ainsi l’objet d’un reporting au COMEX, précisant les modalités de maîtrise et le niveau de risque résiduel atteint ou à défaut ciblé, ainsi que les échéances prévisionnelles d’aboutissement des plans d’action. </w:t>
      </w:r>
    </w:p>
    <w:p w14:paraId="6C00C2EC" w14:textId="3AAE1F22" w:rsidR="006527F5" w:rsidRPr="0054340B" w:rsidRDefault="0054340B" w:rsidP="0054340B">
      <w:pPr>
        <w:jc w:val="both"/>
        <w:rPr>
          <w:szCs w:val="20"/>
        </w:rPr>
      </w:pPr>
      <w:r w:rsidRPr="0054340B">
        <w:rPr>
          <w:noProof/>
          <w:szCs w:val="20"/>
          <w:lang w:eastAsia="fr-FR"/>
        </w:rPr>
        <w:drawing>
          <wp:anchor distT="0" distB="0" distL="114300" distR="114300" simplePos="0" relativeHeight="251631104" behindDoc="0" locked="0" layoutInCell="1" allowOverlap="1" wp14:anchorId="3AADCA22" wp14:editId="207F9F2F">
            <wp:simplePos x="0" y="0"/>
            <wp:positionH relativeFrom="margin">
              <wp:posOffset>2261235</wp:posOffset>
            </wp:positionH>
            <wp:positionV relativeFrom="margin">
              <wp:posOffset>6805960</wp:posOffset>
            </wp:positionV>
            <wp:extent cx="2011680" cy="1999615"/>
            <wp:effectExtent l="0" t="0" r="7620" b="635"/>
            <wp:wrapSquare wrapText="bothSides"/>
            <wp:docPr id="967" name="Imag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11680" cy="1999615"/>
                    </a:xfrm>
                    <a:prstGeom prst="rect">
                      <a:avLst/>
                    </a:prstGeom>
                    <a:noFill/>
                  </pic:spPr>
                </pic:pic>
              </a:graphicData>
            </a:graphic>
            <wp14:sizeRelH relativeFrom="page">
              <wp14:pctWidth>0</wp14:pctWidth>
            </wp14:sizeRelH>
            <wp14:sizeRelV relativeFrom="page">
              <wp14:pctHeight>0</wp14:pctHeight>
            </wp14:sizeRelV>
          </wp:anchor>
        </w:drawing>
      </w:r>
    </w:p>
    <w:p w14:paraId="7442D084" w14:textId="77777777" w:rsidR="00A5541D" w:rsidRPr="0054340B" w:rsidRDefault="00150A72" w:rsidP="0054340B">
      <w:pPr>
        <w:jc w:val="both"/>
        <w:rPr>
          <w:szCs w:val="20"/>
        </w:rPr>
      </w:pPr>
      <w:r w:rsidRPr="0054340B">
        <w:rPr>
          <w:rFonts w:eastAsia="Times New Roman"/>
          <w:noProof/>
          <w:szCs w:val="20"/>
          <w:lang w:eastAsia="fr-FR"/>
        </w:rPr>
        <w:drawing>
          <wp:inline distT="0" distB="0" distL="0" distR="0" wp14:anchorId="2ED047DB" wp14:editId="076172A8">
            <wp:extent cx="4832985" cy="1816735"/>
            <wp:effectExtent l="0" t="0" r="5715" b="0"/>
            <wp:docPr id="96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32985" cy="1816735"/>
                    </a:xfrm>
                    <a:prstGeom prst="rect">
                      <a:avLst/>
                    </a:prstGeom>
                    <a:noFill/>
                    <a:ln>
                      <a:noFill/>
                    </a:ln>
                  </pic:spPr>
                </pic:pic>
              </a:graphicData>
            </a:graphic>
          </wp:inline>
        </w:drawing>
      </w:r>
    </w:p>
    <w:p w14:paraId="424650AA" w14:textId="77777777" w:rsidR="00D36808" w:rsidRPr="0054340B" w:rsidRDefault="00D36808" w:rsidP="0054340B">
      <w:pPr>
        <w:widowControl w:val="0"/>
        <w:autoSpaceDE w:val="0"/>
        <w:autoSpaceDN w:val="0"/>
        <w:adjustRightInd w:val="0"/>
        <w:ind w:left="720"/>
        <w:contextualSpacing/>
        <w:jc w:val="both"/>
        <w:rPr>
          <w:rFonts w:eastAsia="MS Mincho" w:cs="Arial"/>
          <w:b/>
          <w:szCs w:val="20"/>
        </w:rPr>
      </w:pPr>
    </w:p>
    <w:p w14:paraId="1E915537" w14:textId="77777777" w:rsidR="00A5541D" w:rsidRPr="0054340B" w:rsidRDefault="00296CE1" w:rsidP="0083506E">
      <w:pPr>
        <w:widowControl w:val="0"/>
        <w:numPr>
          <w:ilvl w:val="0"/>
          <w:numId w:val="23"/>
        </w:numPr>
        <w:autoSpaceDE w:val="0"/>
        <w:autoSpaceDN w:val="0"/>
        <w:adjustRightInd w:val="0"/>
        <w:contextualSpacing/>
        <w:jc w:val="both"/>
        <w:rPr>
          <w:rFonts w:eastAsia="MS Mincho" w:cs="Arial"/>
          <w:b/>
          <w:szCs w:val="20"/>
        </w:rPr>
      </w:pPr>
      <w:r w:rsidRPr="0054340B">
        <w:rPr>
          <w:rFonts w:eastAsia="MS Mincho" w:cs="Arial"/>
          <w:b/>
          <w:szCs w:val="20"/>
        </w:rPr>
        <w:t>Principes d’organisation</w:t>
      </w:r>
    </w:p>
    <w:p w14:paraId="487ECF16" w14:textId="77777777" w:rsidR="001B476D" w:rsidRPr="0054340B" w:rsidRDefault="001B476D" w:rsidP="0054340B">
      <w:pPr>
        <w:jc w:val="both"/>
        <w:rPr>
          <w:szCs w:val="20"/>
        </w:rPr>
      </w:pPr>
    </w:p>
    <w:p w14:paraId="43DB49FF" w14:textId="6239DFE5" w:rsidR="00242FE7" w:rsidRDefault="001B476D" w:rsidP="0054340B">
      <w:pPr>
        <w:jc w:val="both"/>
        <w:rPr>
          <w:szCs w:val="20"/>
        </w:rPr>
      </w:pPr>
      <w:r w:rsidRPr="0054340B">
        <w:rPr>
          <w:szCs w:val="20"/>
        </w:rPr>
        <w:t xml:space="preserve">L’organisation est conçue pour répondre au besoin de </w:t>
      </w:r>
      <w:r w:rsidRPr="0054340B">
        <w:rPr>
          <w:b/>
          <w:szCs w:val="20"/>
        </w:rPr>
        <w:t>suivi des risques par Projet de Ligne</w:t>
      </w:r>
      <w:r w:rsidRPr="0054340B">
        <w:rPr>
          <w:szCs w:val="20"/>
        </w:rPr>
        <w:t xml:space="preserve">, au sein de registres de risques intégrés. </w:t>
      </w:r>
    </w:p>
    <w:p w14:paraId="614F35E5" w14:textId="77777777" w:rsidR="0054340B" w:rsidRPr="0054340B" w:rsidRDefault="0054340B" w:rsidP="0054340B">
      <w:pPr>
        <w:jc w:val="both"/>
        <w:rPr>
          <w:szCs w:val="20"/>
        </w:rPr>
      </w:pPr>
    </w:p>
    <w:p w14:paraId="4EB28EA8" w14:textId="36D38D00" w:rsidR="004B7000" w:rsidRDefault="00242FE7" w:rsidP="0054340B">
      <w:pPr>
        <w:jc w:val="both"/>
        <w:rPr>
          <w:szCs w:val="20"/>
        </w:rPr>
      </w:pPr>
      <w:r w:rsidRPr="0054340B">
        <w:rPr>
          <w:szCs w:val="20"/>
        </w:rPr>
        <w:t xml:space="preserve">En application du </w:t>
      </w:r>
      <w:r w:rsidRPr="0054340B">
        <w:rPr>
          <w:b/>
          <w:szCs w:val="20"/>
        </w:rPr>
        <w:t>principe de subsidiarit</w:t>
      </w:r>
      <w:r w:rsidR="00667D84" w:rsidRPr="0054340B">
        <w:rPr>
          <w:b/>
          <w:szCs w:val="20"/>
        </w:rPr>
        <w:t>é</w:t>
      </w:r>
      <w:r w:rsidR="00667D84" w:rsidRPr="0054340B">
        <w:rPr>
          <w:szCs w:val="20"/>
        </w:rPr>
        <w:t>, le risque est identifié, ana</w:t>
      </w:r>
      <w:r w:rsidRPr="0054340B">
        <w:rPr>
          <w:szCs w:val="20"/>
        </w:rPr>
        <w:t>lysé, évalué (hiérarchisé) et traité au niveau opérationnel qui convient.</w:t>
      </w:r>
      <w:r w:rsidR="004B7000" w:rsidRPr="0054340B">
        <w:rPr>
          <w:szCs w:val="20"/>
        </w:rPr>
        <w:t xml:space="preserve"> Une </w:t>
      </w:r>
      <w:r w:rsidR="004B7000" w:rsidRPr="0054340B">
        <w:rPr>
          <w:i/>
          <w:szCs w:val="20"/>
        </w:rPr>
        <w:t>Structure de ventilation des risques</w:t>
      </w:r>
      <w:r w:rsidR="004B7000" w:rsidRPr="0054340B">
        <w:rPr>
          <w:szCs w:val="20"/>
        </w:rPr>
        <w:t xml:space="preserve"> (Transverses SGP / Lignes / Lots) ou </w:t>
      </w:r>
      <w:r w:rsidR="004B7000" w:rsidRPr="0054340B">
        <w:rPr>
          <w:i/>
          <w:szCs w:val="20"/>
        </w:rPr>
        <w:t>Risk Breakdown Structure</w:t>
      </w:r>
      <w:r w:rsidR="004B7000" w:rsidRPr="0054340B">
        <w:rPr>
          <w:szCs w:val="20"/>
        </w:rPr>
        <w:t xml:space="preserve"> (RBS) permet d’assigner le suivi des risques au niveau le plus pertinent.</w:t>
      </w:r>
    </w:p>
    <w:p w14:paraId="6CD507AC" w14:textId="77777777" w:rsidR="0054340B" w:rsidRPr="0054340B" w:rsidRDefault="0054340B" w:rsidP="0054340B">
      <w:pPr>
        <w:jc w:val="both"/>
        <w:rPr>
          <w:szCs w:val="20"/>
        </w:rPr>
      </w:pPr>
    </w:p>
    <w:p w14:paraId="3317A6C3" w14:textId="4394470C" w:rsidR="004B7000" w:rsidRDefault="001907E7" w:rsidP="0054340B">
      <w:pPr>
        <w:jc w:val="both"/>
        <w:rPr>
          <w:szCs w:val="20"/>
        </w:rPr>
      </w:pPr>
      <w:r w:rsidRPr="0054340B">
        <w:rPr>
          <w:szCs w:val="20"/>
        </w:rPr>
        <w:t>Les registres de risques sont alimentés</w:t>
      </w:r>
      <w:r w:rsidR="004B7000" w:rsidRPr="0054340B">
        <w:rPr>
          <w:szCs w:val="20"/>
        </w:rPr>
        <w:t>,</w:t>
      </w:r>
      <w:r w:rsidRPr="0054340B">
        <w:rPr>
          <w:szCs w:val="20"/>
        </w:rPr>
        <w:t xml:space="preserve"> d’une part</w:t>
      </w:r>
      <w:r w:rsidR="004B7000" w:rsidRPr="0054340B">
        <w:rPr>
          <w:szCs w:val="20"/>
        </w:rPr>
        <w:t>,</w:t>
      </w:r>
      <w:r w:rsidRPr="0054340B">
        <w:rPr>
          <w:szCs w:val="20"/>
        </w:rPr>
        <w:t xml:space="preserve"> par les registres de risques techniques établis contractuellement </w:t>
      </w:r>
      <w:r w:rsidR="004B7000" w:rsidRPr="0054340B">
        <w:rPr>
          <w:szCs w:val="20"/>
        </w:rPr>
        <w:t>par les</w:t>
      </w:r>
      <w:r w:rsidRPr="0054340B">
        <w:rPr>
          <w:szCs w:val="20"/>
        </w:rPr>
        <w:t xml:space="preserve"> maitres d’œuvre et les entreprises ou les groupements</w:t>
      </w:r>
      <w:r w:rsidR="004B7000" w:rsidRPr="0054340B">
        <w:rPr>
          <w:szCs w:val="20"/>
        </w:rPr>
        <w:t>, revus et challengés par la MOA</w:t>
      </w:r>
      <w:r w:rsidRPr="0054340B">
        <w:rPr>
          <w:szCs w:val="20"/>
        </w:rPr>
        <w:t>, et d’autre part par les contributions</w:t>
      </w:r>
      <w:r w:rsidR="004B7000" w:rsidRPr="0054340B">
        <w:rPr>
          <w:szCs w:val="20"/>
        </w:rPr>
        <w:t xml:space="preserve"> directes</w:t>
      </w:r>
      <w:r w:rsidRPr="0054340B">
        <w:rPr>
          <w:szCs w:val="20"/>
        </w:rPr>
        <w:t xml:space="preserve"> </w:t>
      </w:r>
      <w:r w:rsidR="00D36808" w:rsidRPr="0054340B">
        <w:rPr>
          <w:szCs w:val="20"/>
        </w:rPr>
        <w:t>de la</w:t>
      </w:r>
      <w:r w:rsidRPr="0054340B">
        <w:rPr>
          <w:szCs w:val="20"/>
        </w:rPr>
        <w:t xml:space="preserve"> maîtrise d’ouvrage ou </w:t>
      </w:r>
      <w:r w:rsidR="00D36808" w:rsidRPr="0054340B">
        <w:rPr>
          <w:szCs w:val="20"/>
        </w:rPr>
        <w:t xml:space="preserve">de ses </w:t>
      </w:r>
      <w:r w:rsidRPr="0054340B">
        <w:rPr>
          <w:szCs w:val="20"/>
        </w:rPr>
        <w:t>assistance</w:t>
      </w:r>
      <w:r w:rsidR="00D36808" w:rsidRPr="0054340B">
        <w:rPr>
          <w:szCs w:val="20"/>
        </w:rPr>
        <w:t>s</w:t>
      </w:r>
      <w:r w:rsidRPr="0054340B">
        <w:rPr>
          <w:szCs w:val="20"/>
        </w:rPr>
        <w:t xml:space="preserve"> à maîtrise d’ouvrage</w:t>
      </w:r>
      <w:r w:rsidR="00D36808" w:rsidRPr="0054340B">
        <w:rPr>
          <w:szCs w:val="20"/>
        </w:rPr>
        <w:t xml:space="preserve"> (AMO)</w:t>
      </w:r>
      <w:r w:rsidRPr="0054340B">
        <w:rPr>
          <w:szCs w:val="20"/>
        </w:rPr>
        <w:t>.</w:t>
      </w:r>
    </w:p>
    <w:p w14:paraId="2A76710D" w14:textId="77777777" w:rsidR="0054340B" w:rsidRPr="0054340B" w:rsidRDefault="0054340B" w:rsidP="0054340B">
      <w:pPr>
        <w:jc w:val="both"/>
        <w:rPr>
          <w:szCs w:val="20"/>
        </w:rPr>
      </w:pPr>
    </w:p>
    <w:p w14:paraId="2D65579D" w14:textId="1CDBC376" w:rsidR="00242FE7" w:rsidRDefault="00242FE7" w:rsidP="0054340B">
      <w:pPr>
        <w:jc w:val="both"/>
        <w:rPr>
          <w:szCs w:val="20"/>
        </w:rPr>
      </w:pPr>
      <w:r w:rsidRPr="0054340B">
        <w:rPr>
          <w:b/>
          <w:szCs w:val="20"/>
        </w:rPr>
        <w:t xml:space="preserve">Chaque risque est pris en </w:t>
      </w:r>
      <w:r w:rsidR="00D36808" w:rsidRPr="0054340B">
        <w:rPr>
          <w:b/>
          <w:szCs w:val="20"/>
        </w:rPr>
        <w:t>charge</w:t>
      </w:r>
      <w:r w:rsidRPr="0054340B">
        <w:rPr>
          <w:b/>
          <w:szCs w:val="20"/>
        </w:rPr>
        <w:t xml:space="preserve"> par un </w:t>
      </w:r>
      <w:r w:rsidRPr="0054340B">
        <w:rPr>
          <w:b/>
          <w:i/>
          <w:szCs w:val="20"/>
        </w:rPr>
        <w:t>propriétaire de risque</w:t>
      </w:r>
      <w:r w:rsidRPr="0054340B">
        <w:rPr>
          <w:szCs w:val="20"/>
        </w:rPr>
        <w:t xml:space="preserve">, responsable du suivi des plans de traitement, de la surveillance de l’évolution du risque, et de son reporting. </w:t>
      </w:r>
      <w:r w:rsidR="00D36808" w:rsidRPr="0054340B">
        <w:rPr>
          <w:szCs w:val="20"/>
        </w:rPr>
        <w:t>Ce dernier</w:t>
      </w:r>
      <w:r w:rsidRPr="0054340B">
        <w:rPr>
          <w:szCs w:val="20"/>
        </w:rPr>
        <w:t xml:space="preserve"> anime fonctionnellement les </w:t>
      </w:r>
      <w:r w:rsidRPr="0054340B">
        <w:rPr>
          <w:i/>
          <w:szCs w:val="20"/>
        </w:rPr>
        <w:t>porteurs d’</w:t>
      </w:r>
      <w:r w:rsidR="00667D84" w:rsidRPr="0054340B">
        <w:rPr>
          <w:i/>
          <w:szCs w:val="20"/>
        </w:rPr>
        <w:t>actions</w:t>
      </w:r>
      <w:r w:rsidR="00667D84" w:rsidRPr="0054340B">
        <w:rPr>
          <w:szCs w:val="20"/>
        </w:rPr>
        <w:t>, en charge de la mise en œuvre des plans de maîtrise.</w:t>
      </w:r>
    </w:p>
    <w:p w14:paraId="35E64123" w14:textId="77777777" w:rsidR="0054340B" w:rsidRPr="0054340B" w:rsidRDefault="0054340B" w:rsidP="0054340B">
      <w:pPr>
        <w:jc w:val="both"/>
        <w:rPr>
          <w:szCs w:val="20"/>
        </w:rPr>
      </w:pPr>
    </w:p>
    <w:p w14:paraId="23DEF489" w14:textId="5D5DA930" w:rsidR="00667D84" w:rsidRDefault="00667D84" w:rsidP="0054340B">
      <w:pPr>
        <w:jc w:val="both"/>
        <w:rPr>
          <w:szCs w:val="20"/>
        </w:rPr>
      </w:pPr>
      <w:r w:rsidRPr="0054340B">
        <w:rPr>
          <w:szCs w:val="20"/>
        </w:rPr>
        <w:t>L’ensemble des risques identifiés</w:t>
      </w:r>
      <w:r w:rsidR="00D36808" w:rsidRPr="0054340B">
        <w:rPr>
          <w:szCs w:val="20"/>
        </w:rPr>
        <w:t xml:space="preserve"> à la maille opérationnelle</w:t>
      </w:r>
      <w:r w:rsidRPr="0054340B">
        <w:rPr>
          <w:szCs w:val="20"/>
        </w:rPr>
        <w:t xml:space="preserve"> est </w:t>
      </w:r>
      <w:r w:rsidRPr="0054340B">
        <w:rPr>
          <w:b/>
          <w:szCs w:val="20"/>
        </w:rPr>
        <w:t xml:space="preserve">consolidé dans les </w:t>
      </w:r>
      <w:r w:rsidRPr="0054340B">
        <w:rPr>
          <w:b/>
          <w:i/>
          <w:szCs w:val="20"/>
        </w:rPr>
        <w:t xml:space="preserve">registres des risques </w:t>
      </w:r>
      <w:r w:rsidRPr="0054340B">
        <w:rPr>
          <w:b/>
          <w:szCs w:val="20"/>
        </w:rPr>
        <w:t>des Lignes</w:t>
      </w:r>
      <w:r w:rsidR="00D36808" w:rsidRPr="0054340B">
        <w:rPr>
          <w:szCs w:val="20"/>
        </w:rPr>
        <w:t xml:space="preserve">. Ce sera également le cas, </w:t>
      </w:r>
      <w:r w:rsidRPr="0054340B">
        <w:rPr>
          <w:szCs w:val="20"/>
        </w:rPr>
        <w:t>à terme,</w:t>
      </w:r>
      <w:r w:rsidR="00D36808" w:rsidRPr="0054340B">
        <w:rPr>
          <w:szCs w:val="20"/>
        </w:rPr>
        <w:t xml:space="preserve"> pour les</w:t>
      </w:r>
      <w:r w:rsidRPr="0054340B">
        <w:rPr>
          <w:szCs w:val="20"/>
        </w:rPr>
        <w:t xml:space="preserve"> fonctions support et activit</w:t>
      </w:r>
      <w:r w:rsidR="00D36808" w:rsidRPr="0054340B">
        <w:rPr>
          <w:szCs w:val="20"/>
        </w:rPr>
        <w:t>é</w:t>
      </w:r>
      <w:r w:rsidRPr="0054340B">
        <w:rPr>
          <w:szCs w:val="20"/>
        </w:rPr>
        <w:t>s d’acquisition</w:t>
      </w:r>
      <w:r w:rsidR="00D36808" w:rsidRPr="0054340B">
        <w:rPr>
          <w:szCs w:val="20"/>
        </w:rPr>
        <w:t xml:space="preserve"> foncière</w:t>
      </w:r>
      <w:r w:rsidRPr="0054340B">
        <w:rPr>
          <w:szCs w:val="20"/>
        </w:rPr>
        <w:t xml:space="preserve">. Ces opérations de consolidation nécessitent l’assemblage de registres de divers sources métiers, l’élimination de doublons, le traitement </w:t>
      </w:r>
      <w:r w:rsidR="0032668E" w:rsidRPr="0054340B">
        <w:rPr>
          <w:szCs w:val="20"/>
        </w:rPr>
        <w:t>des risques</w:t>
      </w:r>
      <w:r w:rsidRPr="0054340B">
        <w:rPr>
          <w:szCs w:val="20"/>
        </w:rPr>
        <w:t xml:space="preserve"> en interface, et la mise en qualité des registres ainsi consolidés pour s’assurer </w:t>
      </w:r>
      <w:r w:rsidR="004B7000" w:rsidRPr="0054340B">
        <w:rPr>
          <w:szCs w:val="20"/>
        </w:rPr>
        <w:t xml:space="preserve">de la qualité de l’identification, de la description, de la cotation des risques, mais aussi </w:t>
      </w:r>
      <w:r w:rsidRPr="0054340B">
        <w:rPr>
          <w:szCs w:val="20"/>
        </w:rPr>
        <w:t>de l</w:t>
      </w:r>
      <w:r w:rsidR="004B7000" w:rsidRPr="0054340B">
        <w:rPr>
          <w:szCs w:val="20"/>
        </w:rPr>
        <w:t xml:space="preserve">eur </w:t>
      </w:r>
      <w:r w:rsidRPr="0054340B">
        <w:rPr>
          <w:szCs w:val="20"/>
        </w:rPr>
        <w:t xml:space="preserve">indépendance les uns par rapport aux autres. Ces opérations sont sous la responsabilité des </w:t>
      </w:r>
      <w:r w:rsidRPr="0054340B">
        <w:rPr>
          <w:i/>
          <w:szCs w:val="20"/>
        </w:rPr>
        <w:t xml:space="preserve">risk managers des </w:t>
      </w:r>
      <w:r w:rsidR="00421A19" w:rsidRPr="0054340B">
        <w:rPr>
          <w:i/>
          <w:szCs w:val="20"/>
        </w:rPr>
        <w:t xml:space="preserve">Projets de </w:t>
      </w:r>
      <w:r w:rsidRPr="0054340B">
        <w:rPr>
          <w:i/>
          <w:szCs w:val="20"/>
        </w:rPr>
        <w:t>Ligne</w:t>
      </w:r>
      <w:r w:rsidR="001907E7" w:rsidRPr="0054340B">
        <w:rPr>
          <w:i/>
          <w:szCs w:val="20"/>
        </w:rPr>
        <w:t>s</w:t>
      </w:r>
      <w:r w:rsidRPr="0054340B">
        <w:rPr>
          <w:szCs w:val="20"/>
        </w:rPr>
        <w:t>.</w:t>
      </w:r>
    </w:p>
    <w:p w14:paraId="6D308F98" w14:textId="77777777" w:rsidR="0054340B" w:rsidRPr="0054340B" w:rsidRDefault="0054340B" w:rsidP="0054340B">
      <w:pPr>
        <w:jc w:val="both"/>
        <w:rPr>
          <w:szCs w:val="20"/>
        </w:rPr>
      </w:pPr>
    </w:p>
    <w:p w14:paraId="3B57DEB9" w14:textId="77777777" w:rsidR="00667D84" w:rsidRPr="0054340B" w:rsidRDefault="00667D84" w:rsidP="0054340B">
      <w:pPr>
        <w:jc w:val="both"/>
        <w:rPr>
          <w:szCs w:val="20"/>
        </w:rPr>
      </w:pPr>
      <w:r w:rsidRPr="0054340B">
        <w:rPr>
          <w:b/>
          <w:szCs w:val="20"/>
        </w:rPr>
        <w:t xml:space="preserve">Annuellement, la DRAC met à jour la </w:t>
      </w:r>
      <w:r w:rsidRPr="0054340B">
        <w:rPr>
          <w:b/>
          <w:i/>
          <w:szCs w:val="20"/>
        </w:rPr>
        <w:t>cartographie des risques de haut niveau de la SGP</w:t>
      </w:r>
      <w:r w:rsidRPr="0054340B">
        <w:rPr>
          <w:szCs w:val="20"/>
        </w:rPr>
        <w:t>. Elle exploite pour cela l’ensemble des risques identifiés et listés dans les regi</w:t>
      </w:r>
      <w:r w:rsidR="00D36808" w:rsidRPr="0054340B">
        <w:rPr>
          <w:szCs w:val="20"/>
        </w:rPr>
        <w:t>s</w:t>
      </w:r>
      <w:r w:rsidRPr="0054340B">
        <w:rPr>
          <w:szCs w:val="20"/>
        </w:rPr>
        <w:t>tres</w:t>
      </w:r>
      <w:r w:rsidR="004B7000" w:rsidRPr="0054340B">
        <w:rPr>
          <w:szCs w:val="20"/>
        </w:rPr>
        <w:t xml:space="preserve"> opérationnels</w:t>
      </w:r>
      <w:r w:rsidRPr="0054340B">
        <w:rPr>
          <w:szCs w:val="20"/>
        </w:rPr>
        <w:t>, les conclusions des audits internes, celles des audits externes, les travaux menés en contrôle interne</w:t>
      </w:r>
      <w:r w:rsidR="004B7000" w:rsidRPr="0054340B">
        <w:rPr>
          <w:szCs w:val="20"/>
        </w:rPr>
        <w:t xml:space="preserve"> et plus généralement tout document de nature à renseigner sur le profil de risque du projet</w:t>
      </w:r>
      <w:r w:rsidRPr="0054340B">
        <w:rPr>
          <w:szCs w:val="20"/>
        </w:rPr>
        <w:t xml:space="preserve">. Chaque risque </w:t>
      </w:r>
      <w:r w:rsidR="00D36808" w:rsidRPr="0054340B">
        <w:rPr>
          <w:szCs w:val="20"/>
        </w:rPr>
        <w:t xml:space="preserve">agrégé </w:t>
      </w:r>
      <w:r w:rsidRPr="0054340B">
        <w:rPr>
          <w:szCs w:val="20"/>
        </w:rPr>
        <w:t>de la cartogr</w:t>
      </w:r>
      <w:r w:rsidR="00D36808" w:rsidRPr="0054340B">
        <w:rPr>
          <w:szCs w:val="20"/>
        </w:rPr>
        <w:t>a</w:t>
      </w:r>
      <w:r w:rsidRPr="0054340B">
        <w:rPr>
          <w:szCs w:val="20"/>
        </w:rPr>
        <w:t xml:space="preserve">phie SGP est attribué à un propriétaire de niveau COMEX, </w:t>
      </w:r>
      <w:r w:rsidR="00D36808" w:rsidRPr="0054340B">
        <w:rPr>
          <w:szCs w:val="20"/>
        </w:rPr>
        <w:t>suivant les mêmes principes que pour le</w:t>
      </w:r>
      <w:r w:rsidRPr="0054340B">
        <w:rPr>
          <w:szCs w:val="20"/>
        </w:rPr>
        <w:t xml:space="preserve"> dispositif opérationnel.</w:t>
      </w:r>
    </w:p>
    <w:p w14:paraId="35082677" w14:textId="77777777" w:rsidR="00421A19" w:rsidRPr="0054340B" w:rsidRDefault="002C128F" w:rsidP="0054340B">
      <w:pPr>
        <w:jc w:val="both"/>
        <w:rPr>
          <w:szCs w:val="20"/>
        </w:rPr>
      </w:pPr>
      <w:r w:rsidRPr="0054340B">
        <w:rPr>
          <w:szCs w:val="20"/>
        </w:rPr>
        <w:br w:type="page"/>
      </w:r>
      <w:r w:rsidR="00421A19" w:rsidRPr="0054340B">
        <w:rPr>
          <w:szCs w:val="20"/>
        </w:rPr>
        <w:lastRenderedPageBreak/>
        <w:t xml:space="preserve">Le schéma global d’organisation est illustré ci-après : </w:t>
      </w:r>
    </w:p>
    <w:p w14:paraId="14B8731B" w14:textId="77777777" w:rsidR="00242FE7" w:rsidRPr="0054340B" w:rsidRDefault="00150A72" w:rsidP="0054340B">
      <w:pPr>
        <w:jc w:val="both"/>
        <w:rPr>
          <w:szCs w:val="20"/>
        </w:rPr>
      </w:pPr>
      <w:r w:rsidRPr="0054340B">
        <w:rPr>
          <w:noProof/>
          <w:szCs w:val="20"/>
          <w:lang w:eastAsia="fr-FR"/>
        </w:rPr>
        <w:drawing>
          <wp:inline distT="0" distB="0" distL="0" distR="0" wp14:anchorId="40783F31" wp14:editId="601D226D">
            <wp:extent cx="6353175" cy="2719705"/>
            <wp:effectExtent l="0" t="0" r="9525" b="4445"/>
            <wp:docPr id="96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53175" cy="2719705"/>
                    </a:xfrm>
                    <a:prstGeom prst="rect">
                      <a:avLst/>
                    </a:prstGeom>
                    <a:noFill/>
                    <a:ln>
                      <a:noFill/>
                    </a:ln>
                  </pic:spPr>
                </pic:pic>
              </a:graphicData>
            </a:graphic>
          </wp:inline>
        </w:drawing>
      </w:r>
    </w:p>
    <w:p w14:paraId="03249E6A" w14:textId="7B01AF67" w:rsidR="00421A19" w:rsidRDefault="001B476D" w:rsidP="0054340B">
      <w:pPr>
        <w:jc w:val="both"/>
        <w:rPr>
          <w:szCs w:val="20"/>
        </w:rPr>
      </w:pPr>
      <w:r w:rsidRPr="0054340B">
        <w:rPr>
          <w:szCs w:val="20"/>
        </w:rPr>
        <w:t xml:space="preserve">Le </w:t>
      </w:r>
      <w:r w:rsidRPr="0054340B">
        <w:rPr>
          <w:b/>
          <w:szCs w:val="20"/>
        </w:rPr>
        <w:t>suivi des risques par Projet de Ligne</w:t>
      </w:r>
      <w:r w:rsidRPr="0054340B">
        <w:rPr>
          <w:szCs w:val="20"/>
        </w:rPr>
        <w:t xml:space="preserve"> </w:t>
      </w:r>
      <w:r w:rsidR="004B7000" w:rsidRPr="0054340B">
        <w:rPr>
          <w:szCs w:val="20"/>
        </w:rPr>
        <w:t>s’articule</w:t>
      </w:r>
      <w:r w:rsidRPr="0054340B">
        <w:rPr>
          <w:szCs w:val="20"/>
        </w:rPr>
        <w:t xml:space="preserve"> avec un suivi transverse des risques par métier (expertises génie civil, tous corps d’état, systèmes, gares etc..), en cohérence avec l’organisation matricielle de la SGP, afin de garantir l’homogénéité d’identification, d’analyse, d’évaluation et de traitement des risques.</w:t>
      </w:r>
    </w:p>
    <w:p w14:paraId="0AB305EC" w14:textId="77777777" w:rsidR="0054340B" w:rsidRPr="0054340B" w:rsidRDefault="0054340B" w:rsidP="0054340B">
      <w:pPr>
        <w:jc w:val="both"/>
        <w:rPr>
          <w:szCs w:val="20"/>
        </w:rPr>
      </w:pPr>
    </w:p>
    <w:p w14:paraId="2EDE068D" w14:textId="10F6D9D2" w:rsidR="001B476D" w:rsidRDefault="00667D84" w:rsidP="0054340B">
      <w:pPr>
        <w:jc w:val="both"/>
        <w:rPr>
          <w:szCs w:val="20"/>
        </w:rPr>
      </w:pPr>
      <w:r w:rsidRPr="0054340B">
        <w:rPr>
          <w:b/>
          <w:szCs w:val="20"/>
        </w:rPr>
        <w:t>Les rôles et r</w:t>
      </w:r>
      <w:r w:rsidR="00421A19" w:rsidRPr="0054340B">
        <w:rPr>
          <w:b/>
          <w:szCs w:val="20"/>
        </w:rPr>
        <w:t>espons</w:t>
      </w:r>
      <w:r w:rsidRPr="0054340B">
        <w:rPr>
          <w:b/>
          <w:szCs w:val="20"/>
        </w:rPr>
        <w:t>a</w:t>
      </w:r>
      <w:r w:rsidR="00421A19" w:rsidRPr="0054340B">
        <w:rPr>
          <w:b/>
          <w:szCs w:val="20"/>
        </w:rPr>
        <w:t>b</w:t>
      </w:r>
      <w:r w:rsidRPr="0054340B">
        <w:rPr>
          <w:b/>
          <w:szCs w:val="20"/>
        </w:rPr>
        <w:t xml:space="preserve">ilités </w:t>
      </w:r>
      <w:r w:rsidR="004B7000" w:rsidRPr="0054340B">
        <w:rPr>
          <w:b/>
          <w:szCs w:val="20"/>
        </w:rPr>
        <w:t xml:space="preserve">entre acteurs du dispositif </w:t>
      </w:r>
      <w:r w:rsidR="004B7000" w:rsidRPr="0054340B">
        <w:rPr>
          <w:szCs w:val="20"/>
        </w:rPr>
        <w:t>de management des risques</w:t>
      </w:r>
      <w:r w:rsidR="004B7000" w:rsidRPr="0054340B">
        <w:rPr>
          <w:b/>
          <w:szCs w:val="20"/>
        </w:rPr>
        <w:t xml:space="preserve"> </w:t>
      </w:r>
      <w:r w:rsidRPr="0054340B">
        <w:rPr>
          <w:b/>
          <w:szCs w:val="20"/>
        </w:rPr>
        <w:t>se répartissent comme suit</w:t>
      </w:r>
      <w:r w:rsidRPr="0054340B">
        <w:rPr>
          <w:szCs w:val="20"/>
        </w:rPr>
        <w:t> :</w:t>
      </w:r>
    </w:p>
    <w:p w14:paraId="690F11C5" w14:textId="77777777" w:rsidR="0054340B" w:rsidRPr="0054340B" w:rsidRDefault="0054340B" w:rsidP="0054340B">
      <w:pPr>
        <w:jc w:val="both"/>
        <w:rPr>
          <w:szCs w:val="20"/>
        </w:rPr>
      </w:pPr>
    </w:p>
    <w:p w14:paraId="16AE11FD" w14:textId="77777777" w:rsidR="001B476D" w:rsidRPr="0054340B" w:rsidRDefault="001B476D" w:rsidP="0083506E">
      <w:pPr>
        <w:numPr>
          <w:ilvl w:val="0"/>
          <w:numId w:val="19"/>
        </w:numPr>
        <w:jc w:val="both"/>
        <w:rPr>
          <w:szCs w:val="20"/>
        </w:rPr>
      </w:pPr>
      <w:r w:rsidRPr="0054340B">
        <w:rPr>
          <w:szCs w:val="20"/>
        </w:rPr>
        <w:t xml:space="preserve">Les </w:t>
      </w:r>
      <w:r w:rsidRPr="0054340B">
        <w:rPr>
          <w:i/>
          <w:szCs w:val="20"/>
        </w:rPr>
        <w:t>risk managers des Projets de Ligne</w:t>
      </w:r>
      <w:r w:rsidRPr="0054340B">
        <w:rPr>
          <w:szCs w:val="20"/>
        </w:rPr>
        <w:t xml:space="preserve"> sont responsables de la tenue à jour du registre des risques du Projet, et garants de l’application des méthodes SGP au sein du Projet, y compris maîtres d’œuvres, entreprises et groupements. Ils animent les contributions des experts, s’assurent de l’avancement des plans d’actions, et mettent en œuvre les opérations d’assemblage des registres, d’élimination des doublons, et de consolidation des risques en interface (1ère ligne de maîtrise). </w:t>
      </w:r>
    </w:p>
    <w:p w14:paraId="2EF4DB52" w14:textId="77777777" w:rsidR="001B476D" w:rsidRPr="0054340B" w:rsidRDefault="001B476D" w:rsidP="0083506E">
      <w:pPr>
        <w:numPr>
          <w:ilvl w:val="0"/>
          <w:numId w:val="19"/>
        </w:numPr>
        <w:jc w:val="both"/>
        <w:rPr>
          <w:szCs w:val="20"/>
        </w:rPr>
      </w:pPr>
      <w:r w:rsidRPr="0054340B">
        <w:rPr>
          <w:szCs w:val="20"/>
        </w:rPr>
        <w:t xml:space="preserve">Au cœur des activités, les plateaux de Projet de Ligne sont chacun dotés </w:t>
      </w:r>
      <w:r w:rsidRPr="0054340B">
        <w:rPr>
          <w:i/>
          <w:szCs w:val="20"/>
        </w:rPr>
        <w:t>d’experts métiers</w:t>
      </w:r>
      <w:r w:rsidRPr="0054340B">
        <w:rPr>
          <w:szCs w:val="20"/>
        </w:rPr>
        <w:t>. Les experts du plateau projet sont référents risques de leur métier pour le plateau projet : ils identifient, analysent, évaluent, traitent et suivent l’évolution des risques. Etant les plus à même de comprendre et traiter les risques, ils en sont souvent propriétaires ou porteurs d’actions.</w:t>
      </w:r>
    </w:p>
    <w:p w14:paraId="028EAC6A" w14:textId="77777777" w:rsidR="001B476D" w:rsidRPr="0054340B" w:rsidRDefault="001B476D" w:rsidP="0083506E">
      <w:pPr>
        <w:numPr>
          <w:ilvl w:val="0"/>
          <w:numId w:val="19"/>
        </w:numPr>
        <w:jc w:val="both"/>
        <w:rPr>
          <w:szCs w:val="20"/>
        </w:rPr>
      </w:pPr>
      <w:r w:rsidRPr="0054340B">
        <w:rPr>
          <w:szCs w:val="20"/>
        </w:rPr>
        <w:t xml:space="preserve">Le </w:t>
      </w:r>
      <w:r w:rsidRPr="0054340B">
        <w:rPr>
          <w:i/>
          <w:szCs w:val="20"/>
        </w:rPr>
        <w:t>risk manager de la direction Systèmes de transport et exploitation</w:t>
      </w:r>
      <w:r w:rsidRPr="0054340B">
        <w:rPr>
          <w:szCs w:val="20"/>
        </w:rPr>
        <w:t xml:space="preserve"> (STE) et le risk manager </w:t>
      </w:r>
      <w:r w:rsidR="008162B0" w:rsidRPr="0054340B">
        <w:rPr>
          <w:szCs w:val="20"/>
        </w:rPr>
        <w:t>d</w:t>
      </w:r>
      <w:r w:rsidRPr="0054340B">
        <w:rPr>
          <w:szCs w:val="20"/>
        </w:rPr>
        <w:t>e la direction Marchés et Pilotage Contractuel (MPC) et les référents/adjoints risques des autres directions, sont responsables des registres de risques transverses métiers, dont ils assurent la cohérence entre Projets de Ligne, en termes : d’application des méthodes SGP, de modalités d’analyse et de traitement des risques, mais aussi dans les évaluations quantitatives et qualitatives. Ils identifient les actions à mutualiser, en particulier pour les risques en interface, et peuvent proposer que le propriétaire de risques soit nommé au sein des directions transverses métiers, plutôt qu’au sein d’une direction de projet.</w:t>
      </w:r>
    </w:p>
    <w:p w14:paraId="367906E5" w14:textId="77777777" w:rsidR="001B476D" w:rsidRPr="0054340B" w:rsidRDefault="001B476D" w:rsidP="0083506E">
      <w:pPr>
        <w:numPr>
          <w:ilvl w:val="0"/>
          <w:numId w:val="19"/>
        </w:numPr>
        <w:jc w:val="both"/>
        <w:rPr>
          <w:szCs w:val="20"/>
        </w:rPr>
      </w:pPr>
      <w:r w:rsidRPr="0054340B">
        <w:rPr>
          <w:szCs w:val="20"/>
        </w:rPr>
        <w:t xml:space="preserve">La </w:t>
      </w:r>
      <w:r w:rsidRPr="0054340B">
        <w:rPr>
          <w:i/>
          <w:szCs w:val="20"/>
        </w:rPr>
        <w:t>direction Pilotage, Méthodes et Outils (PMO)</w:t>
      </w:r>
      <w:r w:rsidRPr="0054340B">
        <w:rPr>
          <w:szCs w:val="20"/>
        </w:rPr>
        <w:t xml:space="preserve"> est responsable du registre des risques en interface, veille en particulier aux opérations de consolidation et aux plans de traitement, et déclenche le cas échéant des procédures d’instruction complémentaires.</w:t>
      </w:r>
    </w:p>
    <w:p w14:paraId="5C0A555C" w14:textId="77777777" w:rsidR="001B476D" w:rsidRPr="0054340B" w:rsidRDefault="001B476D" w:rsidP="0083506E">
      <w:pPr>
        <w:numPr>
          <w:ilvl w:val="0"/>
          <w:numId w:val="19"/>
        </w:numPr>
        <w:jc w:val="both"/>
        <w:rPr>
          <w:szCs w:val="20"/>
        </w:rPr>
      </w:pPr>
      <w:r w:rsidRPr="0054340B">
        <w:rPr>
          <w:szCs w:val="20"/>
        </w:rPr>
        <w:t xml:space="preserve">Les risques des fonctions support sont identifiés par les </w:t>
      </w:r>
      <w:r w:rsidRPr="0054340B">
        <w:rPr>
          <w:i/>
          <w:szCs w:val="20"/>
        </w:rPr>
        <w:t>référents/adjoints risques des fonctions supports</w:t>
      </w:r>
      <w:r w:rsidRPr="0054340B">
        <w:rPr>
          <w:szCs w:val="20"/>
        </w:rPr>
        <w:t>, qui sont responsables du renseignement des registres des risques. Ces risques sont affectés vers les registres de risques des directions de projet, ou vers le registre de</w:t>
      </w:r>
      <w:r w:rsidR="001907E7" w:rsidRPr="0054340B">
        <w:rPr>
          <w:szCs w:val="20"/>
        </w:rPr>
        <w:t xml:space="preserve"> risques des fonctions support. </w:t>
      </w:r>
    </w:p>
    <w:p w14:paraId="137996EC" w14:textId="77777777" w:rsidR="00421A19" w:rsidRPr="0054340B" w:rsidRDefault="00421A19" w:rsidP="0054340B">
      <w:pPr>
        <w:jc w:val="both"/>
        <w:rPr>
          <w:szCs w:val="20"/>
        </w:rPr>
      </w:pPr>
    </w:p>
    <w:p w14:paraId="3A9F8FCF" w14:textId="0229B386" w:rsidR="00421A19" w:rsidRDefault="001B476D" w:rsidP="0054340B">
      <w:pPr>
        <w:jc w:val="both"/>
        <w:rPr>
          <w:szCs w:val="20"/>
        </w:rPr>
      </w:pPr>
      <w:r w:rsidRPr="0054340B">
        <w:rPr>
          <w:szCs w:val="20"/>
        </w:rPr>
        <w:t xml:space="preserve">La </w:t>
      </w:r>
      <w:r w:rsidRPr="0054340B">
        <w:rPr>
          <w:i/>
          <w:szCs w:val="20"/>
        </w:rPr>
        <w:t>DRAC</w:t>
      </w:r>
      <w:r w:rsidRPr="0054340B">
        <w:rPr>
          <w:szCs w:val="20"/>
        </w:rPr>
        <w:t xml:space="preserve"> assure l’organisation, la mise en œuvre</w:t>
      </w:r>
      <w:r w:rsidR="00D36808" w:rsidRPr="0054340B">
        <w:rPr>
          <w:szCs w:val="20"/>
        </w:rPr>
        <w:t xml:space="preserve">, </w:t>
      </w:r>
      <w:r w:rsidRPr="0054340B">
        <w:rPr>
          <w:szCs w:val="20"/>
        </w:rPr>
        <w:t>l’animation</w:t>
      </w:r>
      <w:r w:rsidR="00D36808" w:rsidRPr="0054340B">
        <w:rPr>
          <w:szCs w:val="20"/>
        </w:rPr>
        <w:t xml:space="preserve"> et le contrôle</w:t>
      </w:r>
      <w:r w:rsidRPr="0054340B">
        <w:rPr>
          <w:szCs w:val="20"/>
        </w:rPr>
        <w:t xml:space="preserve"> de l’ensemble du dispositif. Elle produit également </w:t>
      </w:r>
      <w:r w:rsidR="00D36808" w:rsidRPr="0054340B">
        <w:rPr>
          <w:szCs w:val="20"/>
        </w:rPr>
        <w:t xml:space="preserve">des analyses sur les principaux risques de toute nature, effectue </w:t>
      </w:r>
      <w:r w:rsidRPr="0054340B">
        <w:rPr>
          <w:szCs w:val="20"/>
        </w:rPr>
        <w:t>le calcul des estimations financières de l’impact des risque</w:t>
      </w:r>
      <w:r w:rsidR="00D36808" w:rsidRPr="0054340B">
        <w:rPr>
          <w:szCs w:val="20"/>
        </w:rPr>
        <w:t>s</w:t>
      </w:r>
      <w:r w:rsidRPr="0054340B">
        <w:rPr>
          <w:szCs w:val="20"/>
        </w:rPr>
        <w:t>,</w:t>
      </w:r>
      <w:r w:rsidR="00D36808" w:rsidRPr="0054340B">
        <w:rPr>
          <w:szCs w:val="20"/>
        </w:rPr>
        <w:t xml:space="preserve"> élabore</w:t>
      </w:r>
      <w:r w:rsidRPr="0054340B">
        <w:rPr>
          <w:szCs w:val="20"/>
        </w:rPr>
        <w:t xml:space="preserve"> </w:t>
      </w:r>
      <w:r w:rsidR="00D36808" w:rsidRPr="0054340B">
        <w:rPr>
          <w:szCs w:val="20"/>
        </w:rPr>
        <w:t xml:space="preserve">la cartographie des risques de la SGP, et </w:t>
      </w:r>
      <w:r w:rsidR="00D36808" w:rsidRPr="0054340B">
        <w:rPr>
          <w:szCs w:val="20"/>
        </w:rPr>
        <w:t xml:space="preserve">conduit le reporting vers la gouvernance et assure en particulier </w:t>
      </w:r>
      <w:r w:rsidRPr="0054340B">
        <w:rPr>
          <w:szCs w:val="20"/>
        </w:rPr>
        <w:t>l’assemblage des registres de risques des fonctions support.</w:t>
      </w:r>
    </w:p>
    <w:p w14:paraId="14D8BFF3" w14:textId="77777777" w:rsidR="0054340B" w:rsidRPr="0054340B" w:rsidRDefault="0054340B" w:rsidP="0054340B">
      <w:pPr>
        <w:jc w:val="both"/>
        <w:rPr>
          <w:szCs w:val="20"/>
        </w:rPr>
      </w:pPr>
    </w:p>
    <w:p w14:paraId="165CDB42" w14:textId="664C18E6" w:rsidR="00421A19" w:rsidRPr="0054340B" w:rsidRDefault="001907E7" w:rsidP="0054340B">
      <w:pPr>
        <w:jc w:val="both"/>
        <w:rPr>
          <w:szCs w:val="20"/>
        </w:rPr>
      </w:pPr>
      <w:r w:rsidRPr="0054340B">
        <w:rPr>
          <w:rFonts w:eastAsia="Times New Roman"/>
          <w:szCs w:val="20"/>
          <w:lang w:eastAsia="fr-FR"/>
        </w:rPr>
        <w:t>L</w:t>
      </w:r>
      <w:r w:rsidR="00242FE7" w:rsidRPr="0054340B">
        <w:rPr>
          <w:rFonts w:eastAsia="Times New Roman"/>
          <w:szCs w:val="20"/>
          <w:lang w:eastAsia="fr-FR"/>
        </w:rPr>
        <w:t xml:space="preserve">e </w:t>
      </w:r>
      <w:r w:rsidR="00421A19" w:rsidRPr="0054340B">
        <w:rPr>
          <w:rFonts w:eastAsia="Times New Roman"/>
          <w:szCs w:val="20"/>
          <w:lang w:eastAsia="fr-FR"/>
        </w:rPr>
        <w:t xml:space="preserve">pilotage </w:t>
      </w:r>
      <w:r w:rsidR="00242FE7" w:rsidRPr="0054340B">
        <w:rPr>
          <w:rFonts w:eastAsia="Times New Roman"/>
          <w:szCs w:val="20"/>
          <w:lang w:eastAsia="fr-FR"/>
        </w:rPr>
        <w:t xml:space="preserve">des risques est inscrit à l’ordre du jour des réunions de pilotage afin </w:t>
      </w:r>
      <w:r w:rsidR="00242FE7" w:rsidRPr="0054340B">
        <w:rPr>
          <w:rFonts w:eastAsia="Times New Roman"/>
          <w:b/>
          <w:bCs/>
          <w:szCs w:val="20"/>
          <w:lang w:eastAsia="fr-FR"/>
        </w:rPr>
        <w:t xml:space="preserve">d’intégrer </w:t>
      </w:r>
      <w:r w:rsidR="00811626" w:rsidRPr="0054340B">
        <w:rPr>
          <w:rFonts w:eastAsia="Times New Roman"/>
          <w:b/>
          <w:bCs/>
          <w:szCs w:val="20"/>
          <w:lang w:eastAsia="fr-FR"/>
        </w:rPr>
        <w:t xml:space="preserve">autant que possible </w:t>
      </w:r>
      <w:r w:rsidR="00242FE7" w:rsidRPr="0054340B">
        <w:rPr>
          <w:rFonts w:eastAsia="Times New Roman"/>
          <w:b/>
          <w:bCs/>
          <w:szCs w:val="20"/>
          <w:lang w:eastAsia="fr-FR"/>
        </w:rPr>
        <w:t xml:space="preserve">le management des risques aux processus </w:t>
      </w:r>
      <w:r w:rsidR="00D36808" w:rsidRPr="0054340B">
        <w:rPr>
          <w:rFonts w:eastAsia="Times New Roman"/>
          <w:b/>
          <w:bCs/>
          <w:szCs w:val="20"/>
          <w:lang w:eastAsia="fr-FR"/>
        </w:rPr>
        <w:t>de pilotage opérationnels</w:t>
      </w:r>
      <w:r w:rsidR="00242FE7" w:rsidRPr="0054340B">
        <w:rPr>
          <w:rFonts w:eastAsia="Times New Roman"/>
          <w:szCs w:val="20"/>
          <w:lang w:eastAsia="fr-FR"/>
        </w:rPr>
        <w:t xml:space="preserve">. </w:t>
      </w:r>
      <w:r w:rsidR="00421A19" w:rsidRPr="0054340B">
        <w:rPr>
          <w:szCs w:val="20"/>
        </w:rPr>
        <w:t xml:space="preserve">Quel que soit le niveau dans l’établissement, </w:t>
      </w:r>
      <w:r w:rsidR="00D36808" w:rsidRPr="0054340B">
        <w:rPr>
          <w:szCs w:val="20"/>
        </w:rPr>
        <w:t>ce suivi</w:t>
      </w:r>
      <w:r w:rsidR="00421A19" w:rsidRPr="0054340B">
        <w:rPr>
          <w:b/>
          <w:szCs w:val="20"/>
        </w:rPr>
        <w:t xml:space="preserve"> est organisé de façon régulière</w:t>
      </w:r>
      <w:r w:rsidR="00421A19" w:rsidRPr="0054340B">
        <w:rPr>
          <w:szCs w:val="20"/>
        </w:rPr>
        <w:t xml:space="preserve">, avec suivi des écarts d’une </w:t>
      </w:r>
      <w:r w:rsidR="004B7000" w:rsidRPr="0054340B">
        <w:rPr>
          <w:szCs w:val="20"/>
        </w:rPr>
        <w:t>s</w:t>
      </w:r>
      <w:r w:rsidR="00421A19" w:rsidRPr="0054340B">
        <w:rPr>
          <w:szCs w:val="20"/>
        </w:rPr>
        <w:t>ession à l’autre.</w:t>
      </w:r>
    </w:p>
    <w:p w14:paraId="03542B67" w14:textId="77777777" w:rsidR="002C128F" w:rsidRPr="0054340B" w:rsidRDefault="002C128F" w:rsidP="0054340B">
      <w:pPr>
        <w:jc w:val="both"/>
        <w:rPr>
          <w:szCs w:val="20"/>
        </w:rPr>
      </w:pPr>
    </w:p>
    <w:p w14:paraId="4F11B947" w14:textId="6B3BDD2B" w:rsidR="00242FE7" w:rsidRDefault="00421A19" w:rsidP="0054340B">
      <w:pPr>
        <w:jc w:val="both"/>
        <w:rPr>
          <w:rFonts w:eastAsia="Times New Roman"/>
          <w:szCs w:val="20"/>
          <w:lang w:eastAsia="fr-FR"/>
        </w:rPr>
      </w:pPr>
      <w:r w:rsidRPr="0054340B">
        <w:rPr>
          <w:rFonts w:eastAsia="Times New Roman"/>
          <w:szCs w:val="20"/>
          <w:lang w:eastAsia="fr-FR"/>
        </w:rPr>
        <w:t>Les</w:t>
      </w:r>
      <w:r w:rsidR="00D36808" w:rsidRPr="0054340B">
        <w:rPr>
          <w:rFonts w:eastAsia="Times New Roman"/>
          <w:szCs w:val="20"/>
          <w:lang w:eastAsia="fr-FR"/>
        </w:rPr>
        <w:t xml:space="preserve"> p</w:t>
      </w:r>
      <w:r w:rsidRPr="0054340B">
        <w:rPr>
          <w:rFonts w:eastAsia="Times New Roman"/>
          <w:szCs w:val="20"/>
          <w:lang w:eastAsia="fr-FR"/>
        </w:rPr>
        <w:t>rincipes de comitologie, récapitulés dans le tableau ci-dessous, s’établissent comme suit :</w:t>
      </w:r>
    </w:p>
    <w:p w14:paraId="72A0AA56" w14:textId="77777777" w:rsidR="0054340B" w:rsidRPr="0054340B" w:rsidRDefault="0054340B" w:rsidP="0054340B">
      <w:pPr>
        <w:jc w:val="both"/>
        <w:rPr>
          <w:rFonts w:eastAsia="Times New Roman"/>
          <w:szCs w:val="20"/>
          <w:lang w:eastAsia="fr-FR"/>
        </w:rPr>
      </w:pPr>
    </w:p>
    <w:p w14:paraId="75FDAEBC" w14:textId="77777777" w:rsidR="00242FE7" w:rsidRPr="0054340B" w:rsidRDefault="00421A19" w:rsidP="0083506E">
      <w:pPr>
        <w:numPr>
          <w:ilvl w:val="0"/>
          <w:numId w:val="19"/>
        </w:numPr>
        <w:jc w:val="both"/>
        <w:rPr>
          <w:szCs w:val="20"/>
        </w:rPr>
      </w:pPr>
      <w:r w:rsidRPr="0054340B">
        <w:rPr>
          <w:szCs w:val="20"/>
        </w:rPr>
        <w:t>L</w:t>
      </w:r>
      <w:r w:rsidR="00242FE7" w:rsidRPr="0054340B">
        <w:rPr>
          <w:szCs w:val="20"/>
        </w:rPr>
        <w:t>es projets et métiers définissent les modalités des réunions de pilotage sur leur périmètre de responsabilité, selon leur besoin en lien avec la contractualisation réalisée ;</w:t>
      </w:r>
    </w:p>
    <w:p w14:paraId="20256041" w14:textId="600A6790" w:rsidR="00811626" w:rsidRPr="0054340B" w:rsidRDefault="00242FE7" w:rsidP="0083506E">
      <w:pPr>
        <w:numPr>
          <w:ilvl w:val="0"/>
          <w:numId w:val="19"/>
        </w:numPr>
        <w:jc w:val="both"/>
        <w:rPr>
          <w:rFonts w:eastAsia="Times New Roman"/>
          <w:szCs w:val="20"/>
          <w:lang w:eastAsia="fr-FR"/>
        </w:rPr>
      </w:pPr>
      <w:r w:rsidRPr="0054340B">
        <w:rPr>
          <w:szCs w:val="20"/>
        </w:rPr>
        <w:t>les risques en cours de traitement (probabilité d’occurrence à très court terme ; jalons de traitem</w:t>
      </w:r>
      <w:r w:rsidR="00D36808" w:rsidRPr="0054340B">
        <w:rPr>
          <w:szCs w:val="20"/>
        </w:rPr>
        <w:t>e</w:t>
      </w:r>
      <w:r w:rsidRPr="0054340B">
        <w:rPr>
          <w:szCs w:val="20"/>
        </w:rPr>
        <w:t xml:space="preserve">nt des risques rapprochés) font l’objet d’un reporting vers le COMEX et le directoire au sein du tableau de bord de pilotage opérationnel.  </w:t>
      </w:r>
    </w:p>
    <w:p w14:paraId="54EA5E20" w14:textId="106419BB" w:rsidR="00811626" w:rsidRPr="0054340B" w:rsidRDefault="0054340B" w:rsidP="0083506E">
      <w:pPr>
        <w:numPr>
          <w:ilvl w:val="0"/>
          <w:numId w:val="19"/>
        </w:numPr>
        <w:jc w:val="both"/>
        <w:rPr>
          <w:rFonts w:eastAsia="Times New Roman"/>
          <w:szCs w:val="20"/>
          <w:lang w:eastAsia="fr-FR"/>
        </w:rPr>
      </w:pPr>
      <w:r w:rsidRPr="0054340B">
        <w:rPr>
          <w:rFonts w:eastAsia="Times New Roman"/>
          <w:b/>
          <w:noProof/>
          <w:szCs w:val="20"/>
          <w:lang w:eastAsia="fr-FR"/>
        </w:rPr>
        <w:drawing>
          <wp:anchor distT="0" distB="0" distL="114300" distR="114300" simplePos="0" relativeHeight="251633152" behindDoc="0" locked="0" layoutInCell="1" allowOverlap="1" wp14:anchorId="58BE9174" wp14:editId="7D6F7ECE">
            <wp:simplePos x="0" y="0"/>
            <wp:positionH relativeFrom="margin">
              <wp:posOffset>10284372</wp:posOffset>
            </wp:positionH>
            <wp:positionV relativeFrom="margin">
              <wp:posOffset>2328117</wp:posOffset>
            </wp:positionV>
            <wp:extent cx="3378200" cy="1269365"/>
            <wp:effectExtent l="0" t="0" r="0" b="6985"/>
            <wp:wrapSquare wrapText="bothSides"/>
            <wp:docPr id="964" name="Imag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78200" cy="1269365"/>
                    </a:xfrm>
                    <a:prstGeom prst="rect">
                      <a:avLst/>
                    </a:prstGeom>
                    <a:noFill/>
                  </pic:spPr>
                </pic:pic>
              </a:graphicData>
            </a:graphic>
            <wp14:sizeRelH relativeFrom="page">
              <wp14:pctWidth>0</wp14:pctWidth>
            </wp14:sizeRelH>
            <wp14:sizeRelV relativeFrom="page">
              <wp14:pctHeight>0</wp14:pctHeight>
            </wp14:sizeRelV>
          </wp:anchor>
        </w:drawing>
      </w:r>
      <w:r w:rsidR="00242FE7" w:rsidRPr="0054340B">
        <w:rPr>
          <w:rFonts w:eastAsia="Times New Roman"/>
          <w:szCs w:val="20"/>
          <w:lang w:eastAsia="fr-FR"/>
        </w:rPr>
        <w:t>Une revue des risques par Ligne, assortie d’une estimation de l’impact financier des risques identifiés (ERI, voir ci-après), est réalisée à une fréquence semestrielle, de même qu’un COMEX Risques permettant d’assurer la gouvernance du dispositif.</w:t>
      </w:r>
    </w:p>
    <w:p w14:paraId="3E29DA86" w14:textId="77777777" w:rsidR="00242FE7" w:rsidRPr="0054340B" w:rsidRDefault="00242FE7" w:rsidP="0083506E">
      <w:pPr>
        <w:numPr>
          <w:ilvl w:val="0"/>
          <w:numId w:val="19"/>
        </w:numPr>
        <w:jc w:val="both"/>
        <w:rPr>
          <w:rFonts w:eastAsia="Times New Roman"/>
          <w:szCs w:val="20"/>
          <w:lang w:eastAsia="fr-FR"/>
        </w:rPr>
      </w:pPr>
      <w:r w:rsidRPr="0054340B">
        <w:rPr>
          <w:rFonts w:eastAsia="Times New Roman"/>
          <w:szCs w:val="20"/>
          <w:lang w:eastAsia="fr-FR"/>
        </w:rPr>
        <w:t xml:space="preserve">La cartographie de haut niveau des risques de l’établissement est transmise annuellement au Conseil de surveillance après présentation </w:t>
      </w:r>
      <w:r w:rsidR="00D36808" w:rsidRPr="0054340B">
        <w:rPr>
          <w:rFonts w:eastAsia="Times New Roman"/>
          <w:szCs w:val="20"/>
          <w:lang w:eastAsia="fr-FR"/>
        </w:rPr>
        <w:t>au</w:t>
      </w:r>
      <w:r w:rsidRPr="0054340B">
        <w:rPr>
          <w:rFonts w:eastAsia="Times New Roman"/>
          <w:szCs w:val="20"/>
          <w:lang w:eastAsia="fr-FR"/>
        </w:rPr>
        <w:t xml:space="preserve"> Comité d’audit et des engagements.</w:t>
      </w:r>
    </w:p>
    <w:p w14:paraId="66B12BE8" w14:textId="77777777" w:rsidR="001E5B3B" w:rsidRPr="0054340B" w:rsidRDefault="001E5B3B" w:rsidP="0054340B">
      <w:pPr>
        <w:ind w:left="720"/>
        <w:jc w:val="both"/>
        <w:rPr>
          <w:rFonts w:eastAsia="Times New Roman"/>
          <w:szCs w:val="20"/>
          <w:lang w:eastAsia="fr-FR"/>
        </w:rPr>
      </w:pPr>
    </w:p>
    <w:p w14:paraId="35EE4C55" w14:textId="77777777" w:rsidR="001B476D" w:rsidRPr="0054340B" w:rsidRDefault="00150A72" w:rsidP="0054340B">
      <w:pPr>
        <w:jc w:val="both"/>
        <w:rPr>
          <w:rFonts w:eastAsia="Times New Roman"/>
          <w:szCs w:val="20"/>
          <w:lang w:eastAsia="fr-FR"/>
        </w:rPr>
      </w:pPr>
      <w:r w:rsidRPr="0054340B">
        <w:rPr>
          <w:rFonts w:eastAsia="Times New Roman"/>
          <w:noProof/>
          <w:szCs w:val="20"/>
          <w:lang w:eastAsia="fr-FR"/>
        </w:rPr>
        <w:drawing>
          <wp:inline distT="0" distB="0" distL="0" distR="0" wp14:anchorId="00E4681E" wp14:editId="557AF07C">
            <wp:extent cx="6519545" cy="2838450"/>
            <wp:effectExtent l="0" t="0" r="0" b="0"/>
            <wp:docPr id="96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519545" cy="2838450"/>
                    </a:xfrm>
                    <a:prstGeom prst="rect">
                      <a:avLst/>
                    </a:prstGeom>
                    <a:noFill/>
                    <a:ln>
                      <a:noFill/>
                    </a:ln>
                  </pic:spPr>
                </pic:pic>
              </a:graphicData>
            </a:graphic>
          </wp:inline>
        </w:drawing>
      </w:r>
    </w:p>
    <w:p w14:paraId="11F325AF" w14:textId="77777777" w:rsidR="00A51C82" w:rsidRPr="0054340B" w:rsidRDefault="00A51C82" w:rsidP="0054340B">
      <w:pPr>
        <w:widowControl w:val="0"/>
        <w:autoSpaceDE w:val="0"/>
        <w:autoSpaceDN w:val="0"/>
        <w:adjustRightInd w:val="0"/>
        <w:ind w:left="720"/>
        <w:contextualSpacing/>
        <w:jc w:val="both"/>
        <w:rPr>
          <w:rFonts w:eastAsia="MS Mincho" w:cs="Arial"/>
          <w:b/>
          <w:szCs w:val="20"/>
        </w:rPr>
      </w:pPr>
    </w:p>
    <w:p w14:paraId="10554F5F" w14:textId="77777777" w:rsidR="003B02C6" w:rsidRPr="0054340B" w:rsidRDefault="003B02C6" w:rsidP="0054340B">
      <w:pPr>
        <w:widowControl w:val="0"/>
        <w:autoSpaceDE w:val="0"/>
        <w:autoSpaceDN w:val="0"/>
        <w:adjustRightInd w:val="0"/>
        <w:ind w:left="720"/>
        <w:contextualSpacing/>
        <w:jc w:val="both"/>
        <w:rPr>
          <w:rFonts w:eastAsia="MS Mincho" w:cs="Arial"/>
          <w:b/>
          <w:szCs w:val="20"/>
        </w:rPr>
      </w:pPr>
    </w:p>
    <w:p w14:paraId="33D2B51F" w14:textId="77777777" w:rsidR="00A51C82" w:rsidRPr="0054340B" w:rsidRDefault="00A51C82" w:rsidP="0054340B">
      <w:pPr>
        <w:widowControl w:val="0"/>
        <w:autoSpaceDE w:val="0"/>
        <w:autoSpaceDN w:val="0"/>
        <w:adjustRightInd w:val="0"/>
        <w:ind w:left="720"/>
        <w:contextualSpacing/>
        <w:jc w:val="both"/>
        <w:rPr>
          <w:rFonts w:eastAsia="MS Mincho" w:cs="Arial"/>
          <w:b/>
          <w:szCs w:val="20"/>
        </w:rPr>
      </w:pPr>
    </w:p>
    <w:p w14:paraId="357B3649" w14:textId="77777777" w:rsidR="00811626" w:rsidRPr="0054340B" w:rsidRDefault="00811626" w:rsidP="0083506E">
      <w:pPr>
        <w:widowControl w:val="0"/>
        <w:numPr>
          <w:ilvl w:val="0"/>
          <w:numId w:val="23"/>
        </w:numPr>
        <w:autoSpaceDE w:val="0"/>
        <w:autoSpaceDN w:val="0"/>
        <w:adjustRightInd w:val="0"/>
        <w:contextualSpacing/>
        <w:jc w:val="both"/>
        <w:rPr>
          <w:rFonts w:eastAsia="MS Mincho" w:cs="Arial"/>
          <w:b/>
          <w:szCs w:val="20"/>
        </w:rPr>
      </w:pPr>
      <w:r w:rsidRPr="0054340B">
        <w:rPr>
          <w:rFonts w:eastAsia="MS Mincho" w:cs="Arial"/>
          <w:b/>
          <w:szCs w:val="20"/>
        </w:rPr>
        <w:t>Evaluation quantitative des risques</w:t>
      </w:r>
    </w:p>
    <w:p w14:paraId="52DE680F" w14:textId="77777777" w:rsidR="002C128F" w:rsidRPr="0054340B" w:rsidRDefault="002C128F" w:rsidP="0054340B">
      <w:pPr>
        <w:jc w:val="both"/>
        <w:rPr>
          <w:rFonts w:eastAsia="Times New Roman"/>
          <w:szCs w:val="20"/>
          <w:lang w:eastAsia="fr-FR"/>
        </w:rPr>
      </w:pPr>
    </w:p>
    <w:p w14:paraId="394AE39D" w14:textId="77777777" w:rsidR="00962D2C" w:rsidRPr="0054340B" w:rsidRDefault="00811626" w:rsidP="0054340B">
      <w:pPr>
        <w:jc w:val="both"/>
        <w:rPr>
          <w:rFonts w:eastAsia="Times New Roman"/>
          <w:szCs w:val="20"/>
          <w:lang w:eastAsia="fr-FR"/>
        </w:rPr>
      </w:pPr>
      <w:r w:rsidRPr="0054340B">
        <w:rPr>
          <w:rFonts w:eastAsia="Times New Roman"/>
          <w:szCs w:val="20"/>
          <w:lang w:eastAsia="fr-FR"/>
        </w:rPr>
        <w:t xml:space="preserve">Pour contribuer plus directement au pilotage opérationnel des coûts et délais du projet, la SGP a mis en place </w:t>
      </w:r>
      <w:r w:rsidR="00962D2C" w:rsidRPr="0054340B">
        <w:rPr>
          <w:rFonts w:eastAsia="Times New Roman"/>
          <w:szCs w:val="20"/>
          <w:lang w:eastAsia="fr-FR"/>
        </w:rPr>
        <w:t xml:space="preserve">en complément des méthodes d’évaluation qualitative rappelées plus haut </w:t>
      </w:r>
      <w:r w:rsidRPr="0054340B">
        <w:rPr>
          <w:rFonts w:eastAsia="Times New Roman"/>
          <w:b/>
          <w:szCs w:val="20"/>
          <w:lang w:eastAsia="fr-FR"/>
        </w:rPr>
        <w:t>u</w:t>
      </w:r>
      <w:r w:rsidR="001907E7" w:rsidRPr="0054340B">
        <w:rPr>
          <w:rFonts w:eastAsia="Times New Roman"/>
          <w:b/>
          <w:szCs w:val="20"/>
          <w:lang w:eastAsia="fr-FR"/>
        </w:rPr>
        <w:t>ne procédure</w:t>
      </w:r>
      <w:r w:rsidR="001907E7" w:rsidRPr="0054340B">
        <w:rPr>
          <w:rFonts w:eastAsia="Times New Roman"/>
          <w:szCs w:val="20"/>
          <w:lang w:eastAsia="fr-FR"/>
        </w:rPr>
        <w:t xml:space="preserve"> </w:t>
      </w:r>
      <w:r w:rsidRPr="0054340B">
        <w:rPr>
          <w:rFonts w:eastAsia="Times New Roman"/>
          <w:b/>
          <w:szCs w:val="20"/>
          <w:lang w:eastAsia="fr-FR"/>
        </w:rPr>
        <w:t>d’évaluation quantitati</w:t>
      </w:r>
      <w:r w:rsidR="00962D2C" w:rsidRPr="0054340B">
        <w:rPr>
          <w:rFonts w:eastAsia="Times New Roman"/>
          <w:b/>
          <w:szCs w:val="20"/>
          <w:lang w:eastAsia="fr-FR"/>
        </w:rPr>
        <w:t>ve</w:t>
      </w:r>
      <w:r w:rsidRPr="0054340B">
        <w:rPr>
          <w:rFonts w:eastAsia="Times New Roman"/>
          <w:b/>
          <w:szCs w:val="20"/>
          <w:lang w:eastAsia="fr-FR"/>
        </w:rPr>
        <w:t xml:space="preserve"> de l’impact </w:t>
      </w:r>
      <w:r w:rsidRPr="0054340B">
        <w:rPr>
          <w:rFonts w:eastAsia="Times New Roman"/>
          <w:b/>
          <w:i/>
          <w:szCs w:val="20"/>
          <w:lang w:eastAsia="fr-FR"/>
        </w:rPr>
        <w:t>financier</w:t>
      </w:r>
      <w:r w:rsidRPr="0054340B">
        <w:rPr>
          <w:rFonts w:eastAsia="Times New Roman"/>
          <w:b/>
          <w:szCs w:val="20"/>
          <w:lang w:eastAsia="fr-FR"/>
        </w:rPr>
        <w:t xml:space="preserve"> des risques identifiés</w:t>
      </w:r>
      <w:r w:rsidR="00962D2C" w:rsidRPr="0054340B">
        <w:rPr>
          <w:rFonts w:eastAsia="Times New Roman"/>
          <w:b/>
          <w:szCs w:val="20"/>
          <w:lang w:eastAsia="fr-FR"/>
        </w:rPr>
        <w:t xml:space="preserve"> (estimation des risques identifiés – ERI)</w:t>
      </w:r>
      <w:r w:rsidR="00962D2C" w:rsidRPr="0054340B">
        <w:rPr>
          <w:rFonts w:eastAsia="Times New Roman"/>
          <w:szCs w:val="20"/>
          <w:lang w:eastAsia="fr-FR"/>
        </w:rPr>
        <w:t xml:space="preserve">. Elle </w:t>
      </w:r>
      <w:r w:rsidRPr="0054340B">
        <w:rPr>
          <w:rFonts w:eastAsia="Times New Roman"/>
          <w:szCs w:val="20"/>
          <w:lang w:eastAsia="fr-FR"/>
        </w:rPr>
        <w:t>développe un</w:t>
      </w:r>
      <w:r w:rsidR="001907E7" w:rsidRPr="0054340B">
        <w:rPr>
          <w:rFonts w:eastAsia="Times New Roman"/>
          <w:szCs w:val="20"/>
          <w:lang w:eastAsia="fr-FR"/>
        </w:rPr>
        <w:t xml:space="preserve">e procédure similaire visant à l’évaluation de l’impact </w:t>
      </w:r>
      <w:r w:rsidR="001907E7" w:rsidRPr="0054340B">
        <w:rPr>
          <w:rFonts w:eastAsia="Times New Roman"/>
          <w:i/>
          <w:szCs w:val="20"/>
          <w:lang w:eastAsia="fr-FR"/>
        </w:rPr>
        <w:t>délai</w:t>
      </w:r>
      <w:r w:rsidR="001907E7" w:rsidRPr="0054340B">
        <w:rPr>
          <w:rFonts w:eastAsia="Times New Roman"/>
          <w:szCs w:val="20"/>
          <w:lang w:eastAsia="fr-FR"/>
        </w:rPr>
        <w:t xml:space="preserve"> des risques. Les principes exposés ci-après portent par conséquent sur les composantes financières, </w:t>
      </w:r>
      <w:r w:rsidR="00D36808" w:rsidRPr="0054340B">
        <w:rPr>
          <w:rFonts w:eastAsia="Times New Roman"/>
          <w:szCs w:val="20"/>
          <w:lang w:eastAsia="fr-FR"/>
        </w:rPr>
        <w:t xml:space="preserve">et seront </w:t>
      </w:r>
      <w:r w:rsidR="001907E7" w:rsidRPr="0054340B">
        <w:rPr>
          <w:rFonts w:eastAsia="Times New Roman"/>
          <w:szCs w:val="20"/>
          <w:lang w:eastAsia="fr-FR"/>
        </w:rPr>
        <w:t>transpos</w:t>
      </w:r>
      <w:r w:rsidR="00D36808" w:rsidRPr="0054340B">
        <w:rPr>
          <w:rFonts w:eastAsia="Times New Roman"/>
          <w:szCs w:val="20"/>
          <w:lang w:eastAsia="fr-FR"/>
        </w:rPr>
        <w:t>ées à l’horizon 2020</w:t>
      </w:r>
      <w:r w:rsidR="001907E7" w:rsidRPr="0054340B">
        <w:rPr>
          <w:rFonts w:eastAsia="Times New Roman"/>
          <w:szCs w:val="20"/>
          <w:lang w:eastAsia="fr-FR"/>
        </w:rPr>
        <w:t xml:space="preserve"> sur les composantes délais.</w:t>
      </w:r>
    </w:p>
    <w:p w14:paraId="090AC18D" w14:textId="77777777" w:rsidR="001B476D" w:rsidRPr="0054340B" w:rsidRDefault="001B476D" w:rsidP="0054340B">
      <w:pPr>
        <w:jc w:val="both"/>
        <w:rPr>
          <w:rFonts w:eastAsia="Times New Roman"/>
          <w:szCs w:val="20"/>
          <w:lang w:eastAsia="fr-FR"/>
        </w:rPr>
      </w:pPr>
    </w:p>
    <w:p w14:paraId="7CAFE495" w14:textId="77777777" w:rsidR="001907E7" w:rsidRPr="0054340B" w:rsidRDefault="001907E7" w:rsidP="0054340B">
      <w:pPr>
        <w:jc w:val="both"/>
        <w:rPr>
          <w:rFonts w:eastAsia="Times New Roman"/>
          <w:szCs w:val="20"/>
          <w:lang w:eastAsia="fr-FR"/>
        </w:rPr>
      </w:pPr>
      <w:r w:rsidRPr="0054340B">
        <w:rPr>
          <w:rFonts w:eastAsia="Times New Roman"/>
          <w:szCs w:val="20"/>
          <w:lang w:eastAsia="fr-FR"/>
        </w:rPr>
        <w:t xml:space="preserve">Le coût de référence du projet est constitué de trois catégories de coûts : </w:t>
      </w:r>
    </w:p>
    <w:p w14:paraId="02E12856" w14:textId="3A08D3F7" w:rsidR="001907E7" w:rsidRPr="0054340B" w:rsidRDefault="001907E7" w:rsidP="0083506E">
      <w:pPr>
        <w:numPr>
          <w:ilvl w:val="0"/>
          <w:numId w:val="19"/>
        </w:numPr>
        <w:jc w:val="both"/>
        <w:rPr>
          <w:szCs w:val="20"/>
        </w:rPr>
      </w:pPr>
      <w:r w:rsidRPr="0054340B">
        <w:rPr>
          <w:szCs w:val="20"/>
        </w:rPr>
        <w:lastRenderedPageBreak/>
        <w:t xml:space="preserve">les </w:t>
      </w:r>
      <w:r w:rsidRPr="0054340B">
        <w:rPr>
          <w:b/>
          <w:szCs w:val="20"/>
        </w:rPr>
        <w:t>coûts certains</w:t>
      </w:r>
      <w:r w:rsidR="005646C4" w:rsidRPr="0054340B">
        <w:rPr>
          <w:b/>
          <w:szCs w:val="20"/>
        </w:rPr>
        <w:t xml:space="preserve"> </w:t>
      </w:r>
      <w:r w:rsidR="005646C4" w:rsidRPr="0054340B">
        <w:rPr>
          <w:szCs w:val="20"/>
        </w:rPr>
        <w:t xml:space="preserve">(partie </w:t>
      </w:r>
      <w:r w:rsidR="0032668E" w:rsidRPr="0054340B">
        <w:rPr>
          <w:szCs w:val="20"/>
        </w:rPr>
        <w:t>gris foncé</w:t>
      </w:r>
      <w:r w:rsidR="005646C4" w:rsidRPr="0054340B">
        <w:rPr>
          <w:szCs w:val="20"/>
        </w:rPr>
        <w:t xml:space="preserve"> en bas dans le schéma ci-dessous)</w:t>
      </w:r>
      <w:r w:rsidRPr="0054340B">
        <w:rPr>
          <w:szCs w:val="20"/>
        </w:rPr>
        <w:t xml:space="preserve">, </w:t>
      </w:r>
    </w:p>
    <w:p w14:paraId="12D516A1" w14:textId="77777777" w:rsidR="001907E7" w:rsidRPr="0054340B" w:rsidRDefault="001907E7" w:rsidP="0083506E">
      <w:pPr>
        <w:numPr>
          <w:ilvl w:val="0"/>
          <w:numId w:val="19"/>
        </w:numPr>
        <w:jc w:val="both"/>
        <w:rPr>
          <w:szCs w:val="20"/>
        </w:rPr>
      </w:pPr>
      <w:r w:rsidRPr="0054340B">
        <w:rPr>
          <w:szCs w:val="20"/>
        </w:rPr>
        <w:t xml:space="preserve">les </w:t>
      </w:r>
      <w:r w:rsidRPr="0054340B">
        <w:rPr>
          <w:b/>
          <w:szCs w:val="20"/>
        </w:rPr>
        <w:t>provisions pour risques identifiés (PRI)</w:t>
      </w:r>
      <w:r w:rsidRPr="0054340B">
        <w:rPr>
          <w:szCs w:val="20"/>
        </w:rPr>
        <w:t>, dont le montant a été fixé après rapprochement entre les pratiques du marché (parangonnage), et l’estimation de l’impact financier des risques identifiés du projet</w:t>
      </w:r>
      <w:r w:rsidR="005646C4" w:rsidRPr="0054340B">
        <w:rPr>
          <w:szCs w:val="20"/>
        </w:rPr>
        <w:t xml:space="preserve"> (partie grise en bas dans le schéma ci-dessous),</w:t>
      </w:r>
    </w:p>
    <w:p w14:paraId="13D1D87D" w14:textId="7FB86E03" w:rsidR="001907E7" w:rsidRPr="0054340B" w:rsidRDefault="001907E7" w:rsidP="0083506E">
      <w:pPr>
        <w:numPr>
          <w:ilvl w:val="0"/>
          <w:numId w:val="19"/>
        </w:numPr>
        <w:jc w:val="both"/>
        <w:rPr>
          <w:szCs w:val="20"/>
        </w:rPr>
      </w:pPr>
      <w:r w:rsidRPr="0054340B">
        <w:rPr>
          <w:szCs w:val="20"/>
        </w:rPr>
        <w:t xml:space="preserve">la </w:t>
      </w:r>
      <w:r w:rsidRPr="0054340B">
        <w:rPr>
          <w:b/>
          <w:szCs w:val="20"/>
        </w:rPr>
        <w:t>provision pour aléas et imprévus (PAI)</w:t>
      </w:r>
      <w:r w:rsidRPr="0054340B">
        <w:rPr>
          <w:szCs w:val="20"/>
        </w:rPr>
        <w:t>, dont le montant a été fixé par application d’un taux sur les coûts certains. Destinée à couvrir les évènements non envisagés ou non quantifiables, la PAI est consommée au fur-et-à mesure de l’avancement du projet sur décision du directoire de la SGP</w:t>
      </w:r>
      <w:r w:rsidR="005646C4" w:rsidRPr="0054340B">
        <w:rPr>
          <w:szCs w:val="20"/>
        </w:rPr>
        <w:t xml:space="preserve"> (partie </w:t>
      </w:r>
      <w:r w:rsidR="0032668E" w:rsidRPr="0054340B">
        <w:rPr>
          <w:szCs w:val="20"/>
        </w:rPr>
        <w:t xml:space="preserve">gris clair </w:t>
      </w:r>
      <w:r w:rsidR="005646C4" w:rsidRPr="0054340B">
        <w:rPr>
          <w:szCs w:val="20"/>
        </w:rPr>
        <w:t>en bas dans le schéma ci-dessous)</w:t>
      </w:r>
      <w:r w:rsidRPr="0054340B">
        <w:rPr>
          <w:szCs w:val="20"/>
        </w:rPr>
        <w:t>.</w:t>
      </w:r>
    </w:p>
    <w:p w14:paraId="746AEE27" w14:textId="77777777" w:rsidR="008162B0" w:rsidRPr="0054340B" w:rsidRDefault="008162B0" w:rsidP="0054340B">
      <w:pPr>
        <w:jc w:val="both"/>
        <w:rPr>
          <w:rFonts w:eastAsia="Times New Roman"/>
          <w:szCs w:val="20"/>
          <w:lang w:eastAsia="fr-FR"/>
        </w:rPr>
      </w:pPr>
    </w:p>
    <w:p w14:paraId="453F3798" w14:textId="77777777" w:rsidR="008162B0" w:rsidRPr="0054340B" w:rsidRDefault="00150A72" w:rsidP="0054340B">
      <w:pPr>
        <w:jc w:val="both"/>
        <w:rPr>
          <w:rFonts w:eastAsia="Times New Roman"/>
          <w:szCs w:val="20"/>
          <w:lang w:eastAsia="fr-FR"/>
        </w:rPr>
      </w:pPr>
      <w:r w:rsidRPr="0054340B">
        <w:rPr>
          <w:rFonts w:eastAsia="Times New Roman"/>
          <w:noProof/>
          <w:szCs w:val="20"/>
          <w:lang w:eastAsia="fr-FR"/>
        </w:rPr>
        <w:drawing>
          <wp:inline distT="0" distB="0" distL="0" distR="0" wp14:anchorId="6868979E" wp14:editId="0F8D7426">
            <wp:extent cx="4180205" cy="2909570"/>
            <wp:effectExtent l="0" t="0" r="0" b="5080"/>
            <wp:docPr id="95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80205" cy="2909570"/>
                    </a:xfrm>
                    <a:prstGeom prst="rect">
                      <a:avLst/>
                    </a:prstGeom>
                    <a:noFill/>
                    <a:ln>
                      <a:noFill/>
                    </a:ln>
                  </pic:spPr>
                </pic:pic>
              </a:graphicData>
            </a:graphic>
          </wp:inline>
        </w:drawing>
      </w:r>
    </w:p>
    <w:p w14:paraId="25448B93" w14:textId="77777777" w:rsidR="008162B0" w:rsidRPr="0054340B" w:rsidRDefault="008162B0" w:rsidP="0054340B">
      <w:pPr>
        <w:jc w:val="both"/>
        <w:rPr>
          <w:rFonts w:eastAsia="Times New Roman"/>
          <w:szCs w:val="20"/>
          <w:lang w:eastAsia="fr-FR"/>
        </w:rPr>
      </w:pPr>
    </w:p>
    <w:p w14:paraId="51AB5992" w14:textId="18B39EDB" w:rsidR="00512DBC" w:rsidRDefault="005A2A4B" w:rsidP="0054340B">
      <w:pPr>
        <w:jc w:val="both"/>
        <w:rPr>
          <w:szCs w:val="20"/>
        </w:rPr>
      </w:pPr>
      <w:r w:rsidRPr="0054340B">
        <w:rPr>
          <w:szCs w:val="20"/>
        </w:rPr>
        <w:t>La réalisation d’un risque identifié engendre un surcoût par rapport à la part contractualisée (« coût certain ») du coût objectif du projet. Le surcoût constaté de façon ferme augmente les coûts certains du budget du projet, et diminue le montant de la PRI.</w:t>
      </w:r>
    </w:p>
    <w:p w14:paraId="3DE1E38B" w14:textId="77777777" w:rsidR="0054340B" w:rsidRPr="0054340B" w:rsidRDefault="0054340B" w:rsidP="0054340B">
      <w:pPr>
        <w:jc w:val="both"/>
        <w:rPr>
          <w:rFonts w:eastAsia="Times New Roman"/>
          <w:szCs w:val="20"/>
          <w:lang w:eastAsia="fr-FR"/>
        </w:rPr>
      </w:pPr>
    </w:p>
    <w:p w14:paraId="359827B5" w14:textId="1DE316E0" w:rsidR="008162B0" w:rsidRDefault="001907E7" w:rsidP="0054340B">
      <w:pPr>
        <w:jc w:val="both"/>
        <w:rPr>
          <w:rFonts w:eastAsia="Times New Roman"/>
          <w:b/>
          <w:szCs w:val="20"/>
          <w:lang w:eastAsia="fr-FR"/>
        </w:rPr>
      </w:pPr>
      <w:r w:rsidRPr="0054340B">
        <w:rPr>
          <w:rFonts w:eastAsia="Times New Roman"/>
          <w:szCs w:val="20"/>
          <w:lang w:eastAsia="fr-FR"/>
        </w:rPr>
        <w:t xml:space="preserve">L’ERI est une composante de l’Estimé à Terminaison (EAT) du projet. Chaque semestre, les ERI sont simulés pour chaque Projet de Ligne, et comparés au solde de PRI constitutif du coût de référence. </w:t>
      </w:r>
      <w:r w:rsidRPr="0054340B">
        <w:rPr>
          <w:rFonts w:eastAsia="Times New Roman"/>
          <w:b/>
          <w:szCs w:val="20"/>
          <w:lang w:eastAsia="fr-FR"/>
        </w:rPr>
        <w:t xml:space="preserve">Tous les 6 mois la SGP évalue, au regard de son estimation actualisée des risques identifiés </w:t>
      </w:r>
      <w:r w:rsidR="00962D2C" w:rsidRPr="0054340B">
        <w:rPr>
          <w:rFonts w:eastAsia="Times New Roman"/>
          <w:b/>
          <w:szCs w:val="20"/>
          <w:lang w:eastAsia="fr-FR"/>
        </w:rPr>
        <w:t xml:space="preserve">du projet </w:t>
      </w:r>
      <w:r w:rsidRPr="0054340B">
        <w:rPr>
          <w:rFonts w:eastAsia="Times New Roman"/>
          <w:b/>
          <w:szCs w:val="20"/>
          <w:lang w:eastAsia="fr-FR"/>
        </w:rPr>
        <w:t xml:space="preserve">(simulation des ERI), dans quelle mesure le solde de PRI </w:t>
      </w:r>
      <w:r w:rsidR="00962D2C" w:rsidRPr="0054340B">
        <w:rPr>
          <w:rFonts w:eastAsia="Times New Roman"/>
          <w:b/>
          <w:szCs w:val="20"/>
          <w:lang w:eastAsia="fr-FR"/>
        </w:rPr>
        <w:t>suffit pour</w:t>
      </w:r>
      <w:r w:rsidRPr="0054340B">
        <w:rPr>
          <w:rFonts w:eastAsia="Times New Roman"/>
          <w:b/>
          <w:szCs w:val="20"/>
          <w:lang w:eastAsia="fr-FR"/>
        </w:rPr>
        <w:t xml:space="preserve"> couvrir les coûts estimés du projet à terminaison.</w:t>
      </w:r>
    </w:p>
    <w:p w14:paraId="2BF15EE0" w14:textId="77777777" w:rsidR="0054340B" w:rsidRPr="0054340B" w:rsidRDefault="0054340B" w:rsidP="0054340B">
      <w:pPr>
        <w:jc w:val="both"/>
        <w:rPr>
          <w:rFonts w:eastAsia="Times New Roman"/>
          <w:b/>
          <w:szCs w:val="20"/>
          <w:lang w:eastAsia="fr-FR"/>
        </w:rPr>
      </w:pPr>
    </w:p>
    <w:p w14:paraId="29381349" w14:textId="2FEB2B1C" w:rsidR="001907E7" w:rsidRDefault="001907E7" w:rsidP="0054340B">
      <w:pPr>
        <w:jc w:val="both"/>
        <w:rPr>
          <w:rFonts w:eastAsia="Times New Roman"/>
          <w:szCs w:val="20"/>
          <w:lang w:eastAsia="fr-FR"/>
        </w:rPr>
      </w:pPr>
      <w:r w:rsidRPr="0054340B">
        <w:rPr>
          <w:rFonts w:eastAsia="Times New Roman"/>
          <w:b/>
          <w:szCs w:val="20"/>
          <w:lang w:eastAsia="fr-FR"/>
        </w:rPr>
        <w:t xml:space="preserve">Afin de </w:t>
      </w:r>
      <w:r w:rsidR="00962D2C" w:rsidRPr="0054340B">
        <w:rPr>
          <w:rFonts w:eastAsia="Times New Roman"/>
          <w:b/>
          <w:szCs w:val="20"/>
          <w:lang w:eastAsia="fr-FR"/>
        </w:rPr>
        <w:t>mesurer</w:t>
      </w:r>
      <w:r w:rsidRPr="0054340B">
        <w:rPr>
          <w:rFonts w:eastAsia="Times New Roman"/>
          <w:b/>
          <w:szCs w:val="20"/>
          <w:lang w:eastAsia="fr-FR"/>
        </w:rPr>
        <w:t xml:space="preserve"> l’impact</w:t>
      </w:r>
      <w:r w:rsidR="00962D2C" w:rsidRPr="0054340B">
        <w:rPr>
          <w:rFonts w:eastAsia="Times New Roman"/>
          <w:b/>
          <w:szCs w:val="20"/>
          <w:lang w:eastAsia="fr-FR"/>
        </w:rPr>
        <w:t xml:space="preserve"> global</w:t>
      </w:r>
      <w:r w:rsidRPr="0054340B">
        <w:rPr>
          <w:rFonts w:eastAsia="Times New Roman"/>
          <w:b/>
          <w:szCs w:val="20"/>
          <w:lang w:eastAsia="fr-FR"/>
        </w:rPr>
        <w:t xml:space="preserve"> des risques identifiés, la SGP utilise une méthode probabiliste de calcul</w:t>
      </w:r>
      <w:r w:rsidRPr="0054340B">
        <w:rPr>
          <w:rFonts w:eastAsia="Times New Roman"/>
          <w:szCs w:val="20"/>
          <w:lang w:eastAsia="fr-FR"/>
        </w:rPr>
        <w:t xml:space="preserve"> (Monte Carlo), qui consiste à simuler un grand nombre de scénarios de réalisation du portefeuille de risques (par exemple 50</w:t>
      </w:r>
      <w:r w:rsidR="00481342">
        <w:rPr>
          <w:rFonts w:eastAsia="Times New Roman"/>
          <w:szCs w:val="20"/>
          <w:lang w:eastAsia="fr-FR"/>
        </w:rPr>
        <w:t xml:space="preserve"> </w:t>
      </w:r>
      <w:r w:rsidRPr="0054340B">
        <w:rPr>
          <w:rFonts w:eastAsia="Times New Roman"/>
          <w:szCs w:val="20"/>
          <w:lang w:eastAsia="fr-FR"/>
        </w:rPr>
        <w:t>000 « tours »). A chaque « tour » sont réalisés 2 tirages aléatoires :</w:t>
      </w:r>
    </w:p>
    <w:p w14:paraId="3221AF26" w14:textId="77777777" w:rsidR="0054340B" w:rsidRPr="0054340B" w:rsidRDefault="0054340B" w:rsidP="0054340B">
      <w:pPr>
        <w:jc w:val="both"/>
        <w:rPr>
          <w:rFonts w:eastAsia="Times New Roman"/>
          <w:szCs w:val="20"/>
          <w:lang w:eastAsia="fr-FR"/>
        </w:rPr>
      </w:pPr>
    </w:p>
    <w:p w14:paraId="6748AAC3" w14:textId="76B9F5B4" w:rsidR="001907E7" w:rsidRPr="0054340B" w:rsidRDefault="001907E7" w:rsidP="0083506E">
      <w:pPr>
        <w:numPr>
          <w:ilvl w:val="0"/>
          <w:numId w:val="19"/>
        </w:numPr>
        <w:jc w:val="both"/>
        <w:rPr>
          <w:szCs w:val="20"/>
        </w:rPr>
      </w:pPr>
      <w:r w:rsidRPr="0054340B">
        <w:rPr>
          <w:szCs w:val="20"/>
        </w:rPr>
        <w:t>Le 1</w:t>
      </w:r>
      <w:r w:rsidRPr="0054340B">
        <w:rPr>
          <w:szCs w:val="20"/>
          <w:vertAlign w:val="superscript"/>
        </w:rPr>
        <w:t>er</w:t>
      </w:r>
      <w:r w:rsidR="00421A19" w:rsidRPr="0054340B">
        <w:rPr>
          <w:szCs w:val="20"/>
        </w:rPr>
        <w:t xml:space="preserve"> </w:t>
      </w:r>
      <w:r w:rsidRPr="0054340B">
        <w:rPr>
          <w:szCs w:val="20"/>
        </w:rPr>
        <w:t xml:space="preserve">tirage aléatoire porte sur </w:t>
      </w:r>
      <w:r w:rsidR="00962D2C" w:rsidRPr="0054340B">
        <w:rPr>
          <w:szCs w:val="20"/>
        </w:rPr>
        <w:t xml:space="preserve">la loi d’occurrence i.e. </w:t>
      </w:r>
      <w:r w:rsidRPr="0054340B">
        <w:rPr>
          <w:szCs w:val="20"/>
        </w:rPr>
        <w:t xml:space="preserve">la réalisation ou pas du risque, modélisée selon une loi uniforme entre le minimum et le maximum de probabilité d’occurrence du risque. Il répond à la question : « Le risque survient-il ou </w:t>
      </w:r>
      <w:r w:rsidR="0032668E" w:rsidRPr="0054340B">
        <w:rPr>
          <w:szCs w:val="20"/>
        </w:rPr>
        <w:t>pas ?</w:t>
      </w:r>
      <w:r w:rsidRPr="0054340B">
        <w:rPr>
          <w:szCs w:val="20"/>
        </w:rPr>
        <w:t> »</w:t>
      </w:r>
    </w:p>
    <w:p w14:paraId="69CBF379" w14:textId="77777777" w:rsidR="001907E7" w:rsidRPr="0054340B" w:rsidRDefault="001907E7" w:rsidP="0083506E">
      <w:pPr>
        <w:numPr>
          <w:ilvl w:val="0"/>
          <w:numId w:val="19"/>
        </w:numPr>
        <w:jc w:val="both"/>
        <w:rPr>
          <w:szCs w:val="20"/>
        </w:rPr>
      </w:pPr>
      <w:r w:rsidRPr="0054340B">
        <w:rPr>
          <w:szCs w:val="20"/>
        </w:rPr>
        <w:t>Le 2</w:t>
      </w:r>
      <w:r w:rsidRPr="0054340B">
        <w:rPr>
          <w:szCs w:val="20"/>
          <w:vertAlign w:val="superscript"/>
        </w:rPr>
        <w:t>nd</w:t>
      </w:r>
      <w:r w:rsidR="005A2A4B" w:rsidRPr="0054340B">
        <w:rPr>
          <w:szCs w:val="20"/>
        </w:rPr>
        <w:t xml:space="preserve"> </w:t>
      </w:r>
      <w:r w:rsidRPr="0054340B">
        <w:rPr>
          <w:szCs w:val="20"/>
        </w:rPr>
        <w:t>tirage porte</w:t>
      </w:r>
      <w:r w:rsidR="00962D2C" w:rsidRPr="0054340B">
        <w:rPr>
          <w:szCs w:val="20"/>
        </w:rPr>
        <w:t xml:space="preserve"> sur la loi d’impact</w:t>
      </w:r>
      <w:r w:rsidRPr="0054340B">
        <w:rPr>
          <w:szCs w:val="20"/>
        </w:rPr>
        <w:t xml:space="preserve">, </w:t>
      </w:r>
      <w:r w:rsidR="00962D2C" w:rsidRPr="0054340B">
        <w:rPr>
          <w:szCs w:val="20"/>
        </w:rPr>
        <w:t xml:space="preserve">i.e. </w:t>
      </w:r>
      <w:r w:rsidRPr="0054340B">
        <w:rPr>
          <w:szCs w:val="20"/>
        </w:rPr>
        <w:t>pour chaque risque réalisé au 1</w:t>
      </w:r>
      <w:r w:rsidRPr="0054340B">
        <w:rPr>
          <w:szCs w:val="20"/>
          <w:vertAlign w:val="superscript"/>
        </w:rPr>
        <w:t>er</w:t>
      </w:r>
      <w:r w:rsidR="005A2A4B" w:rsidRPr="0054340B">
        <w:rPr>
          <w:szCs w:val="20"/>
        </w:rPr>
        <w:t xml:space="preserve"> </w:t>
      </w:r>
      <w:r w:rsidRPr="0054340B">
        <w:rPr>
          <w:szCs w:val="20"/>
        </w:rPr>
        <w:t>tirage, sur le montant de l’impact financier, modélisé selon la loi choisie pour chaque risque. Il répond à la question « Quel est l’impact financier de la réalisation de ce risque</w:t>
      </w:r>
      <w:r w:rsidR="00962D2C" w:rsidRPr="0054340B">
        <w:rPr>
          <w:szCs w:val="20"/>
        </w:rPr>
        <w:t xml:space="preserve"> s’il survient </w:t>
      </w:r>
      <w:r w:rsidRPr="0054340B">
        <w:rPr>
          <w:szCs w:val="20"/>
        </w:rPr>
        <w:t>? »</w:t>
      </w:r>
    </w:p>
    <w:p w14:paraId="504853BB" w14:textId="77777777" w:rsidR="001907E7" w:rsidRPr="0054340B" w:rsidRDefault="001907E7" w:rsidP="0054340B">
      <w:pPr>
        <w:jc w:val="both"/>
        <w:rPr>
          <w:rFonts w:eastAsia="Times New Roman"/>
          <w:szCs w:val="20"/>
          <w:lang w:eastAsia="fr-FR"/>
        </w:rPr>
      </w:pPr>
    </w:p>
    <w:p w14:paraId="01C1008F" w14:textId="77777777" w:rsidR="005A2A4B" w:rsidRPr="0054340B" w:rsidRDefault="00150A72" w:rsidP="0054340B">
      <w:pPr>
        <w:jc w:val="both"/>
        <w:rPr>
          <w:rFonts w:eastAsia="Times New Roman"/>
          <w:szCs w:val="20"/>
          <w:lang w:eastAsia="fr-FR"/>
        </w:rPr>
      </w:pPr>
      <w:r w:rsidRPr="0054340B">
        <w:rPr>
          <w:rFonts w:eastAsia="Times New Roman"/>
          <w:noProof/>
          <w:szCs w:val="20"/>
          <w:lang w:eastAsia="fr-FR"/>
        </w:rPr>
        <w:drawing>
          <wp:anchor distT="0" distB="0" distL="114300" distR="114300" simplePos="0" relativeHeight="251632128" behindDoc="0" locked="0" layoutInCell="1" allowOverlap="1" wp14:anchorId="40AD90EC" wp14:editId="5D9D93A3">
            <wp:simplePos x="0" y="0"/>
            <wp:positionH relativeFrom="margin">
              <wp:posOffset>11786870</wp:posOffset>
            </wp:positionH>
            <wp:positionV relativeFrom="margin">
              <wp:posOffset>1804035</wp:posOffset>
            </wp:positionV>
            <wp:extent cx="1513840" cy="944880"/>
            <wp:effectExtent l="0" t="0" r="0" b="7620"/>
            <wp:wrapSquare wrapText="bothSides"/>
            <wp:docPr id="963" name="Imag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13840" cy="944880"/>
                    </a:xfrm>
                    <a:prstGeom prst="rect">
                      <a:avLst/>
                    </a:prstGeom>
                    <a:noFill/>
                  </pic:spPr>
                </pic:pic>
              </a:graphicData>
            </a:graphic>
            <wp14:sizeRelH relativeFrom="page">
              <wp14:pctWidth>0</wp14:pctWidth>
            </wp14:sizeRelH>
            <wp14:sizeRelV relativeFrom="page">
              <wp14:pctHeight>0</wp14:pctHeight>
            </wp14:sizeRelV>
          </wp:anchor>
        </w:drawing>
      </w:r>
      <w:r w:rsidR="005A2A4B" w:rsidRPr="0054340B">
        <w:rPr>
          <w:rFonts w:eastAsia="Times New Roman"/>
          <w:szCs w:val="20"/>
          <w:lang w:eastAsia="fr-FR"/>
        </w:rPr>
        <w:t xml:space="preserve">Pour appliquer cette méthode, </w:t>
      </w:r>
      <w:r w:rsidR="005A2A4B" w:rsidRPr="0054340B">
        <w:rPr>
          <w:rFonts w:eastAsia="Times New Roman"/>
          <w:b/>
          <w:szCs w:val="20"/>
          <w:lang w:eastAsia="fr-FR"/>
        </w:rPr>
        <w:t xml:space="preserve">chaque risque </w:t>
      </w:r>
      <w:r w:rsidR="00962D2C" w:rsidRPr="0054340B">
        <w:rPr>
          <w:rFonts w:eastAsia="Times New Roman"/>
          <w:b/>
          <w:szCs w:val="20"/>
          <w:lang w:eastAsia="fr-FR"/>
        </w:rPr>
        <w:t>est</w:t>
      </w:r>
      <w:r w:rsidR="005A2A4B" w:rsidRPr="0054340B">
        <w:rPr>
          <w:rFonts w:eastAsia="Times New Roman"/>
          <w:b/>
          <w:szCs w:val="20"/>
          <w:lang w:eastAsia="fr-FR"/>
        </w:rPr>
        <w:t xml:space="preserve"> paramétré</w:t>
      </w:r>
      <w:r w:rsidR="005A2A4B" w:rsidRPr="0054340B">
        <w:rPr>
          <w:rFonts w:eastAsia="Times New Roman"/>
          <w:szCs w:val="20"/>
          <w:lang w:eastAsia="fr-FR"/>
        </w:rPr>
        <w:t xml:space="preserve"> selon des données quantitatives </w:t>
      </w:r>
      <w:r w:rsidR="00962D2C" w:rsidRPr="0054340B">
        <w:rPr>
          <w:rFonts w:eastAsia="Times New Roman"/>
          <w:szCs w:val="20"/>
          <w:lang w:eastAsia="fr-FR"/>
        </w:rPr>
        <w:t xml:space="preserve">fournies et corroborées avec les métiers experts </w:t>
      </w:r>
      <w:r w:rsidR="005A2A4B" w:rsidRPr="0054340B">
        <w:rPr>
          <w:rFonts w:eastAsia="Times New Roman"/>
          <w:szCs w:val="20"/>
          <w:lang w:eastAsia="fr-FR"/>
        </w:rPr>
        <w:t>(</w:t>
      </w:r>
      <w:r w:rsidR="00962D2C" w:rsidRPr="0054340B">
        <w:rPr>
          <w:rFonts w:eastAsia="Times New Roman"/>
          <w:szCs w:val="20"/>
          <w:lang w:eastAsia="fr-FR"/>
        </w:rPr>
        <w:t xml:space="preserve">dans la majorité des cas : le </w:t>
      </w:r>
      <w:r w:rsidR="005A2A4B" w:rsidRPr="0054340B">
        <w:rPr>
          <w:rFonts w:eastAsia="Times New Roman"/>
          <w:szCs w:val="20"/>
          <w:lang w:eastAsia="fr-FR"/>
        </w:rPr>
        <w:t xml:space="preserve">minimum, </w:t>
      </w:r>
      <w:r w:rsidR="00962D2C" w:rsidRPr="0054340B">
        <w:rPr>
          <w:rFonts w:eastAsia="Times New Roman"/>
          <w:szCs w:val="20"/>
          <w:lang w:eastAsia="fr-FR"/>
        </w:rPr>
        <w:t xml:space="preserve">le </w:t>
      </w:r>
      <w:r w:rsidR="005A2A4B" w:rsidRPr="0054340B">
        <w:rPr>
          <w:rFonts w:eastAsia="Times New Roman"/>
          <w:szCs w:val="20"/>
          <w:lang w:eastAsia="fr-FR"/>
        </w:rPr>
        <w:t>mode</w:t>
      </w:r>
      <w:r w:rsidR="00962D2C" w:rsidRPr="0054340B">
        <w:rPr>
          <w:rFonts w:eastAsia="Times New Roman"/>
          <w:szCs w:val="20"/>
          <w:lang w:eastAsia="fr-FR"/>
        </w:rPr>
        <w:t xml:space="preserve"> ou valeur la plus vraisemblable</w:t>
      </w:r>
      <w:r w:rsidR="005A2A4B" w:rsidRPr="0054340B">
        <w:rPr>
          <w:rFonts w:eastAsia="Times New Roman"/>
          <w:szCs w:val="20"/>
          <w:lang w:eastAsia="fr-FR"/>
        </w:rPr>
        <w:t>,</w:t>
      </w:r>
      <w:r w:rsidR="00962D2C" w:rsidRPr="0054340B">
        <w:rPr>
          <w:rFonts w:eastAsia="Times New Roman"/>
          <w:szCs w:val="20"/>
          <w:lang w:eastAsia="fr-FR"/>
        </w:rPr>
        <w:t xml:space="preserve"> le</w:t>
      </w:r>
      <w:r w:rsidR="005A2A4B" w:rsidRPr="0054340B">
        <w:rPr>
          <w:rFonts w:eastAsia="Times New Roman"/>
          <w:szCs w:val="20"/>
          <w:lang w:eastAsia="fr-FR"/>
        </w:rPr>
        <w:t xml:space="preserve"> maximum)</w:t>
      </w:r>
      <w:r w:rsidR="00962D2C" w:rsidRPr="0054340B">
        <w:rPr>
          <w:rFonts w:eastAsia="Times New Roman"/>
          <w:szCs w:val="20"/>
          <w:lang w:eastAsia="fr-FR"/>
        </w:rPr>
        <w:t>. Ces paramètres</w:t>
      </w:r>
      <w:r w:rsidR="005A2A4B" w:rsidRPr="0054340B">
        <w:rPr>
          <w:rFonts w:eastAsia="Times New Roman"/>
          <w:szCs w:val="20"/>
          <w:lang w:eastAsia="fr-FR"/>
        </w:rPr>
        <w:t xml:space="preserve"> </w:t>
      </w:r>
      <w:r w:rsidR="00C37259" w:rsidRPr="0054340B">
        <w:rPr>
          <w:rFonts w:eastAsia="Times New Roman"/>
          <w:szCs w:val="20"/>
          <w:lang w:eastAsia="fr-FR"/>
        </w:rPr>
        <w:t>en partie</w:t>
      </w:r>
      <w:r w:rsidR="005A2A4B" w:rsidRPr="0054340B">
        <w:rPr>
          <w:rFonts w:eastAsia="Times New Roman"/>
          <w:szCs w:val="20"/>
          <w:lang w:eastAsia="fr-FR"/>
        </w:rPr>
        <w:t xml:space="preserve"> </w:t>
      </w:r>
      <w:r w:rsidR="008162B0" w:rsidRPr="0054340B">
        <w:rPr>
          <w:rFonts w:eastAsia="Times New Roman"/>
          <w:szCs w:val="20"/>
          <w:lang w:eastAsia="fr-FR"/>
        </w:rPr>
        <w:t>extrapolables à partir de</w:t>
      </w:r>
      <w:r w:rsidR="005A2A4B" w:rsidRPr="0054340B">
        <w:rPr>
          <w:rFonts w:eastAsia="Times New Roman"/>
          <w:szCs w:val="20"/>
          <w:lang w:eastAsia="fr-FR"/>
        </w:rPr>
        <w:t xml:space="preserve"> l’évaluation qualitative des risques (cf</w:t>
      </w:r>
      <w:r w:rsidR="00962D2C" w:rsidRPr="0054340B">
        <w:rPr>
          <w:rFonts w:eastAsia="Times New Roman"/>
          <w:szCs w:val="20"/>
          <w:lang w:eastAsia="fr-FR"/>
        </w:rPr>
        <w:t>.</w:t>
      </w:r>
      <w:r w:rsidR="005A2A4B" w:rsidRPr="0054340B">
        <w:rPr>
          <w:rFonts w:eastAsia="Times New Roman"/>
          <w:szCs w:val="20"/>
          <w:lang w:eastAsia="fr-FR"/>
        </w:rPr>
        <w:t xml:space="preserve"> ci-</w:t>
      </w:r>
      <w:r w:rsidR="008162B0" w:rsidRPr="0054340B">
        <w:rPr>
          <w:rFonts w:eastAsia="Times New Roman"/>
          <w:szCs w:val="20"/>
          <w:lang w:eastAsia="fr-FR"/>
        </w:rPr>
        <w:t>dessous</w:t>
      </w:r>
      <w:r w:rsidR="005A2A4B" w:rsidRPr="0054340B">
        <w:rPr>
          <w:rFonts w:eastAsia="Times New Roman"/>
          <w:szCs w:val="20"/>
          <w:lang w:eastAsia="fr-FR"/>
        </w:rPr>
        <w:t xml:space="preserve"> la traduction des échelles qualitatives en données quantitatives)</w:t>
      </w:r>
      <w:r w:rsidR="00962D2C" w:rsidRPr="0054340B">
        <w:rPr>
          <w:rFonts w:eastAsia="Times New Roman"/>
          <w:szCs w:val="20"/>
          <w:lang w:eastAsia="fr-FR"/>
        </w:rPr>
        <w:t>.</w:t>
      </w:r>
    </w:p>
    <w:p w14:paraId="643F1655" w14:textId="77777777" w:rsidR="00FC0EE0" w:rsidRPr="0054340B" w:rsidRDefault="008162B0" w:rsidP="0054340B">
      <w:pPr>
        <w:jc w:val="both"/>
        <w:rPr>
          <w:szCs w:val="20"/>
        </w:rPr>
      </w:pPr>
      <w:r w:rsidRPr="0054340B">
        <w:rPr>
          <w:rFonts w:eastAsia="Times New Roman"/>
          <w:szCs w:val="20"/>
          <w:lang w:eastAsia="fr-FR"/>
        </w:rPr>
        <w:t xml:space="preserve">La SGP a établi un kit de </w:t>
      </w:r>
      <w:r w:rsidRPr="0054340B">
        <w:rPr>
          <w:rFonts w:eastAsia="Times New Roman"/>
          <w:b/>
          <w:szCs w:val="20"/>
          <w:lang w:eastAsia="fr-FR"/>
        </w:rPr>
        <w:t>modélisation simplifiée</w:t>
      </w:r>
      <w:r w:rsidRPr="0054340B">
        <w:rPr>
          <w:rFonts w:eastAsia="Times New Roman"/>
          <w:szCs w:val="20"/>
          <w:lang w:eastAsia="fr-FR"/>
        </w:rPr>
        <w:t xml:space="preserve"> accessible en opérationnel.</w:t>
      </w:r>
      <w:r w:rsidR="00FC0EE0" w:rsidRPr="0054340B">
        <w:rPr>
          <w:rFonts w:eastAsia="Times New Roman"/>
          <w:szCs w:val="20"/>
          <w:lang w:eastAsia="fr-FR"/>
        </w:rPr>
        <w:t xml:space="preserve"> </w:t>
      </w:r>
      <w:r w:rsidR="001907E7" w:rsidRPr="0054340B">
        <w:rPr>
          <w:szCs w:val="20"/>
        </w:rPr>
        <w:t>L’Estimation financière des Risques Identifiés (ERI) est modélisée en courbe en cloche (distribution des probabilités de réalisation des montants financiers d’impact des risques) et en courbe croissante (fonction de répartition des montants financiers en fonction de leur probabilité de survenance), dont un exemple est présenté ci-après.</w:t>
      </w:r>
    </w:p>
    <w:p w14:paraId="6348B769" w14:textId="77777777" w:rsidR="003B02C6" w:rsidRPr="0054340B" w:rsidRDefault="003B02C6" w:rsidP="0054340B">
      <w:pPr>
        <w:jc w:val="both"/>
        <w:rPr>
          <w:szCs w:val="20"/>
        </w:rPr>
      </w:pPr>
    </w:p>
    <w:p w14:paraId="77B123A3" w14:textId="77777777" w:rsidR="003B02C6" w:rsidRPr="0054340B" w:rsidRDefault="003B02C6" w:rsidP="0054340B">
      <w:pPr>
        <w:jc w:val="both"/>
        <w:rPr>
          <w:rFonts w:eastAsia="Times New Roman"/>
          <w:szCs w:val="20"/>
          <w:lang w:eastAsia="fr-FR"/>
        </w:rPr>
      </w:pPr>
    </w:p>
    <w:p w14:paraId="61B12504" w14:textId="77777777" w:rsidR="00512DBC" w:rsidRPr="0054340B" w:rsidRDefault="00150A72" w:rsidP="0054340B">
      <w:pPr>
        <w:jc w:val="both"/>
        <w:rPr>
          <w:szCs w:val="20"/>
        </w:rPr>
      </w:pPr>
      <w:r w:rsidRPr="0054340B">
        <w:rPr>
          <w:noProof/>
          <w:szCs w:val="20"/>
          <w:lang w:eastAsia="fr-FR"/>
        </w:rPr>
        <w:drawing>
          <wp:inline distT="0" distB="0" distL="0" distR="0" wp14:anchorId="0135AF42" wp14:editId="03911EB1">
            <wp:extent cx="4274820" cy="2849880"/>
            <wp:effectExtent l="0" t="0" r="0" b="7620"/>
            <wp:docPr id="958"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74820" cy="2849880"/>
                    </a:xfrm>
                    <a:prstGeom prst="rect">
                      <a:avLst/>
                    </a:prstGeom>
                    <a:noFill/>
                    <a:ln>
                      <a:noFill/>
                    </a:ln>
                  </pic:spPr>
                </pic:pic>
              </a:graphicData>
            </a:graphic>
          </wp:inline>
        </w:drawing>
      </w:r>
      <w:r w:rsidR="00512DBC" w:rsidRPr="0054340B">
        <w:rPr>
          <w:szCs w:val="20"/>
        </w:rPr>
        <w:t xml:space="preserve">  </w:t>
      </w:r>
      <w:r w:rsidRPr="0054340B">
        <w:rPr>
          <w:noProof/>
          <w:szCs w:val="20"/>
          <w:lang w:eastAsia="fr-FR"/>
        </w:rPr>
        <w:drawing>
          <wp:inline distT="0" distB="0" distL="0" distR="0" wp14:anchorId="71532A1D" wp14:editId="1E83A09E">
            <wp:extent cx="1995170" cy="1472565"/>
            <wp:effectExtent l="0" t="0" r="5080" b="0"/>
            <wp:docPr id="95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95170" cy="1472565"/>
                    </a:xfrm>
                    <a:prstGeom prst="rect">
                      <a:avLst/>
                    </a:prstGeom>
                    <a:noFill/>
                    <a:ln>
                      <a:noFill/>
                    </a:ln>
                  </pic:spPr>
                </pic:pic>
              </a:graphicData>
            </a:graphic>
          </wp:inline>
        </w:drawing>
      </w:r>
    </w:p>
    <w:p w14:paraId="63E5ED95" w14:textId="77777777" w:rsidR="003B02C6" w:rsidRPr="0054340B" w:rsidRDefault="003B02C6" w:rsidP="0054340B">
      <w:pPr>
        <w:jc w:val="both"/>
        <w:rPr>
          <w:szCs w:val="20"/>
        </w:rPr>
      </w:pPr>
    </w:p>
    <w:p w14:paraId="06D852E3" w14:textId="77777777" w:rsidR="008162B0" w:rsidRPr="0054340B" w:rsidRDefault="001907E7" w:rsidP="0054340B">
      <w:pPr>
        <w:jc w:val="both"/>
        <w:rPr>
          <w:rFonts w:eastAsia="Times New Roman"/>
          <w:szCs w:val="20"/>
          <w:lang w:eastAsia="fr-FR"/>
        </w:rPr>
      </w:pPr>
      <w:r w:rsidRPr="0054340B">
        <w:rPr>
          <w:szCs w:val="20"/>
        </w:rPr>
        <w:t>Les données graphiques sont complétées de restitutions sous forme de tableur, plus détaillés et indiquant notamment une série de montant en fonction du percentile de couverture des risques.</w:t>
      </w:r>
      <w:r w:rsidR="002C128F" w:rsidRPr="0054340B">
        <w:rPr>
          <w:szCs w:val="20"/>
        </w:rPr>
        <w:t xml:space="preserve"> </w:t>
      </w:r>
      <w:r w:rsidR="008162B0" w:rsidRPr="0054340B">
        <w:rPr>
          <w:rFonts w:eastAsia="Times New Roman"/>
          <w:szCs w:val="20"/>
          <w:lang w:eastAsia="fr-FR"/>
        </w:rPr>
        <w:t>Le résultat consiste en</w:t>
      </w:r>
      <w:r w:rsidR="008162B0" w:rsidRPr="0054340B">
        <w:rPr>
          <w:rFonts w:eastAsia="Times New Roman"/>
          <w:b/>
          <w:szCs w:val="20"/>
          <w:lang w:eastAsia="fr-FR"/>
        </w:rPr>
        <w:t xml:space="preserve"> une estimation de l’impact financier global du panier intégré des risques identifiés</w:t>
      </w:r>
      <w:r w:rsidR="008162B0" w:rsidRPr="0054340B">
        <w:rPr>
          <w:rFonts w:eastAsia="Times New Roman"/>
          <w:szCs w:val="20"/>
          <w:lang w:eastAsia="fr-FR"/>
        </w:rPr>
        <w:t>.</w:t>
      </w:r>
      <w:r w:rsidR="002C128F" w:rsidRPr="0054340B">
        <w:rPr>
          <w:rFonts w:eastAsia="Times New Roman"/>
          <w:szCs w:val="20"/>
          <w:lang w:eastAsia="fr-FR"/>
        </w:rPr>
        <w:t xml:space="preserve"> </w:t>
      </w:r>
      <w:r w:rsidR="008162B0" w:rsidRPr="0054340B">
        <w:rPr>
          <w:rFonts w:eastAsia="Times New Roman"/>
          <w:szCs w:val="20"/>
          <w:lang w:eastAsia="fr-FR"/>
        </w:rPr>
        <w:t xml:space="preserve">La distribution obtenue </w:t>
      </w:r>
      <w:r w:rsidR="002C128F" w:rsidRPr="0054340B">
        <w:rPr>
          <w:rFonts w:eastAsia="Times New Roman"/>
          <w:szCs w:val="20"/>
          <w:lang w:eastAsia="fr-FR"/>
        </w:rPr>
        <w:t>peut être</w:t>
      </w:r>
      <w:r w:rsidR="008162B0" w:rsidRPr="0054340B">
        <w:rPr>
          <w:rFonts w:eastAsia="Times New Roman"/>
          <w:szCs w:val="20"/>
          <w:lang w:eastAsia="fr-FR"/>
        </w:rPr>
        <w:t xml:space="preserve"> exploitée selon deux modalités :</w:t>
      </w:r>
    </w:p>
    <w:p w14:paraId="33F07534" w14:textId="77777777" w:rsidR="008162B0" w:rsidRPr="0054340B" w:rsidRDefault="008162B0" w:rsidP="0083506E">
      <w:pPr>
        <w:numPr>
          <w:ilvl w:val="0"/>
          <w:numId w:val="19"/>
        </w:numPr>
        <w:jc w:val="both"/>
        <w:rPr>
          <w:szCs w:val="20"/>
        </w:rPr>
      </w:pPr>
      <w:r w:rsidRPr="0054340B">
        <w:rPr>
          <w:szCs w:val="20"/>
        </w:rPr>
        <w:t xml:space="preserve">pour </w:t>
      </w:r>
      <w:r w:rsidRPr="0054340B">
        <w:rPr>
          <w:b/>
          <w:szCs w:val="20"/>
        </w:rPr>
        <w:t xml:space="preserve">définir le taux de couverture des risques identifiés correspondant au montant de PRI </w:t>
      </w:r>
      <w:r w:rsidRPr="0054340B">
        <w:rPr>
          <w:szCs w:val="20"/>
        </w:rPr>
        <w:t>disponible ;</w:t>
      </w:r>
    </w:p>
    <w:p w14:paraId="2ACD2236" w14:textId="77777777" w:rsidR="008162B0" w:rsidRPr="0054340B" w:rsidRDefault="008162B0" w:rsidP="0083506E">
      <w:pPr>
        <w:numPr>
          <w:ilvl w:val="0"/>
          <w:numId w:val="19"/>
        </w:numPr>
        <w:jc w:val="both"/>
        <w:rPr>
          <w:szCs w:val="20"/>
        </w:rPr>
      </w:pPr>
      <w:r w:rsidRPr="0054340B">
        <w:rPr>
          <w:szCs w:val="20"/>
        </w:rPr>
        <w:t xml:space="preserve">pour </w:t>
      </w:r>
      <w:r w:rsidRPr="0054340B">
        <w:rPr>
          <w:b/>
          <w:szCs w:val="20"/>
        </w:rPr>
        <w:t>définir le montant de provision nécessaire pour obtenir un taux de couverture souhaité</w:t>
      </w:r>
      <w:r w:rsidRPr="0054340B">
        <w:rPr>
          <w:szCs w:val="20"/>
        </w:rPr>
        <w:t xml:space="preserve"> des risques du projet (par exemple, pour la </w:t>
      </w:r>
      <w:r w:rsidRPr="0054340B">
        <w:rPr>
          <w:i/>
          <w:szCs w:val="20"/>
        </w:rPr>
        <w:t>Valeur à risques</w:t>
      </w:r>
      <w:r w:rsidRPr="0054340B">
        <w:rPr>
          <w:szCs w:val="20"/>
        </w:rPr>
        <w:t xml:space="preserve"> 85 – VaR85 ou P85), et constater l’écart par rapport au montant de PRI disponible.</w:t>
      </w:r>
    </w:p>
    <w:p w14:paraId="1AA62EB0" w14:textId="77777777" w:rsidR="002C128F" w:rsidRPr="0054340B" w:rsidRDefault="002C128F" w:rsidP="0054340B">
      <w:pPr>
        <w:jc w:val="both"/>
        <w:rPr>
          <w:szCs w:val="20"/>
        </w:rPr>
      </w:pPr>
    </w:p>
    <w:p w14:paraId="7459CAD6" w14:textId="77777777" w:rsidR="005A2A4B" w:rsidRPr="0054340B" w:rsidRDefault="008162B0" w:rsidP="0054340B">
      <w:pPr>
        <w:jc w:val="both"/>
        <w:rPr>
          <w:szCs w:val="20"/>
        </w:rPr>
      </w:pPr>
      <w:r w:rsidRPr="0054340B">
        <w:rPr>
          <w:rFonts w:eastAsia="Times New Roman"/>
          <w:b/>
          <w:szCs w:val="20"/>
          <w:lang w:eastAsia="fr-FR"/>
        </w:rPr>
        <w:t>Ces données permettent de nourrir le pilotage des coûts d’investissement à terminaison (EAT), et d’enclencher le cas échéant des plans d’actions pour revenir dans l’objectif.</w:t>
      </w:r>
    </w:p>
    <w:p w14:paraId="0156CF1A" w14:textId="77777777" w:rsidR="003B02C6" w:rsidRPr="0054340B" w:rsidRDefault="003B02C6" w:rsidP="0054340B">
      <w:pPr>
        <w:widowControl w:val="0"/>
        <w:autoSpaceDE w:val="0"/>
        <w:autoSpaceDN w:val="0"/>
        <w:adjustRightInd w:val="0"/>
        <w:ind w:left="360"/>
        <w:contextualSpacing/>
        <w:jc w:val="both"/>
        <w:rPr>
          <w:rFonts w:eastAsia="MS Mincho" w:cs="Arial"/>
          <w:b/>
          <w:szCs w:val="20"/>
        </w:rPr>
      </w:pPr>
    </w:p>
    <w:p w14:paraId="7A53CE64" w14:textId="77777777" w:rsidR="003B02C6" w:rsidRPr="0054340B" w:rsidRDefault="003B02C6" w:rsidP="0054340B">
      <w:pPr>
        <w:widowControl w:val="0"/>
        <w:autoSpaceDE w:val="0"/>
        <w:autoSpaceDN w:val="0"/>
        <w:adjustRightInd w:val="0"/>
        <w:ind w:left="360"/>
        <w:contextualSpacing/>
        <w:jc w:val="both"/>
        <w:rPr>
          <w:rFonts w:eastAsia="MS Mincho" w:cs="Arial"/>
          <w:b/>
          <w:szCs w:val="20"/>
        </w:rPr>
      </w:pPr>
    </w:p>
    <w:p w14:paraId="7C21CA23" w14:textId="77777777" w:rsidR="00512DBC" w:rsidRPr="0054340B" w:rsidRDefault="00512DBC" w:rsidP="0083506E">
      <w:pPr>
        <w:widowControl w:val="0"/>
        <w:numPr>
          <w:ilvl w:val="0"/>
          <w:numId w:val="23"/>
        </w:numPr>
        <w:autoSpaceDE w:val="0"/>
        <w:autoSpaceDN w:val="0"/>
        <w:adjustRightInd w:val="0"/>
        <w:contextualSpacing/>
        <w:jc w:val="both"/>
        <w:rPr>
          <w:rFonts w:eastAsia="MS Mincho" w:cs="Arial"/>
          <w:b/>
          <w:szCs w:val="20"/>
        </w:rPr>
      </w:pPr>
      <w:r w:rsidRPr="0054340B">
        <w:rPr>
          <w:rFonts w:eastAsia="MS Mincho" w:cs="Arial"/>
          <w:b/>
          <w:szCs w:val="20"/>
        </w:rPr>
        <w:t xml:space="preserve">Stratégie </w:t>
      </w:r>
      <w:r w:rsidR="005A2A4B" w:rsidRPr="0054340B">
        <w:rPr>
          <w:rFonts w:eastAsia="MS Mincho" w:cs="Arial"/>
          <w:b/>
          <w:szCs w:val="20"/>
        </w:rPr>
        <w:t>assuranc</w:t>
      </w:r>
      <w:r w:rsidRPr="0054340B">
        <w:rPr>
          <w:rFonts w:eastAsia="MS Mincho" w:cs="Arial"/>
          <w:b/>
          <w:szCs w:val="20"/>
        </w:rPr>
        <w:t>ielle</w:t>
      </w:r>
    </w:p>
    <w:p w14:paraId="3754972D" w14:textId="77777777" w:rsidR="00512DBC" w:rsidRPr="0054340B" w:rsidRDefault="00512DBC" w:rsidP="0054340B">
      <w:pPr>
        <w:jc w:val="both"/>
        <w:rPr>
          <w:rFonts w:eastAsia="Times New Roman"/>
          <w:szCs w:val="20"/>
          <w:lang w:eastAsia="fr-FR"/>
        </w:rPr>
      </w:pPr>
    </w:p>
    <w:p w14:paraId="433879EE" w14:textId="514905B1" w:rsidR="005A2A4B" w:rsidRDefault="00C37259" w:rsidP="0054340B">
      <w:pPr>
        <w:jc w:val="both"/>
        <w:rPr>
          <w:szCs w:val="20"/>
        </w:rPr>
      </w:pPr>
      <w:r w:rsidRPr="0054340B">
        <w:rPr>
          <w:szCs w:val="20"/>
        </w:rPr>
        <w:t>Les risques assurables (« sinistres ») recouvrent une partie seulement de l’univers des risques auxquels est confrontée la SGP dans la conduite du projet GPE.</w:t>
      </w:r>
      <w:r w:rsidR="002C128F" w:rsidRPr="0054340B">
        <w:rPr>
          <w:szCs w:val="20"/>
        </w:rPr>
        <w:t xml:space="preserve"> </w:t>
      </w:r>
      <w:r w:rsidR="005A2A4B" w:rsidRPr="0054340B">
        <w:rPr>
          <w:szCs w:val="20"/>
        </w:rPr>
        <w:t xml:space="preserve">Devant l’importance de l’impact financier des </w:t>
      </w:r>
      <w:r w:rsidRPr="0054340B">
        <w:rPr>
          <w:szCs w:val="20"/>
        </w:rPr>
        <w:t>sinistres potentiels</w:t>
      </w:r>
      <w:r w:rsidR="005A2A4B" w:rsidRPr="0054340B">
        <w:rPr>
          <w:szCs w:val="20"/>
        </w:rPr>
        <w:t xml:space="preserve"> et dans un contexte d’intervenants multiples, la souscription d’assurances </w:t>
      </w:r>
      <w:r w:rsidR="005E2FB3" w:rsidRPr="0054340B">
        <w:rPr>
          <w:szCs w:val="20"/>
        </w:rPr>
        <w:t>au niveau de la</w:t>
      </w:r>
      <w:r w:rsidR="005A2A4B" w:rsidRPr="0054340B">
        <w:rPr>
          <w:szCs w:val="20"/>
        </w:rPr>
        <w:t xml:space="preserve"> </w:t>
      </w:r>
      <w:r w:rsidR="005E2FB3" w:rsidRPr="0054340B">
        <w:rPr>
          <w:szCs w:val="20"/>
        </w:rPr>
        <w:t>maîtrise d’ouvrage</w:t>
      </w:r>
      <w:r w:rsidR="005A2A4B" w:rsidRPr="0054340B">
        <w:rPr>
          <w:szCs w:val="20"/>
        </w:rPr>
        <w:t xml:space="preserve"> répond à deux préoccupations majeures :</w:t>
      </w:r>
    </w:p>
    <w:p w14:paraId="796C3CAD" w14:textId="77777777" w:rsidR="0054340B" w:rsidRPr="0054340B" w:rsidRDefault="0054340B" w:rsidP="0054340B">
      <w:pPr>
        <w:jc w:val="both"/>
        <w:rPr>
          <w:szCs w:val="20"/>
        </w:rPr>
      </w:pPr>
    </w:p>
    <w:p w14:paraId="68AA7E78" w14:textId="77777777" w:rsidR="0009519A" w:rsidRPr="0054340B" w:rsidRDefault="005A2A4B" w:rsidP="0083506E">
      <w:pPr>
        <w:numPr>
          <w:ilvl w:val="0"/>
          <w:numId w:val="19"/>
        </w:numPr>
        <w:jc w:val="both"/>
        <w:rPr>
          <w:szCs w:val="20"/>
        </w:rPr>
      </w:pPr>
      <w:r w:rsidRPr="0054340B">
        <w:rPr>
          <w:szCs w:val="20"/>
        </w:rPr>
        <w:lastRenderedPageBreak/>
        <w:t>enjeux financiers : réduction des aléas, maîtrise des risques</w:t>
      </w:r>
      <w:r w:rsidR="00096AA5" w:rsidRPr="0054340B">
        <w:rPr>
          <w:szCs w:val="20"/>
        </w:rPr>
        <w:t>,</w:t>
      </w:r>
    </w:p>
    <w:p w14:paraId="6FC2A7B8" w14:textId="77777777" w:rsidR="0009519A" w:rsidRPr="0054340B" w:rsidRDefault="005A2A4B" w:rsidP="0083506E">
      <w:pPr>
        <w:numPr>
          <w:ilvl w:val="0"/>
          <w:numId w:val="19"/>
        </w:numPr>
        <w:jc w:val="both"/>
        <w:rPr>
          <w:szCs w:val="20"/>
        </w:rPr>
      </w:pPr>
      <w:r w:rsidRPr="0054340B">
        <w:rPr>
          <w:szCs w:val="20"/>
        </w:rPr>
        <w:t>enjeux de gestion : en interne (capacité d’intervention de la SGP, efficacité du dispositif) et en externe (harmonisation des pratiques des intervenants, capacité d’accès au marché)</w:t>
      </w:r>
      <w:r w:rsidR="00096AA5" w:rsidRPr="0054340B">
        <w:rPr>
          <w:szCs w:val="20"/>
        </w:rPr>
        <w:t>.</w:t>
      </w:r>
    </w:p>
    <w:p w14:paraId="19A92DCA" w14:textId="77777777" w:rsidR="00512DBC" w:rsidRPr="0054340B" w:rsidRDefault="00512DBC" w:rsidP="0054340B">
      <w:pPr>
        <w:ind w:left="360"/>
        <w:jc w:val="both"/>
        <w:rPr>
          <w:szCs w:val="20"/>
        </w:rPr>
      </w:pPr>
    </w:p>
    <w:p w14:paraId="0A4E6040" w14:textId="4860AFD5" w:rsidR="005A2A4B" w:rsidRDefault="005A2A4B" w:rsidP="0054340B">
      <w:pPr>
        <w:jc w:val="both"/>
        <w:rPr>
          <w:szCs w:val="20"/>
        </w:rPr>
      </w:pPr>
      <w:r w:rsidRPr="0054340B">
        <w:rPr>
          <w:szCs w:val="20"/>
        </w:rPr>
        <w:t>L’engagement de la SGP dans la définition et le portage de son prog</w:t>
      </w:r>
      <w:r w:rsidR="00512DBC" w:rsidRPr="0054340B">
        <w:rPr>
          <w:szCs w:val="20"/>
        </w:rPr>
        <w:t xml:space="preserve">ramme d’assurance lui permet </w:t>
      </w:r>
      <w:r w:rsidRPr="0054340B">
        <w:rPr>
          <w:szCs w:val="20"/>
        </w:rPr>
        <w:t>:</w:t>
      </w:r>
    </w:p>
    <w:p w14:paraId="4046694D" w14:textId="77777777" w:rsidR="0054340B" w:rsidRPr="0054340B" w:rsidRDefault="0054340B" w:rsidP="0054340B">
      <w:pPr>
        <w:jc w:val="both"/>
        <w:rPr>
          <w:szCs w:val="20"/>
        </w:rPr>
      </w:pPr>
    </w:p>
    <w:p w14:paraId="7BCF1DC3" w14:textId="77777777" w:rsidR="0009519A" w:rsidRPr="0054340B" w:rsidRDefault="00512DBC" w:rsidP="0083506E">
      <w:pPr>
        <w:numPr>
          <w:ilvl w:val="0"/>
          <w:numId w:val="19"/>
        </w:numPr>
        <w:jc w:val="both"/>
        <w:rPr>
          <w:szCs w:val="20"/>
        </w:rPr>
      </w:pPr>
      <w:r w:rsidRPr="0054340B">
        <w:rPr>
          <w:szCs w:val="20"/>
        </w:rPr>
        <w:t xml:space="preserve">de </w:t>
      </w:r>
      <w:r w:rsidR="005A2A4B" w:rsidRPr="0054340B">
        <w:rPr>
          <w:szCs w:val="20"/>
        </w:rPr>
        <w:t xml:space="preserve">maîtriser de manière directe et autonome les conditions de transfert de son exposition </w:t>
      </w:r>
      <w:r w:rsidRPr="0054340B">
        <w:rPr>
          <w:szCs w:val="20"/>
        </w:rPr>
        <w:t xml:space="preserve">aux risques afin de </w:t>
      </w:r>
      <w:r w:rsidR="005A2A4B" w:rsidRPr="0054340B">
        <w:rPr>
          <w:szCs w:val="20"/>
        </w:rPr>
        <w:t>:</w:t>
      </w:r>
    </w:p>
    <w:p w14:paraId="53B5A99D" w14:textId="77777777" w:rsidR="0009519A" w:rsidRPr="0054340B" w:rsidRDefault="005A2A4B" w:rsidP="0083506E">
      <w:pPr>
        <w:numPr>
          <w:ilvl w:val="1"/>
          <w:numId w:val="24"/>
        </w:numPr>
        <w:ind w:left="1434" w:hanging="357"/>
        <w:jc w:val="both"/>
        <w:rPr>
          <w:szCs w:val="20"/>
        </w:rPr>
      </w:pPr>
      <w:r w:rsidRPr="0054340B">
        <w:rPr>
          <w:szCs w:val="20"/>
        </w:rPr>
        <w:t>mobiliser des niveaux de couverture et des conditions de transfert cohérents avec l’exposition aux risques ;</w:t>
      </w:r>
    </w:p>
    <w:p w14:paraId="7B38DBE6" w14:textId="77777777" w:rsidR="0009519A" w:rsidRPr="0054340B" w:rsidRDefault="005A2A4B" w:rsidP="0083506E">
      <w:pPr>
        <w:numPr>
          <w:ilvl w:val="1"/>
          <w:numId w:val="24"/>
        </w:numPr>
        <w:ind w:left="1434" w:hanging="357"/>
        <w:jc w:val="both"/>
        <w:rPr>
          <w:szCs w:val="20"/>
        </w:rPr>
      </w:pPr>
      <w:r w:rsidRPr="0054340B">
        <w:rPr>
          <w:szCs w:val="20"/>
        </w:rPr>
        <w:t>permettre l’intégration de chaque intervenant dans le périmètre des couvertures.</w:t>
      </w:r>
    </w:p>
    <w:p w14:paraId="4F590E06" w14:textId="77777777" w:rsidR="0009519A" w:rsidRPr="0054340B" w:rsidRDefault="00512DBC" w:rsidP="0083506E">
      <w:pPr>
        <w:numPr>
          <w:ilvl w:val="0"/>
          <w:numId w:val="19"/>
        </w:numPr>
        <w:jc w:val="both"/>
        <w:rPr>
          <w:szCs w:val="20"/>
        </w:rPr>
      </w:pPr>
      <w:r w:rsidRPr="0054340B">
        <w:rPr>
          <w:szCs w:val="20"/>
        </w:rPr>
        <w:t xml:space="preserve">de </w:t>
      </w:r>
      <w:r w:rsidR="005A2A4B" w:rsidRPr="0054340B">
        <w:rPr>
          <w:szCs w:val="20"/>
        </w:rPr>
        <w:t>mutualiser au maximum les risques po</w:t>
      </w:r>
      <w:r w:rsidRPr="0054340B">
        <w:rPr>
          <w:szCs w:val="20"/>
        </w:rPr>
        <w:t xml:space="preserve">ur l’ensemble des intervenants </w:t>
      </w:r>
      <w:r w:rsidR="005A2A4B" w:rsidRPr="0054340B">
        <w:rPr>
          <w:szCs w:val="20"/>
        </w:rPr>
        <w:t>:</w:t>
      </w:r>
    </w:p>
    <w:p w14:paraId="267BE59B" w14:textId="77777777" w:rsidR="0009519A" w:rsidRPr="0054340B" w:rsidRDefault="005A2A4B" w:rsidP="0083506E">
      <w:pPr>
        <w:numPr>
          <w:ilvl w:val="1"/>
          <w:numId w:val="24"/>
        </w:numPr>
        <w:ind w:left="1434" w:hanging="357"/>
        <w:jc w:val="both"/>
        <w:rPr>
          <w:szCs w:val="20"/>
        </w:rPr>
      </w:pPr>
      <w:r w:rsidRPr="0054340B">
        <w:rPr>
          <w:b/>
          <w:bCs/>
          <w:szCs w:val="20"/>
        </w:rPr>
        <w:t xml:space="preserve">maîtrise des polices </w:t>
      </w:r>
      <w:r w:rsidRPr="0054340B">
        <w:rPr>
          <w:szCs w:val="20"/>
        </w:rPr>
        <w:t>(choix de l’assureur, paramètre de couverture, etc.)</w:t>
      </w:r>
    </w:p>
    <w:p w14:paraId="7A243496" w14:textId="77777777" w:rsidR="0009519A" w:rsidRPr="0054340B" w:rsidRDefault="005A2A4B" w:rsidP="0083506E">
      <w:pPr>
        <w:numPr>
          <w:ilvl w:val="1"/>
          <w:numId w:val="24"/>
        </w:numPr>
        <w:jc w:val="both"/>
        <w:rPr>
          <w:szCs w:val="20"/>
        </w:rPr>
      </w:pPr>
      <w:r w:rsidRPr="0054340B">
        <w:rPr>
          <w:b/>
          <w:bCs/>
          <w:szCs w:val="20"/>
        </w:rPr>
        <w:t xml:space="preserve">gestion des sinistres </w:t>
      </w:r>
      <w:r w:rsidRPr="0054340B">
        <w:rPr>
          <w:szCs w:val="20"/>
        </w:rPr>
        <w:t>(connaissance des sinistres, délais et qualité de traitement)</w:t>
      </w:r>
    </w:p>
    <w:p w14:paraId="5CAF77EA" w14:textId="77777777" w:rsidR="0054340B" w:rsidRDefault="0054340B" w:rsidP="0054340B">
      <w:pPr>
        <w:jc w:val="both"/>
        <w:rPr>
          <w:szCs w:val="20"/>
        </w:rPr>
      </w:pPr>
    </w:p>
    <w:p w14:paraId="5A02510E" w14:textId="68429087" w:rsidR="002C128F" w:rsidRPr="0054340B" w:rsidRDefault="00512DBC" w:rsidP="0054340B">
      <w:pPr>
        <w:jc w:val="both"/>
        <w:rPr>
          <w:szCs w:val="20"/>
        </w:rPr>
      </w:pPr>
      <w:r w:rsidRPr="0054340B">
        <w:rPr>
          <w:szCs w:val="20"/>
        </w:rPr>
        <w:t xml:space="preserve">Le schéma directeur des assurances a été déployé </w:t>
      </w:r>
      <w:r w:rsidR="00C37259" w:rsidRPr="0054340B">
        <w:rPr>
          <w:szCs w:val="20"/>
        </w:rPr>
        <w:t>en 2018 avec la</w:t>
      </w:r>
      <w:r w:rsidRPr="0054340B">
        <w:rPr>
          <w:szCs w:val="20"/>
        </w:rPr>
        <w:t xml:space="preserve"> passation des appels d’offre</w:t>
      </w:r>
      <w:r w:rsidR="00C37259" w:rsidRPr="0054340B">
        <w:rPr>
          <w:szCs w:val="20"/>
        </w:rPr>
        <w:t xml:space="preserve"> ; il </w:t>
      </w:r>
      <w:r w:rsidRPr="0054340B">
        <w:rPr>
          <w:szCs w:val="20"/>
        </w:rPr>
        <w:t>est entré en phase de mise en œuvre début 2019.</w:t>
      </w:r>
    </w:p>
    <w:p w14:paraId="25EC7BF3" w14:textId="77777777" w:rsidR="002C128F" w:rsidRDefault="002C128F" w:rsidP="004C4CA3">
      <w:pPr>
        <w:jc w:val="both"/>
      </w:pPr>
    </w:p>
    <w:p w14:paraId="7C5BE866" w14:textId="77777777" w:rsidR="002C128F" w:rsidRDefault="002C128F" w:rsidP="004C4CA3">
      <w:pPr>
        <w:jc w:val="both"/>
      </w:pPr>
    </w:p>
    <w:p w14:paraId="6CEF8A10" w14:textId="29D72B12" w:rsidR="002C128F" w:rsidRDefault="00150A72" w:rsidP="004C4CA3">
      <w:pPr>
        <w:jc w:val="both"/>
      </w:pPr>
      <w:r>
        <w:rPr>
          <w:noProof/>
          <w:lang w:eastAsia="fr-FR"/>
        </w:rPr>
        <w:drawing>
          <wp:inline distT="0" distB="0" distL="0" distR="0" wp14:anchorId="3AB58E36" wp14:editId="621D8C06">
            <wp:extent cx="6436360" cy="3479165"/>
            <wp:effectExtent l="0" t="0" r="2540" b="6985"/>
            <wp:docPr id="95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36360" cy="3479165"/>
                    </a:xfrm>
                    <a:prstGeom prst="rect">
                      <a:avLst/>
                    </a:prstGeom>
                    <a:noFill/>
                    <a:ln>
                      <a:noFill/>
                    </a:ln>
                  </pic:spPr>
                </pic:pic>
              </a:graphicData>
            </a:graphic>
          </wp:inline>
        </w:drawing>
      </w:r>
    </w:p>
    <w:p w14:paraId="3E9C0E3B" w14:textId="5B1AFD9E" w:rsidR="00532B54" w:rsidRDefault="00532B54" w:rsidP="004C4CA3">
      <w:pPr>
        <w:jc w:val="both"/>
      </w:pPr>
    </w:p>
    <w:p w14:paraId="35807D6D" w14:textId="1D588F13" w:rsidR="00532B54" w:rsidRDefault="00532B54" w:rsidP="004C4CA3">
      <w:pPr>
        <w:jc w:val="both"/>
      </w:pPr>
    </w:p>
    <w:p w14:paraId="680C8C71" w14:textId="77777777" w:rsidR="00532B54" w:rsidRDefault="00532B54" w:rsidP="004C4CA3">
      <w:pPr>
        <w:jc w:val="both"/>
        <w:sectPr w:rsidR="00532B54" w:rsidSect="00822CCC">
          <w:pgSz w:w="23818" w:h="16838" w:orient="landscape"/>
          <w:pgMar w:top="1418" w:right="1418" w:bottom="1418" w:left="1418" w:header="709" w:footer="709" w:gutter="0"/>
          <w:cols w:num="2" w:space="708"/>
          <w:docGrid w:linePitch="272"/>
        </w:sectPr>
      </w:pPr>
    </w:p>
    <w:p w14:paraId="69758286" w14:textId="5C1D387A" w:rsidR="00532B54" w:rsidRDefault="00532B54" w:rsidP="004C4CA3">
      <w:pPr>
        <w:jc w:val="both"/>
      </w:pPr>
    </w:p>
    <w:p w14:paraId="3C906F24" w14:textId="77777777" w:rsidR="00512DBC" w:rsidRDefault="00512DBC" w:rsidP="004C4CA3">
      <w:pPr>
        <w:jc w:val="both"/>
      </w:pPr>
    </w:p>
    <w:p w14:paraId="0C047E24" w14:textId="77777777" w:rsidR="00512DBC" w:rsidRPr="005A2A4B" w:rsidRDefault="00512DBC" w:rsidP="004C4CA3">
      <w:pPr>
        <w:jc w:val="both"/>
      </w:pPr>
    </w:p>
    <w:p w14:paraId="2367D830" w14:textId="77777777" w:rsidR="001907E7" w:rsidRDefault="001907E7" w:rsidP="004C4CA3">
      <w:pPr>
        <w:jc w:val="both"/>
      </w:pPr>
    </w:p>
    <w:p w14:paraId="61DD6A40" w14:textId="77777777" w:rsidR="001907E7" w:rsidRDefault="001907E7" w:rsidP="004C4CA3">
      <w:pPr>
        <w:jc w:val="both"/>
      </w:pPr>
    </w:p>
    <w:p w14:paraId="0641F7AA" w14:textId="77777777" w:rsidR="008C45C5" w:rsidRDefault="008C45C5" w:rsidP="004C4CA3">
      <w:pPr>
        <w:jc w:val="both"/>
      </w:pPr>
    </w:p>
    <w:p w14:paraId="2BC6E324" w14:textId="77777777" w:rsidR="008C45C5" w:rsidRDefault="008C45C5" w:rsidP="004C4CA3">
      <w:pPr>
        <w:jc w:val="both"/>
      </w:pPr>
    </w:p>
    <w:p w14:paraId="0804A044" w14:textId="77777777" w:rsidR="008C45C5" w:rsidRDefault="008C45C5" w:rsidP="004C4CA3">
      <w:pPr>
        <w:jc w:val="both"/>
      </w:pPr>
    </w:p>
    <w:p w14:paraId="34850F6B" w14:textId="77777777" w:rsidR="008C45C5" w:rsidRDefault="008C45C5" w:rsidP="004C4CA3">
      <w:pPr>
        <w:jc w:val="both"/>
      </w:pPr>
    </w:p>
    <w:p w14:paraId="75894A6B" w14:textId="77777777" w:rsidR="00A13130" w:rsidRDefault="00A13130" w:rsidP="004C4CA3">
      <w:pPr>
        <w:jc w:val="both"/>
        <w:sectPr w:rsidR="00A13130" w:rsidSect="00532B54">
          <w:type w:val="continuous"/>
          <w:pgSz w:w="23818" w:h="16838" w:orient="landscape"/>
          <w:pgMar w:top="1418" w:right="1418" w:bottom="1418" w:left="1418" w:header="709" w:footer="709" w:gutter="0"/>
          <w:cols w:num="2" w:space="708"/>
          <w:docGrid w:linePitch="272"/>
        </w:sectPr>
      </w:pPr>
    </w:p>
    <w:tbl>
      <w:tblPr>
        <w:tblW w:w="14170" w:type="dxa"/>
        <w:jc w:val="center"/>
        <w:tblCellMar>
          <w:left w:w="70" w:type="dxa"/>
          <w:right w:w="70" w:type="dxa"/>
        </w:tblCellMar>
        <w:tblLook w:val="04A0" w:firstRow="1" w:lastRow="0" w:firstColumn="1" w:lastColumn="0" w:noHBand="0" w:noVBand="1"/>
      </w:tblPr>
      <w:tblGrid>
        <w:gridCol w:w="521"/>
        <w:gridCol w:w="1113"/>
        <w:gridCol w:w="3655"/>
        <w:gridCol w:w="3635"/>
        <w:gridCol w:w="320"/>
        <w:gridCol w:w="2522"/>
        <w:gridCol w:w="320"/>
        <w:gridCol w:w="950"/>
        <w:gridCol w:w="342"/>
        <w:gridCol w:w="792"/>
      </w:tblGrid>
      <w:tr w:rsidR="00A13130" w:rsidRPr="00D822DC" w14:paraId="606EB97A" w14:textId="77777777" w:rsidTr="00A13130">
        <w:trPr>
          <w:trHeight w:val="717"/>
          <w:tblHeader/>
          <w:jc w:val="center"/>
        </w:trPr>
        <w:tc>
          <w:tcPr>
            <w:tcW w:w="521" w:type="dxa"/>
            <w:vMerge w:val="restart"/>
            <w:tcBorders>
              <w:top w:val="single" w:sz="4" w:space="0" w:color="000000"/>
              <w:left w:val="single" w:sz="4" w:space="0" w:color="000000"/>
              <w:bottom w:val="single" w:sz="4" w:space="0" w:color="000000"/>
              <w:right w:val="single" w:sz="4" w:space="0" w:color="000000"/>
            </w:tcBorders>
            <w:shd w:val="clear" w:color="000000" w:fill="666699"/>
            <w:vAlign w:val="center"/>
            <w:hideMark/>
          </w:tcPr>
          <w:p w14:paraId="2EF8F0C5"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color w:val="FFFFFF"/>
                <w:sz w:val="12"/>
                <w:szCs w:val="12"/>
                <w:lang w:eastAsia="fr-FR"/>
              </w:rPr>
              <w:lastRenderedPageBreak/>
              <w:t>CATEGORIES</w:t>
            </w:r>
          </w:p>
        </w:tc>
        <w:tc>
          <w:tcPr>
            <w:tcW w:w="1113" w:type="dxa"/>
            <w:vMerge w:val="restart"/>
            <w:tcBorders>
              <w:top w:val="nil"/>
              <w:left w:val="single" w:sz="4" w:space="0" w:color="000000"/>
              <w:bottom w:val="single" w:sz="4" w:space="0" w:color="000000"/>
              <w:right w:val="single" w:sz="4" w:space="0" w:color="000000"/>
            </w:tcBorders>
            <w:shd w:val="clear" w:color="000000" w:fill="666699"/>
            <w:vAlign w:val="center"/>
            <w:hideMark/>
          </w:tcPr>
          <w:p w14:paraId="1F397FD3" w14:textId="77777777" w:rsidR="00A13130" w:rsidRPr="00D822DC" w:rsidRDefault="00A13130" w:rsidP="00C04D59">
            <w:pPr>
              <w:ind w:firstLineChars="100" w:firstLine="120"/>
              <w:jc w:val="center"/>
              <w:rPr>
                <w:rFonts w:ascii="Arial" w:eastAsia="Times New Roman" w:hAnsi="Arial" w:cs="Arial"/>
                <w:b/>
                <w:bCs/>
                <w:sz w:val="12"/>
                <w:szCs w:val="12"/>
                <w:lang w:eastAsia="fr-FR"/>
              </w:rPr>
            </w:pPr>
            <w:r w:rsidRPr="00D822DC">
              <w:rPr>
                <w:rFonts w:ascii="Arial" w:eastAsia="Times New Roman" w:hAnsi="Arial" w:cs="Arial"/>
                <w:b/>
                <w:bCs/>
                <w:color w:val="FFFFFF"/>
                <w:sz w:val="12"/>
                <w:szCs w:val="12"/>
                <w:lang w:eastAsia="fr-FR"/>
              </w:rPr>
              <w:t>SOUS- CATEGORIES</w:t>
            </w:r>
          </w:p>
        </w:tc>
        <w:tc>
          <w:tcPr>
            <w:tcW w:w="7290" w:type="dxa"/>
            <w:gridSpan w:val="2"/>
            <w:tcBorders>
              <w:top w:val="single" w:sz="4" w:space="0" w:color="000000"/>
              <w:left w:val="nil"/>
              <w:bottom w:val="single" w:sz="4" w:space="0" w:color="000000"/>
              <w:right w:val="single" w:sz="4" w:space="0" w:color="000000"/>
            </w:tcBorders>
            <w:shd w:val="clear" w:color="000000" w:fill="666699"/>
            <w:vAlign w:val="center"/>
            <w:hideMark/>
          </w:tcPr>
          <w:p w14:paraId="7BE97559"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color w:val="FFFFFF"/>
                <w:sz w:val="12"/>
                <w:szCs w:val="12"/>
                <w:lang w:eastAsia="fr-FR"/>
              </w:rPr>
              <w:t>GRAND PARIS EXPRESS</w:t>
            </w:r>
          </w:p>
        </w:tc>
        <w:tc>
          <w:tcPr>
            <w:tcW w:w="320" w:type="dxa"/>
            <w:vMerge w:val="restart"/>
            <w:tcBorders>
              <w:top w:val="nil"/>
              <w:left w:val="single" w:sz="4" w:space="0" w:color="000000"/>
              <w:bottom w:val="single" w:sz="4" w:space="0" w:color="000000"/>
              <w:right w:val="single" w:sz="4" w:space="0" w:color="000000"/>
            </w:tcBorders>
            <w:shd w:val="clear" w:color="000000" w:fill="666699"/>
            <w:textDirection w:val="btLr"/>
            <w:vAlign w:val="center"/>
            <w:hideMark/>
          </w:tcPr>
          <w:p w14:paraId="4647E446"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color w:val="FFFFFF"/>
                <w:sz w:val="12"/>
                <w:szCs w:val="12"/>
                <w:lang w:eastAsia="fr-FR"/>
              </w:rPr>
              <w:t>PERIODE D'EXPOSITION</w:t>
            </w:r>
          </w:p>
        </w:tc>
        <w:tc>
          <w:tcPr>
            <w:tcW w:w="2522" w:type="dxa"/>
            <w:vMerge w:val="restart"/>
            <w:tcBorders>
              <w:top w:val="single" w:sz="4" w:space="0" w:color="000000"/>
              <w:left w:val="single" w:sz="4" w:space="0" w:color="000000"/>
              <w:bottom w:val="single" w:sz="4" w:space="0" w:color="000000"/>
              <w:right w:val="single" w:sz="4" w:space="0" w:color="000000"/>
            </w:tcBorders>
            <w:shd w:val="clear" w:color="000000" w:fill="666699"/>
            <w:vAlign w:val="center"/>
            <w:hideMark/>
          </w:tcPr>
          <w:p w14:paraId="4F0D1E88" w14:textId="77777777" w:rsidR="00A13130" w:rsidRPr="00D822DC" w:rsidRDefault="00A13130" w:rsidP="00C04D59">
            <w:pPr>
              <w:ind w:firstLineChars="100" w:firstLine="120"/>
              <w:jc w:val="center"/>
              <w:rPr>
                <w:rFonts w:ascii="Arial" w:eastAsia="Times New Roman" w:hAnsi="Arial" w:cs="Arial"/>
                <w:b/>
                <w:bCs/>
                <w:sz w:val="12"/>
                <w:szCs w:val="12"/>
                <w:lang w:eastAsia="fr-FR"/>
              </w:rPr>
            </w:pPr>
            <w:r w:rsidRPr="00D822DC">
              <w:rPr>
                <w:rFonts w:ascii="Arial" w:eastAsia="Times New Roman" w:hAnsi="Arial" w:cs="Arial"/>
                <w:b/>
                <w:bCs/>
                <w:color w:val="FFFFFF"/>
                <w:sz w:val="12"/>
                <w:szCs w:val="12"/>
                <w:lang w:eastAsia="fr-FR"/>
              </w:rPr>
              <w:t>INTEGRATION DU RISQUE DANS L'EVALUATION</w:t>
            </w:r>
          </w:p>
        </w:tc>
        <w:tc>
          <w:tcPr>
            <w:tcW w:w="320" w:type="dxa"/>
            <w:vMerge w:val="restart"/>
            <w:tcBorders>
              <w:top w:val="nil"/>
              <w:left w:val="single" w:sz="4" w:space="0" w:color="000000"/>
              <w:bottom w:val="single" w:sz="4" w:space="0" w:color="000000"/>
              <w:right w:val="single" w:sz="4" w:space="0" w:color="000000"/>
            </w:tcBorders>
            <w:shd w:val="clear" w:color="000000" w:fill="666699"/>
            <w:textDirection w:val="btLr"/>
            <w:vAlign w:val="center"/>
            <w:hideMark/>
          </w:tcPr>
          <w:p w14:paraId="45591DB9"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color w:val="FFFFFF"/>
                <w:sz w:val="12"/>
                <w:szCs w:val="12"/>
                <w:lang w:eastAsia="fr-FR"/>
              </w:rPr>
              <w:t>CRITICITE</w:t>
            </w:r>
          </w:p>
        </w:tc>
        <w:tc>
          <w:tcPr>
            <w:tcW w:w="2084" w:type="dxa"/>
            <w:gridSpan w:val="3"/>
            <w:tcBorders>
              <w:top w:val="single" w:sz="4" w:space="0" w:color="000000"/>
              <w:left w:val="nil"/>
              <w:bottom w:val="single" w:sz="4" w:space="0" w:color="000000"/>
              <w:right w:val="single" w:sz="4" w:space="0" w:color="000000"/>
            </w:tcBorders>
            <w:shd w:val="clear" w:color="000000" w:fill="666699"/>
            <w:vAlign w:val="center"/>
            <w:hideMark/>
          </w:tcPr>
          <w:p w14:paraId="06D625A4"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color w:val="FFFFFF"/>
                <w:sz w:val="12"/>
                <w:szCs w:val="12"/>
                <w:lang w:eastAsia="fr-FR"/>
              </w:rPr>
              <w:t>INCIDENCES SUR BILAN SOCIO-ECONOMIQUE</w:t>
            </w:r>
          </w:p>
        </w:tc>
      </w:tr>
      <w:tr w:rsidR="00A13130" w:rsidRPr="00D822DC" w14:paraId="242817BD" w14:textId="77777777" w:rsidTr="00A13130">
        <w:trPr>
          <w:trHeight w:val="663"/>
          <w:tblHeader/>
          <w:jc w:val="center"/>
        </w:trPr>
        <w:tc>
          <w:tcPr>
            <w:tcW w:w="521" w:type="dxa"/>
            <w:vMerge/>
            <w:tcBorders>
              <w:top w:val="single" w:sz="4" w:space="0" w:color="000000"/>
              <w:left w:val="single" w:sz="4" w:space="0" w:color="000000"/>
              <w:bottom w:val="single" w:sz="4" w:space="0" w:color="000000"/>
              <w:right w:val="single" w:sz="4" w:space="0" w:color="000000"/>
            </w:tcBorders>
            <w:vAlign w:val="center"/>
            <w:hideMark/>
          </w:tcPr>
          <w:p w14:paraId="12CE604E" w14:textId="77777777" w:rsidR="00A13130" w:rsidRPr="00D822DC" w:rsidRDefault="00A13130" w:rsidP="00C04D59">
            <w:pPr>
              <w:jc w:val="center"/>
              <w:rPr>
                <w:rFonts w:ascii="Arial" w:eastAsia="Times New Roman" w:hAnsi="Arial" w:cs="Arial"/>
                <w:b/>
                <w:bCs/>
                <w:sz w:val="12"/>
                <w:szCs w:val="12"/>
                <w:lang w:eastAsia="fr-FR"/>
              </w:rPr>
            </w:pPr>
          </w:p>
        </w:tc>
        <w:tc>
          <w:tcPr>
            <w:tcW w:w="1113" w:type="dxa"/>
            <w:vMerge/>
            <w:tcBorders>
              <w:top w:val="nil"/>
              <w:left w:val="single" w:sz="4" w:space="0" w:color="000000"/>
              <w:bottom w:val="single" w:sz="4" w:space="0" w:color="000000"/>
              <w:right w:val="single" w:sz="4" w:space="0" w:color="000000"/>
            </w:tcBorders>
            <w:vAlign w:val="center"/>
            <w:hideMark/>
          </w:tcPr>
          <w:p w14:paraId="125141CB" w14:textId="77777777" w:rsidR="00A13130" w:rsidRPr="00D822DC" w:rsidRDefault="00A13130" w:rsidP="00C04D59">
            <w:pPr>
              <w:jc w:val="center"/>
              <w:rPr>
                <w:rFonts w:ascii="Arial" w:eastAsia="Times New Roman" w:hAnsi="Arial" w:cs="Arial"/>
                <w:b/>
                <w:bCs/>
                <w:sz w:val="12"/>
                <w:szCs w:val="12"/>
                <w:lang w:eastAsia="fr-FR"/>
              </w:rPr>
            </w:pPr>
          </w:p>
        </w:tc>
        <w:tc>
          <w:tcPr>
            <w:tcW w:w="3655" w:type="dxa"/>
            <w:tcBorders>
              <w:top w:val="nil"/>
              <w:left w:val="nil"/>
              <w:bottom w:val="single" w:sz="4" w:space="0" w:color="000000"/>
              <w:right w:val="single" w:sz="4" w:space="0" w:color="000000"/>
            </w:tcBorders>
            <w:shd w:val="clear" w:color="000000" w:fill="666699"/>
            <w:vAlign w:val="center"/>
            <w:hideMark/>
          </w:tcPr>
          <w:p w14:paraId="5255B7BA"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color w:val="FFFFFF"/>
                <w:sz w:val="12"/>
                <w:szCs w:val="12"/>
                <w:lang w:eastAsia="fr-FR"/>
              </w:rPr>
              <w:t>FACTEURS DE RISQUES</w:t>
            </w:r>
          </w:p>
        </w:tc>
        <w:tc>
          <w:tcPr>
            <w:tcW w:w="3635" w:type="dxa"/>
            <w:tcBorders>
              <w:top w:val="nil"/>
              <w:left w:val="nil"/>
              <w:bottom w:val="single" w:sz="4" w:space="0" w:color="000000"/>
              <w:right w:val="single" w:sz="4" w:space="0" w:color="000000"/>
            </w:tcBorders>
            <w:shd w:val="clear" w:color="000000" w:fill="666699"/>
            <w:vAlign w:val="center"/>
            <w:hideMark/>
          </w:tcPr>
          <w:p w14:paraId="3D763024"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color w:val="FFFFFF"/>
                <w:sz w:val="12"/>
                <w:szCs w:val="12"/>
                <w:lang w:eastAsia="fr-FR"/>
              </w:rPr>
              <w:t>MESURES</w:t>
            </w:r>
          </w:p>
        </w:tc>
        <w:tc>
          <w:tcPr>
            <w:tcW w:w="320" w:type="dxa"/>
            <w:vMerge/>
            <w:tcBorders>
              <w:top w:val="nil"/>
              <w:left w:val="single" w:sz="4" w:space="0" w:color="000000"/>
              <w:bottom w:val="single" w:sz="4" w:space="0" w:color="000000"/>
              <w:right w:val="single" w:sz="4" w:space="0" w:color="000000"/>
            </w:tcBorders>
            <w:vAlign w:val="center"/>
            <w:hideMark/>
          </w:tcPr>
          <w:p w14:paraId="7A21992F" w14:textId="77777777" w:rsidR="00A13130" w:rsidRPr="00D822DC" w:rsidRDefault="00A13130" w:rsidP="00C04D59">
            <w:pPr>
              <w:jc w:val="center"/>
              <w:rPr>
                <w:rFonts w:ascii="Arial" w:eastAsia="Times New Roman" w:hAnsi="Arial" w:cs="Arial"/>
                <w:b/>
                <w:bCs/>
                <w:sz w:val="12"/>
                <w:szCs w:val="12"/>
                <w:lang w:eastAsia="fr-FR"/>
              </w:rPr>
            </w:pPr>
          </w:p>
        </w:tc>
        <w:tc>
          <w:tcPr>
            <w:tcW w:w="2522" w:type="dxa"/>
            <w:vMerge/>
            <w:tcBorders>
              <w:top w:val="single" w:sz="4" w:space="0" w:color="000000"/>
              <w:left w:val="single" w:sz="4" w:space="0" w:color="000000"/>
              <w:bottom w:val="single" w:sz="4" w:space="0" w:color="000000"/>
              <w:right w:val="single" w:sz="4" w:space="0" w:color="000000"/>
            </w:tcBorders>
            <w:vAlign w:val="center"/>
            <w:hideMark/>
          </w:tcPr>
          <w:p w14:paraId="75FEA48B" w14:textId="77777777" w:rsidR="00A13130" w:rsidRPr="00D822DC" w:rsidRDefault="00A13130" w:rsidP="00C04D59">
            <w:pPr>
              <w:jc w:val="center"/>
              <w:rPr>
                <w:rFonts w:ascii="Arial" w:eastAsia="Times New Roman" w:hAnsi="Arial" w:cs="Arial"/>
                <w:b/>
                <w:bCs/>
                <w:sz w:val="12"/>
                <w:szCs w:val="12"/>
                <w:lang w:eastAsia="fr-FR"/>
              </w:rPr>
            </w:pPr>
          </w:p>
        </w:tc>
        <w:tc>
          <w:tcPr>
            <w:tcW w:w="320" w:type="dxa"/>
            <w:vMerge/>
            <w:tcBorders>
              <w:top w:val="nil"/>
              <w:left w:val="single" w:sz="4" w:space="0" w:color="000000"/>
              <w:bottom w:val="single" w:sz="4" w:space="0" w:color="000000"/>
              <w:right w:val="single" w:sz="4" w:space="0" w:color="000000"/>
            </w:tcBorders>
            <w:vAlign w:val="center"/>
            <w:hideMark/>
          </w:tcPr>
          <w:p w14:paraId="44FB6E18" w14:textId="77777777" w:rsidR="00A13130" w:rsidRPr="00D822DC" w:rsidRDefault="00A13130" w:rsidP="00C04D59">
            <w:pPr>
              <w:jc w:val="center"/>
              <w:rPr>
                <w:rFonts w:ascii="Arial" w:eastAsia="Times New Roman" w:hAnsi="Arial" w:cs="Arial"/>
                <w:b/>
                <w:bCs/>
                <w:sz w:val="12"/>
                <w:szCs w:val="12"/>
                <w:lang w:eastAsia="fr-FR"/>
              </w:rPr>
            </w:pPr>
          </w:p>
        </w:tc>
        <w:tc>
          <w:tcPr>
            <w:tcW w:w="950" w:type="dxa"/>
            <w:tcBorders>
              <w:top w:val="nil"/>
              <w:left w:val="nil"/>
              <w:bottom w:val="single" w:sz="4" w:space="0" w:color="000000"/>
              <w:right w:val="single" w:sz="4" w:space="0" w:color="000000"/>
            </w:tcBorders>
            <w:shd w:val="clear" w:color="000000" w:fill="F2F2F2"/>
            <w:vAlign w:val="center"/>
            <w:hideMark/>
          </w:tcPr>
          <w:p w14:paraId="7CBB6376" w14:textId="77777777" w:rsidR="00A13130" w:rsidRPr="00D822DC" w:rsidRDefault="00A13130" w:rsidP="00C04D59">
            <w:pPr>
              <w:jc w:val="center"/>
              <w:rPr>
                <w:rFonts w:ascii="Arial" w:eastAsia="Times New Roman" w:hAnsi="Arial" w:cs="Arial"/>
                <w:color w:val="000000"/>
                <w:sz w:val="12"/>
                <w:szCs w:val="12"/>
                <w:lang w:eastAsia="fr-FR"/>
              </w:rPr>
            </w:pPr>
            <w:r w:rsidRPr="00D822DC">
              <w:rPr>
                <w:rFonts w:ascii="Arial" w:eastAsia="Times New Roman" w:hAnsi="Arial" w:cs="Arial"/>
                <w:b/>
                <w:bCs/>
                <w:sz w:val="12"/>
                <w:szCs w:val="12"/>
                <w:lang w:eastAsia="fr-FR"/>
              </w:rPr>
              <w:t>Incidences coûts</w:t>
            </w:r>
            <w:r w:rsidRPr="00D822DC">
              <w:rPr>
                <w:rFonts w:ascii="Arial" w:eastAsia="Times New Roman" w:hAnsi="Arial" w:cs="Arial"/>
                <w:b/>
                <w:bCs/>
                <w:sz w:val="12"/>
                <w:szCs w:val="12"/>
                <w:lang w:eastAsia="fr-FR"/>
              </w:rPr>
              <w:br/>
            </w:r>
            <w:r w:rsidRPr="00D822DC">
              <w:rPr>
                <w:rFonts w:ascii="Arial" w:eastAsia="Times New Roman" w:hAnsi="Arial" w:cs="Arial"/>
                <w:sz w:val="12"/>
                <w:szCs w:val="12"/>
                <w:lang w:eastAsia="fr-FR"/>
              </w:rPr>
              <w:t>Investissement</w:t>
            </w:r>
            <w:r w:rsidRPr="00D822DC">
              <w:rPr>
                <w:rFonts w:ascii="Arial" w:eastAsia="Times New Roman" w:hAnsi="Arial" w:cs="Arial"/>
                <w:sz w:val="12"/>
                <w:szCs w:val="12"/>
                <w:lang w:eastAsia="fr-FR"/>
              </w:rPr>
              <w:br/>
              <w:t>ou Fonctionnement</w:t>
            </w:r>
          </w:p>
        </w:tc>
        <w:tc>
          <w:tcPr>
            <w:tcW w:w="1134" w:type="dxa"/>
            <w:gridSpan w:val="2"/>
            <w:tcBorders>
              <w:top w:val="nil"/>
              <w:left w:val="nil"/>
              <w:bottom w:val="single" w:sz="4" w:space="0" w:color="000000"/>
              <w:right w:val="single" w:sz="4" w:space="0" w:color="000000"/>
            </w:tcBorders>
            <w:shd w:val="clear" w:color="000000" w:fill="F2F2F2"/>
            <w:vAlign w:val="center"/>
            <w:hideMark/>
          </w:tcPr>
          <w:p w14:paraId="3BE3906A"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Incidence avantages</w:t>
            </w:r>
          </w:p>
        </w:tc>
      </w:tr>
      <w:tr w:rsidR="00A13130" w:rsidRPr="00D822DC" w14:paraId="6F1DAF6C" w14:textId="77777777" w:rsidTr="00C04D59">
        <w:trPr>
          <w:trHeight w:val="1036"/>
          <w:jc w:val="center"/>
        </w:trPr>
        <w:tc>
          <w:tcPr>
            <w:tcW w:w="521" w:type="dxa"/>
            <w:vMerge w:val="restart"/>
            <w:tcBorders>
              <w:top w:val="single" w:sz="4" w:space="0" w:color="000000"/>
              <w:left w:val="single" w:sz="4" w:space="0" w:color="000000"/>
              <w:bottom w:val="single" w:sz="4" w:space="0" w:color="000000"/>
              <w:right w:val="single" w:sz="4" w:space="0" w:color="000000"/>
            </w:tcBorders>
            <w:shd w:val="clear" w:color="000000" w:fill="A5A5A5"/>
            <w:textDirection w:val="btLr"/>
            <w:vAlign w:val="center"/>
            <w:hideMark/>
          </w:tcPr>
          <w:p w14:paraId="31237059"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CONTEXTE ECONOMIQUE, SOCIAL ET URBAIN</w:t>
            </w:r>
          </w:p>
        </w:tc>
        <w:tc>
          <w:tcPr>
            <w:tcW w:w="1113" w:type="dxa"/>
            <w:tcBorders>
              <w:top w:val="nil"/>
              <w:left w:val="nil"/>
              <w:bottom w:val="single" w:sz="4" w:space="0" w:color="000000"/>
              <w:right w:val="single" w:sz="4" w:space="0" w:color="000000"/>
            </w:tcBorders>
            <w:shd w:val="clear" w:color="000000" w:fill="F2F2F2"/>
            <w:vAlign w:val="center"/>
            <w:hideMark/>
          </w:tcPr>
          <w:p w14:paraId="3799D322"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Evolutions macro-économiques</w:t>
            </w:r>
          </w:p>
        </w:tc>
        <w:tc>
          <w:tcPr>
            <w:tcW w:w="3655" w:type="dxa"/>
            <w:tcBorders>
              <w:top w:val="nil"/>
              <w:left w:val="nil"/>
              <w:bottom w:val="single" w:sz="4" w:space="0" w:color="000000"/>
              <w:right w:val="single" w:sz="4" w:space="0" w:color="000000"/>
            </w:tcBorders>
            <w:shd w:val="clear" w:color="auto" w:fill="auto"/>
            <w:hideMark/>
          </w:tcPr>
          <w:p w14:paraId="2345A029"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Remise en cause des projections de croissance ayant servi de base à l’évaluation et à la conception du projet</w:t>
            </w:r>
          </w:p>
        </w:tc>
        <w:tc>
          <w:tcPr>
            <w:tcW w:w="3635" w:type="dxa"/>
            <w:tcBorders>
              <w:top w:val="nil"/>
              <w:left w:val="nil"/>
              <w:bottom w:val="single" w:sz="4" w:space="0" w:color="000000"/>
              <w:right w:val="single" w:sz="4" w:space="0" w:color="000000"/>
            </w:tcBorders>
            <w:shd w:val="clear" w:color="auto" w:fill="auto"/>
            <w:hideMark/>
          </w:tcPr>
          <w:p w14:paraId="411E1272"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Le traitement de ce risque relève de l'effort d'évaluation</w:t>
            </w:r>
          </w:p>
        </w:tc>
        <w:tc>
          <w:tcPr>
            <w:tcW w:w="320" w:type="dxa"/>
            <w:tcBorders>
              <w:top w:val="nil"/>
              <w:left w:val="nil"/>
              <w:bottom w:val="single" w:sz="4" w:space="0" w:color="000000"/>
              <w:right w:val="single" w:sz="4" w:space="0" w:color="000000"/>
            </w:tcBorders>
            <w:shd w:val="clear" w:color="000000" w:fill="EDEBE1"/>
            <w:textDirection w:val="btLr"/>
            <w:vAlign w:val="center"/>
            <w:hideMark/>
          </w:tcPr>
          <w:p w14:paraId="39B6792E"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EXPLOITATION</w:t>
            </w:r>
          </w:p>
        </w:tc>
        <w:tc>
          <w:tcPr>
            <w:tcW w:w="2522" w:type="dxa"/>
            <w:tcBorders>
              <w:top w:val="single" w:sz="4" w:space="0" w:color="000000"/>
              <w:left w:val="nil"/>
              <w:bottom w:val="single" w:sz="4" w:space="0" w:color="000000"/>
              <w:right w:val="single" w:sz="4" w:space="0" w:color="000000"/>
            </w:tcBorders>
            <w:shd w:val="clear" w:color="000000" w:fill="EDEBE1"/>
            <w:hideMark/>
          </w:tcPr>
          <w:p w14:paraId="2853A46B"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Appréciation de l'intérêt du projet avec deux cadres de référence dit  "tendanciel " et "dégradé"   et  avec  un  raisonnement  en  fourchette  sur  les  hypothèses  de  croissance socio-démographique  :  test  de  sensibilité  (scénarios  haut,  central,  bas)  soumis  à l'analyse et à la validation d'un conseil scientifique d'experts indépendants</w:t>
            </w:r>
            <w:r w:rsidRPr="00D822DC">
              <w:rPr>
                <w:rFonts w:ascii="Arial" w:eastAsia="Times New Roman" w:hAnsi="Arial" w:cs="Arial"/>
                <w:sz w:val="12"/>
                <w:szCs w:val="12"/>
                <w:lang w:eastAsia="fr-FR"/>
              </w:rPr>
              <w:br/>
              <w:t>-  Mise  en œuvre  de  l'instruction du 16  juin 2014  relative à  l'évaluation des  projets de transport et de ses recommandations en matière d'analyse des risques systémiques</w:t>
            </w:r>
          </w:p>
        </w:tc>
        <w:tc>
          <w:tcPr>
            <w:tcW w:w="320" w:type="dxa"/>
            <w:tcBorders>
              <w:top w:val="nil"/>
              <w:left w:val="nil"/>
              <w:bottom w:val="single" w:sz="4" w:space="0" w:color="000000"/>
              <w:right w:val="single" w:sz="4" w:space="0" w:color="000000"/>
            </w:tcBorders>
            <w:shd w:val="clear" w:color="000000" w:fill="FFBF00"/>
            <w:hideMark/>
          </w:tcPr>
          <w:p w14:paraId="2BD75405"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hideMark/>
          </w:tcPr>
          <w:p w14:paraId="7EBF11AA"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03159C66"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Baisse des avantages associés à la fréquentation (gains de temps, externalités…) et des bénéfices économiques élargis</w:t>
            </w:r>
          </w:p>
        </w:tc>
      </w:tr>
      <w:tr w:rsidR="00A13130" w:rsidRPr="00D822DC" w14:paraId="127406D3" w14:textId="77777777" w:rsidTr="00C04D59">
        <w:trPr>
          <w:trHeight w:val="902"/>
          <w:jc w:val="center"/>
        </w:trPr>
        <w:tc>
          <w:tcPr>
            <w:tcW w:w="521" w:type="dxa"/>
            <w:vMerge/>
            <w:tcBorders>
              <w:top w:val="single" w:sz="4" w:space="0" w:color="000000"/>
              <w:left w:val="single" w:sz="4" w:space="0" w:color="000000"/>
              <w:bottom w:val="single" w:sz="4" w:space="0" w:color="000000"/>
              <w:right w:val="single" w:sz="4" w:space="0" w:color="000000"/>
            </w:tcBorders>
            <w:vAlign w:val="center"/>
            <w:hideMark/>
          </w:tcPr>
          <w:p w14:paraId="60DFAF2E" w14:textId="77777777" w:rsidR="00A13130" w:rsidRPr="00D822DC" w:rsidRDefault="00A13130" w:rsidP="00C04D59">
            <w:pPr>
              <w:jc w:val="center"/>
              <w:rPr>
                <w:rFonts w:ascii="Arial" w:eastAsia="Times New Roman" w:hAnsi="Arial" w:cs="Arial"/>
                <w:b/>
                <w:bCs/>
                <w:sz w:val="12"/>
                <w:szCs w:val="12"/>
                <w:lang w:eastAsia="fr-FR"/>
              </w:rPr>
            </w:pPr>
          </w:p>
        </w:tc>
        <w:tc>
          <w:tcPr>
            <w:tcW w:w="1113" w:type="dxa"/>
            <w:tcBorders>
              <w:top w:val="nil"/>
              <w:left w:val="nil"/>
              <w:bottom w:val="single" w:sz="4" w:space="0" w:color="000000"/>
              <w:right w:val="single" w:sz="4" w:space="0" w:color="000000"/>
            </w:tcBorders>
            <w:shd w:val="clear" w:color="000000" w:fill="F2F2F2"/>
            <w:vAlign w:val="center"/>
            <w:hideMark/>
          </w:tcPr>
          <w:p w14:paraId="00506CAE" w14:textId="77777777" w:rsidR="00A13130" w:rsidRPr="00D822DC" w:rsidRDefault="00A13130" w:rsidP="00C04D59">
            <w:pPr>
              <w:ind w:firstLineChars="100" w:firstLine="120"/>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Evolutions sociétales</w:t>
            </w:r>
          </w:p>
        </w:tc>
        <w:tc>
          <w:tcPr>
            <w:tcW w:w="3655" w:type="dxa"/>
            <w:tcBorders>
              <w:top w:val="nil"/>
              <w:left w:val="nil"/>
              <w:bottom w:val="single" w:sz="4" w:space="0" w:color="000000"/>
              <w:right w:val="single" w:sz="4" w:space="0" w:color="000000"/>
            </w:tcBorders>
            <w:shd w:val="clear" w:color="auto" w:fill="auto"/>
            <w:hideMark/>
          </w:tcPr>
          <w:p w14:paraId="2865F115"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Modifications des pratiques de mobilité et de déplacements avec impact sur l’attractivité du   projet  : alternatives à la mobilité en transport en commun (covoiturage, autopartage...), travail à distance (télécentres, espaces de coworking...)</w:t>
            </w:r>
          </w:p>
        </w:tc>
        <w:tc>
          <w:tcPr>
            <w:tcW w:w="3635" w:type="dxa"/>
            <w:tcBorders>
              <w:top w:val="nil"/>
              <w:left w:val="nil"/>
              <w:bottom w:val="single" w:sz="4" w:space="0" w:color="000000"/>
              <w:right w:val="single" w:sz="4" w:space="0" w:color="000000"/>
            </w:tcBorders>
            <w:shd w:val="clear" w:color="auto" w:fill="auto"/>
            <w:hideMark/>
          </w:tcPr>
          <w:p w14:paraId="69DE6A00"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Engagement de travaux prospectifs visant à préciser l'impact sur le projet de modifications dans les pratiques de mobilité, ainsi que les mesures d'accompagnement</w:t>
            </w:r>
          </w:p>
        </w:tc>
        <w:tc>
          <w:tcPr>
            <w:tcW w:w="320" w:type="dxa"/>
            <w:tcBorders>
              <w:top w:val="nil"/>
              <w:left w:val="nil"/>
              <w:bottom w:val="single" w:sz="4" w:space="0" w:color="000000"/>
              <w:right w:val="single" w:sz="4" w:space="0" w:color="000000"/>
            </w:tcBorders>
            <w:shd w:val="clear" w:color="000000" w:fill="EDEBE1"/>
            <w:textDirection w:val="btLr"/>
            <w:vAlign w:val="center"/>
            <w:hideMark/>
          </w:tcPr>
          <w:p w14:paraId="14957325"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EXPLOITATION</w:t>
            </w:r>
          </w:p>
        </w:tc>
        <w:tc>
          <w:tcPr>
            <w:tcW w:w="2522" w:type="dxa"/>
            <w:tcBorders>
              <w:top w:val="single" w:sz="4" w:space="0" w:color="000000"/>
              <w:left w:val="nil"/>
              <w:bottom w:val="single" w:sz="4" w:space="0" w:color="000000"/>
              <w:right w:val="single" w:sz="4" w:space="0" w:color="000000"/>
            </w:tcBorders>
            <w:shd w:val="clear" w:color="000000" w:fill="EDEBE1"/>
            <w:vAlign w:val="center"/>
            <w:hideMark/>
          </w:tcPr>
          <w:p w14:paraId="446F108F"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Oui à travers les différents scénarios de demande étudiés</w:t>
            </w:r>
          </w:p>
        </w:tc>
        <w:tc>
          <w:tcPr>
            <w:tcW w:w="320" w:type="dxa"/>
            <w:tcBorders>
              <w:top w:val="nil"/>
              <w:left w:val="nil"/>
              <w:bottom w:val="single" w:sz="4" w:space="0" w:color="000000"/>
              <w:right w:val="single" w:sz="4" w:space="0" w:color="000000"/>
            </w:tcBorders>
            <w:shd w:val="clear" w:color="000000" w:fill="FFFFCC"/>
            <w:hideMark/>
          </w:tcPr>
          <w:p w14:paraId="73DB07AD"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hideMark/>
          </w:tcPr>
          <w:p w14:paraId="34C26DDC"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21FD6E0F"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Baisse des avantages associés à la fréquentation (gains de temps, externalités…)</w:t>
            </w:r>
          </w:p>
        </w:tc>
      </w:tr>
      <w:tr w:rsidR="00A13130" w:rsidRPr="00D822DC" w14:paraId="5C73E1AD" w14:textId="77777777" w:rsidTr="00C04D59">
        <w:trPr>
          <w:trHeight w:val="956"/>
          <w:jc w:val="center"/>
        </w:trPr>
        <w:tc>
          <w:tcPr>
            <w:tcW w:w="521" w:type="dxa"/>
            <w:vMerge/>
            <w:tcBorders>
              <w:top w:val="single" w:sz="4" w:space="0" w:color="000000"/>
              <w:left w:val="single" w:sz="4" w:space="0" w:color="000000"/>
              <w:bottom w:val="single" w:sz="4" w:space="0" w:color="000000"/>
              <w:right w:val="single" w:sz="4" w:space="0" w:color="000000"/>
            </w:tcBorders>
            <w:vAlign w:val="center"/>
            <w:hideMark/>
          </w:tcPr>
          <w:p w14:paraId="08368A2C" w14:textId="77777777" w:rsidR="00A13130" w:rsidRPr="00D822DC" w:rsidRDefault="00A13130" w:rsidP="00C04D59">
            <w:pPr>
              <w:jc w:val="center"/>
              <w:rPr>
                <w:rFonts w:ascii="Arial" w:eastAsia="Times New Roman" w:hAnsi="Arial" w:cs="Arial"/>
                <w:b/>
                <w:bCs/>
                <w:sz w:val="12"/>
                <w:szCs w:val="12"/>
                <w:lang w:eastAsia="fr-FR"/>
              </w:rPr>
            </w:pPr>
          </w:p>
        </w:tc>
        <w:tc>
          <w:tcPr>
            <w:tcW w:w="1113" w:type="dxa"/>
            <w:tcBorders>
              <w:top w:val="nil"/>
              <w:left w:val="nil"/>
              <w:bottom w:val="single" w:sz="4" w:space="0" w:color="000000"/>
              <w:right w:val="single" w:sz="4" w:space="0" w:color="000000"/>
            </w:tcBorders>
            <w:shd w:val="clear" w:color="000000" w:fill="F2F2F2"/>
            <w:vAlign w:val="center"/>
            <w:hideMark/>
          </w:tcPr>
          <w:p w14:paraId="2F5F7255" w14:textId="77777777" w:rsidR="00A13130" w:rsidRPr="00D822DC" w:rsidRDefault="00A13130" w:rsidP="00C04D59">
            <w:pPr>
              <w:jc w:val="center"/>
              <w:rPr>
                <w:rFonts w:ascii="Arial" w:eastAsia="Times New Roman" w:hAnsi="Arial" w:cs="Arial"/>
                <w:sz w:val="12"/>
                <w:szCs w:val="12"/>
                <w:lang w:eastAsia="fr-FR"/>
              </w:rPr>
            </w:pPr>
            <w:r w:rsidRPr="00D822DC">
              <w:rPr>
                <w:rFonts w:ascii="Arial" w:eastAsia="Times New Roman" w:hAnsi="Arial" w:cs="Arial"/>
                <w:b/>
                <w:bCs/>
                <w:sz w:val="12"/>
                <w:szCs w:val="12"/>
                <w:lang w:eastAsia="fr-FR"/>
              </w:rPr>
              <w:t>Politiques d'accompagnement</w:t>
            </w:r>
            <w:r w:rsidRPr="00D822DC">
              <w:rPr>
                <w:rFonts w:ascii="Arial" w:eastAsia="Times New Roman" w:hAnsi="Arial" w:cs="Arial"/>
                <w:b/>
                <w:bCs/>
                <w:sz w:val="12"/>
                <w:szCs w:val="12"/>
                <w:lang w:eastAsia="fr-FR"/>
              </w:rPr>
              <w:br/>
              <w:t>au développement des</w:t>
            </w:r>
            <w:r w:rsidRPr="00D822DC">
              <w:rPr>
                <w:rFonts w:ascii="Arial" w:eastAsia="Times New Roman" w:hAnsi="Arial" w:cs="Arial"/>
                <w:b/>
                <w:bCs/>
                <w:sz w:val="12"/>
                <w:szCs w:val="12"/>
                <w:lang w:eastAsia="fr-FR"/>
              </w:rPr>
              <w:br/>
              <w:t>territoires</w:t>
            </w:r>
          </w:p>
        </w:tc>
        <w:tc>
          <w:tcPr>
            <w:tcW w:w="3655" w:type="dxa"/>
            <w:tcBorders>
              <w:top w:val="nil"/>
              <w:left w:val="nil"/>
              <w:bottom w:val="single" w:sz="4" w:space="0" w:color="000000"/>
              <w:right w:val="single" w:sz="4" w:space="0" w:color="000000"/>
            </w:tcBorders>
            <w:shd w:val="clear" w:color="auto" w:fill="auto"/>
            <w:hideMark/>
          </w:tcPr>
          <w:p w14:paraId="7BB1F121"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Décalage entre la mise en œuvre des politiques publiques (en termes d'aménagement urbain / densification, d'offre de logements) et la mise en service du projet</w:t>
            </w:r>
          </w:p>
        </w:tc>
        <w:tc>
          <w:tcPr>
            <w:tcW w:w="3635" w:type="dxa"/>
            <w:tcBorders>
              <w:top w:val="nil"/>
              <w:left w:val="nil"/>
              <w:bottom w:val="single" w:sz="4" w:space="0" w:color="000000"/>
              <w:right w:val="single" w:sz="4" w:space="0" w:color="000000"/>
            </w:tcBorders>
            <w:shd w:val="clear" w:color="auto" w:fill="auto"/>
            <w:hideMark/>
          </w:tcPr>
          <w:p w14:paraId="747C7F6A"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Le traitement de ce risque relève de l'effort d'évaluation</w:t>
            </w:r>
          </w:p>
        </w:tc>
        <w:tc>
          <w:tcPr>
            <w:tcW w:w="320" w:type="dxa"/>
            <w:tcBorders>
              <w:top w:val="nil"/>
              <w:left w:val="nil"/>
              <w:bottom w:val="single" w:sz="4" w:space="0" w:color="000000"/>
              <w:right w:val="single" w:sz="4" w:space="0" w:color="000000"/>
            </w:tcBorders>
            <w:shd w:val="clear" w:color="000000" w:fill="EDEBE1"/>
            <w:textDirection w:val="btLr"/>
            <w:vAlign w:val="center"/>
            <w:hideMark/>
          </w:tcPr>
          <w:p w14:paraId="6730EC3C"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EXPLOITATION</w:t>
            </w:r>
          </w:p>
        </w:tc>
        <w:tc>
          <w:tcPr>
            <w:tcW w:w="2522" w:type="dxa"/>
            <w:tcBorders>
              <w:top w:val="single" w:sz="4" w:space="0" w:color="000000"/>
              <w:left w:val="nil"/>
              <w:bottom w:val="single" w:sz="4" w:space="0" w:color="000000"/>
              <w:right w:val="single" w:sz="4" w:space="0" w:color="000000"/>
            </w:tcBorders>
            <w:shd w:val="clear" w:color="000000" w:fill="EDEBE1"/>
            <w:hideMark/>
          </w:tcPr>
          <w:p w14:paraId="5AE394D5"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Appréciation de l'intérêt du projet avec un raisonnement en fourchette sur les hypothèses de croissance socio-démographique : test de sensibilité (scénarios haut, central, bas) soumis à l'analyse et à la validation d'un conseil scientifique d'experts indépendants</w:t>
            </w:r>
          </w:p>
        </w:tc>
        <w:tc>
          <w:tcPr>
            <w:tcW w:w="320" w:type="dxa"/>
            <w:tcBorders>
              <w:top w:val="nil"/>
              <w:left w:val="nil"/>
              <w:bottom w:val="single" w:sz="4" w:space="0" w:color="000000"/>
              <w:right w:val="single" w:sz="4" w:space="0" w:color="000000"/>
            </w:tcBorders>
            <w:shd w:val="clear" w:color="000000" w:fill="FFBF00"/>
            <w:hideMark/>
          </w:tcPr>
          <w:p w14:paraId="67D1A3D1"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hideMark/>
          </w:tcPr>
          <w:p w14:paraId="70866D1A"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70147906"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Baisse des avantages associés à la fréquentation (gains de temps, externalités…) et des bénéfices économiques élargis</w:t>
            </w:r>
          </w:p>
        </w:tc>
      </w:tr>
      <w:tr w:rsidR="00A13130" w:rsidRPr="00D822DC" w14:paraId="124B4D07" w14:textId="77777777" w:rsidTr="00C04D59">
        <w:trPr>
          <w:trHeight w:val="956"/>
          <w:jc w:val="center"/>
        </w:trPr>
        <w:tc>
          <w:tcPr>
            <w:tcW w:w="521" w:type="dxa"/>
            <w:vMerge/>
            <w:tcBorders>
              <w:top w:val="single" w:sz="4" w:space="0" w:color="000000"/>
              <w:left w:val="single" w:sz="4" w:space="0" w:color="000000"/>
              <w:bottom w:val="single" w:sz="4" w:space="0" w:color="000000"/>
              <w:right w:val="single" w:sz="4" w:space="0" w:color="000000"/>
            </w:tcBorders>
            <w:vAlign w:val="center"/>
            <w:hideMark/>
          </w:tcPr>
          <w:p w14:paraId="64A5857C" w14:textId="77777777" w:rsidR="00A13130" w:rsidRPr="00D822DC" w:rsidRDefault="00A13130" w:rsidP="00C04D59">
            <w:pPr>
              <w:jc w:val="center"/>
              <w:rPr>
                <w:rFonts w:ascii="Arial" w:eastAsia="Times New Roman" w:hAnsi="Arial" w:cs="Arial"/>
                <w:b/>
                <w:bCs/>
                <w:sz w:val="12"/>
                <w:szCs w:val="12"/>
                <w:lang w:eastAsia="fr-FR"/>
              </w:rPr>
            </w:pPr>
          </w:p>
        </w:tc>
        <w:tc>
          <w:tcPr>
            <w:tcW w:w="1113" w:type="dxa"/>
            <w:tcBorders>
              <w:top w:val="nil"/>
              <w:left w:val="nil"/>
              <w:bottom w:val="single" w:sz="4" w:space="0" w:color="000000"/>
              <w:right w:val="single" w:sz="4" w:space="0" w:color="000000"/>
            </w:tcBorders>
            <w:shd w:val="clear" w:color="000000" w:fill="F2F2F2"/>
            <w:vAlign w:val="center"/>
            <w:hideMark/>
          </w:tcPr>
          <w:p w14:paraId="3CFEC582" w14:textId="77777777" w:rsidR="00A13130" w:rsidRPr="00D822DC" w:rsidRDefault="00A13130" w:rsidP="00C04D59">
            <w:pPr>
              <w:ind w:firstLineChars="100" w:firstLine="120"/>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Autres risques exogènes</w:t>
            </w:r>
          </w:p>
        </w:tc>
        <w:tc>
          <w:tcPr>
            <w:tcW w:w="3655" w:type="dxa"/>
            <w:tcBorders>
              <w:top w:val="nil"/>
              <w:left w:val="nil"/>
              <w:bottom w:val="single" w:sz="4" w:space="0" w:color="000000"/>
              <w:right w:val="single" w:sz="4" w:space="0" w:color="000000"/>
            </w:tcBorders>
            <w:shd w:val="clear" w:color="auto" w:fill="auto"/>
            <w:hideMark/>
          </w:tcPr>
          <w:p w14:paraId="14EBCF71"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Avancée technologique et obsolescence prématurée des choix technologiques fait pour le projet (en particulier sur son volet numérique)</w:t>
            </w:r>
            <w:r w:rsidRPr="00D822DC">
              <w:rPr>
                <w:rFonts w:ascii="Arial" w:eastAsia="Times New Roman" w:hAnsi="Arial" w:cs="Arial"/>
                <w:sz w:val="12"/>
                <w:szCs w:val="12"/>
                <w:lang w:eastAsia="fr-FR"/>
              </w:rPr>
              <w:br/>
              <w:t>- Crise géopolitique majeure (conflit, crise énergétique…)</w:t>
            </w:r>
          </w:p>
        </w:tc>
        <w:tc>
          <w:tcPr>
            <w:tcW w:w="3635" w:type="dxa"/>
            <w:tcBorders>
              <w:top w:val="nil"/>
              <w:left w:val="nil"/>
              <w:bottom w:val="single" w:sz="4" w:space="0" w:color="000000"/>
              <w:right w:val="single" w:sz="4" w:space="0" w:color="000000"/>
            </w:tcBorders>
            <w:shd w:val="clear" w:color="auto" w:fill="auto"/>
            <w:hideMark/>
          </w:tcPr>
          <w:p w14:paraId="3581D2E8"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La réduction de ces risques dépasse le champ d'action du maître d'ouvrage</w:t>
            </w:r>
          </w:p>
        </w:tc>
        <w:tc>
          <w:tcPr>
            <w:tcW w:w="320" w:type="dxa"/>
            <w:tcBorders>
              <w:top w:val="nil"/>
              <w:left w:val="nil"/>
              <w:bottom w:val="single" w:sz="4" w:space="0" w:color="000000"/>
              <w:right w:val="single" w:sz="4" w:space="0" w:color="000000"/>
            </w:tcBorders>
            <w:shd w:val="clear" w:color="000000" w:fill="EDEBE1"/>
            <w:textDirection w:val="btLr"/>
            <w:vAlign w:val="center"/>
            <w:hideMark/>
          </w:tcPr>
          <w:p w14:paraId="5084D23E"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EXPLOITATION</w:t>
            </w:r>
          </w:p>
        </w:tc>
        <w:tc>
          <w:tcPr>
            <w:tcW w:w="2522" w:type="dxa"/>
            <w:tcBorders>
              <w:top w:val="single" w:sz="4" w:space="0" w:color="000000"/>
              <w:left w:val="nil"/>
              <w:bottom w:val="single" w:sz="4" w:space="0" w:color="000000"/>
              <w:right w:val="single" w:sz="4" w:space="0" w:color="000000"/>
            </w:tcBorders>
            <w:shd w:val="clear" w:color="000000" w:fill="EDEBE1"/>
            <w:hideMark/>
          </w:tcPr>
          <w:p w14:paraId="128264B3"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Non (incertitude radicale)</w:t>
            </w:r>
          </w:p>
        </w:tc>
        <w:tc>
          <w:tcPr>
            <w:tcW w:w="320" w:type="dxa"/>
            <w:tcBorders>
              <w:top w:val="nil"/>
              <w:left w:val="nil"/>
              <w:bottom w:val="single" w:sz="4" w:space="0" w:color="000000"/>
              <w:right w:val="single" w:sz="4" w:space="0" w:color="000000"/>
            </w:tcBorders>
            <w:shd w:val="clear" w:color="000000" w:fill="FFBF00"/>
            <w:hideMark/>
          </w:tcPr>
          <w:p w14:paraId="2F5DE824"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hideMark/>
          </w:tcPr>
          <w:p w14:paraId="409F8100"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4224A143"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Baisse des avantages associés à la fréquentation (gains de temps, externalités…)</w:t>
            </w:r>
          </w:p>
        </w:tc>
      </w:tr>
      <w:tr w:rsidR="00A13130" w:rsidRPr="00D822DC" w14:paraId="55C9216B" w14:textId="77777777" w:rsidTr="00C04D59">
        <w:trPr>
          <w:trHeight w:val="1331"/>
          <w:jc w:val="center"/>
        </w:trPr>
        <w:tc>
          <w:tcPr>
            <w:tcW w:w="521" w:type="dxa"/>
            <w:tcBorders>
              <w:top w:val="single" w:sz="4" w:space="0" w:color="000000"/>
              <w:left w:val="single" w:sz="4" w:space="0" w:color="000000"/>
              <w:bottom w:val="single" w:sz="4" w:space="0" w:color="000000"/>
              <w:right w:val="single" w:sz="4" w:space="0" w:color="000000"/>
            </w:tcBorders>
            <w:shd w:val="clear" w:color="000000" w:fill="A5A5A5"/>
            <w:textDirection w:val="btLr"/>
            <w:vAlign w:val="center"/>
            <w:hideMark/>
          </w:tcPr>
          <w:p w14:paraId="6DD6B62B"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FINANCEMENT</w:t>
            </w:r>
          </w:p>
        </w:tc>
        <w:tc>
          <w:tcPr>
            <w:tcW w:w="1113" w:type="dxa"/>
            <w:tcBorders>
              <w:top w:val="nil"/>
              <w:left w:val="nil"/>
              <w:bottom w:val="single" w:sz="4" w:space="0" w:color="000000"/>
              <w:right w:val="single" w:sz="4" w:space="0" w:color="000000"/>
            </w:tcBorders>
            <w:shd w:val="clear" w:color="000000" w:fill="F2F2F2"/>
            <w:vAlign w:val="center"/>
            <w:hideMark/>
          </w:tcPr>
          <w:p w14:paraId="61178B67" w14:textId="77777777" w:rsidR="00A13130" w:rsidRPr="00D822DC" w:rsidRDefault="00A13130" w:rsidP="00C04D59">
            <w:pPr>
              <w:ind w:firstLineChars="100" w:firstLine="120"/>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Plan de financement</w:t>
            </w:r>
          </w:p>
        </w:tc>
        <w:tc>
          <w:tcPr>
            <w:tcW w:w="3655" w:type="dxa"/>
            <w:tcBorders>
              <w:top w:val="nil"/>
              <w:left w:val="nil"/>
              <w:bottom w:val="single" w:sz="4" w:space="0" w:color="000000"/>
              <w:right w:val="single" w:sz="4" w:space="0" w:color="000000"/>
            </w:tcBorders>
            <w:shd w:val="clear" w:color="auto" w:fill="auto"/>
            <w:hideMark/>
          </w:tcPr>
          <w:p w14:paraId="5F4BCAF4"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Risque d’indisponibilité du financement nécessaire pour faire face aux dépenses du projet</w:t>
            </w:r>
          </w:p>
        </w:tc>
        <w:tc>
          <w:tcPr>
            <w:tcW w:w="3635" w:type="dxa"/>
            <w:tcBorders>
              <w:top w:val="nil"/>
              <w:left w:val="nil"/>
              <w:bottom w:val="single" w:sz="4" w:space="0" w:color="000000"/>
              <w:right w:val="single" w:sz="4" w:space="0" w:color="000000"/>
            </w:tcBorders>
            <w:shd w:val="clear" w:color="auto" w:fill="auto"/>
            <w:hideMark/>
          </w:tcPr>
          <w:p w14:paraId="79B5D8FD"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Mise en place des cadres permettant d’emprunter de manière fluide les montants nécessaires aux dépenses de la Société du Grand Paris, en s’assurant d’une diversification des sources de financement :</w:t>
            </w:r>
            <w:r w:rsidRPr="00D822DC">
              <w:rPr>
                <w:rFonts w:ascii="Arial" w:eastAsia="Times New Roman" w:hAnsi="Arial" w:cs="Arial"/>
                <w:sz w:val="12"/>
                <w:szCs w:val="12"/>
                <w:lang w:eastAsia="fr-FR"/>
              </w:rPr>
              <w:br/>
              <w:t>&gt; à court terme : programme d’émission de billets de trésorerie et, le cas échéant, lignes bancaires ;</w:t>
            </w:r>
            <w:r w:rsidRPr="00D822DC">
              <w:rPr>
                <w:rFonts w:ascii="Arial" w:eastAsia="Times New Roman" w:hAnsi="Arial" w:cs="Arial"/>
                <w:sz w:val="12"/>
                <w:szCs w:val="12"/>
                <w:lang w:eastAsia="fr-FR"/>
              </w:rPr>
              <w:br/>
              <w:t>&gt; à long  terme :  programme d’émission  obligataire,  emprunt  auprès  des bailleurs  publics,  en  particulier la Banque  européenne  d’investissement,  capable  de  prêter  à  long  terme  des  montants  importants  à  des  taux avantageux.</w:t>
            </w:r>
            <w:r w:rsidRPr="00D822DC">
              <w:rPr>
                <w:rFonts w:ascii="Arial" w:eastAsia="Times New Roman" w:hAnsi="Arial" w:cs="Arial"/>
                <w:sz w:val="12"/>
                <w:szCs w:val="12"/>
                <w:lang w:eastAsia="fr-FR"/>
              </w:rPr>
              <w:br/>
              <w:t>- Révision du calendrier par la contrainte financière</w:t>
            </w:r>
          </w:p>
        </w:tc>
        <w:tc>
          <w:tcPr>
            <w:tcW w:w="320" w:type="dxa"/>
            <w:tcBorders>
              <w:top w:val="nil"/>
              <w:left w:val="nil"/>
              <w:bottom w:val="single" w:sz="4" w:space="0" w:color="000000"/>
              <w:right w:val="single" w:sz="4" w:space="0" w:color="000000"/>
            </w:tcBorders>
            <w:shd w:val="clear" w:color="000000" w:fill="EDEBE1"/>
            <w:textDirection w:val="btLr"/>
            <w:vAlign w:val="center"/>
            <w:hideMark/>
          </w:tcPr>
          <w:p w14:paraId="505266C2"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CONCEPTION REALISATION</w:t>
            </w:r>
          </w:p>
        </w:tc>
        <w:tc>
          <w:tcPr>
            <w:tcW w:w="2522" w:type="dxa"/>
            <w:tcBorders>
              <w:top w:val="single" w:sz="4" w:space="0" w:color="000000"/>
              <w:left w:val="nil"/>
              <w:bottom w:val="single" w:sz="4" w:space="0" w:color="000000"/>
              <w:right w:val="single" w:sz="4" w:space="0" w:color="000000"/>
            </w:tcBorders>
            <w:shd w:val="clear" w:color="000000" w:fill="EDEBE1"/>
            <w:vAlign w:val="center"/>
            <w:hideMark/>
          </w:tcPr>
          <w:p w14:paraId="043CFC45"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Oui par les tests de décalage dans le temps de la mise en service</w:t>
            </w:r>
          </w:p>
        </w:tc>
        <w:tc>
          <w:tcPr>
            <w:tcW w:w="320" w:type="dxa"/>
            <w:tcBorders>
              <w:top w:val="nil"/>
              <w:left w:val="nil"/>
              <w:bottom w:val="single" w:sz="4" w:space="0" w:color="000000"/>
              <w:right w:val="single" w:sz="4" w:space="0" w:color="000000"/>
            </w:tcBorders>
            <w:shd w:val="clear" w:color="000000" w:fill="E26B0A"/>
            <w:hideMark/>
          </w:tcPr>
          <w:p w14:paraId="32A683BC"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textDirection w:val="btLr"/>
            <w:hideMark/>
          </w:tcPr>
          <w:p w14:paraId="3918A4A1"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Décalage de la chronique des coûts</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01708C75"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Baisse des avantages associés à la fréquentation (gains de temps, externalités…)</w:t>
            </w:r>
          </w:p>
        </w:tc>
      </w:tr>
      <w:tr w:rsidR="00A13130" w:rsidRPr="00D822DC" w14:paraId="60FAF184" w14:textId="77777777" w:rsidTr="00C04D59">
        <w:trPr>
          <w:trHeight w:val="853"/>
          <w:jc w:val="center"/>
        </w:trPr>
        <w:tc>
          <w:tcPr>
            <w:tcW w:w="521" w:type="dxa"/>
            <w:vMerge w:val="restart"/>
            <w:tcBorders>
              <w:top w:val="single" w:sz="4" w:space="0" w:color="000000"/>
              <w:left w:val="single" w:sz="4" w:space="0" w:color="000000"/>
              <w:bottom w:val="single" w:sz="4" w:space="0" w:color="000000"/>
              <w:right w:val="single" w:sz="4" w:space="0" w:color="000000"/>
            </w:tcBorders>
            <w:shd w:val="clear" w:color="000000" w:fill="A5A5A5"/>
            <w:textDirection w:val="btLr"/>
            <w:vAlign w:val="center"/>
            <w:hideMark/>
          </w:tcPr>
          <w:p w14:paraId="2013F990"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ORGANISATION ET CONDUITE DU PROJET</w:t>
            </w:r>
          </w:p>
        </w:tc>
        <w:tc>
          <w:tcPr>
            <w:tcW w:w="1113" w:type="dxa"/>
            <w:tcBorders>
              <w:top w:val="nil"/>
              <w:left w:val="nil"/>
              <w:bottom w:val="single" w:sz="4" w:space="0" w:color="000000"/>
              <w:right w:val="single" w:sz="4" w:space="0" w:color="000000"/>
            </w:tcBorders>
            <w:shd w:val="clear" w:color="000000" w:fill="F2F2F2"/>
            <w:vAlign w:val="center"/>
            <w:hideMark/>
          </w:tcPr>
          <w:p w14:paraId="3959D9A3"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Programme</w:t>
            </w:r>
          </w:p>
        </w:tc>
        <w:tc>
          <w:tcPr>
            <w:tcW w:w="3655" w:type="dxa"/>
            <w:tcBorders>
              <w:top w:val="nil"/>
              <w:left w:val="nil"/>
              <w:bottom w:val="single" w:sz="4" w:space="0" w:color="000000"/>
              <w:right w:val="single" w:sz="4" w:space="0" w:color="000000"/>
            </w:tcBorders>
            <w:shd w:val="clear" w:color="auto" w:fill="auto"/>
            <w:hideMark/>
          </w:tcPr>
          <w:p w14:paraId="46FF1144"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Mauvaise stabilisation du programme Grand Paris Express ou absence de décision face à un besoin d'arbitrage (défaillance dans la gouvernance du projet)</w:t>
            </w:r>
            <w:r w:rsidRPr="00D822DC">
              <w:rPr>
                <w:rFonts w:ascii="Arial" w:eastAsia="Times New Roman" w:hAnsi="Arial" w:cs="Arial"/>
                <w:sz w:val="12"/>
                <w:szCs w:val="12"/>
                <w:lang w:eastAsia="fr-FR"/>
              </w:rPr>
              <w:br/>
              <w:t>- Mauvaise articulation avec projets en interfaces (dont autres projets de transport en commun)</w:t>
            </w:r>
          </w:p>
        </w:tc>
        <w:tc>
          <w:tcPr>
            <w:tcW w:w="3635" w:type="dxa"/>
            <w:tcBorders>
              <w:top w:val="nil"/>
              <w:left w:val="nil"/>
              <w:bottom w:val="single" w:sz="4" w:space="0" w:color="000000"/>
              <w:right w:val="single" w:sz="4" w:space="0" w:color="000000"/>
            </w:tcBorders>
            <w:shd w:val="clear" w:color="auto" w:fill="auto"/>
            <w:hideMark/>
          </w:tcPr>
          <w:p w14:paraId="42462962"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Mise en place d'instances de concertation (comités techniques et comités de pilotage) visant à garantir et à sécuriser les étapes jalons dans la conception globale du "Nouveau Grand Paris des transports"</w:t>
            </w:r>
            <w:r w:rsidRPr="00D822DC">
              <w:rPr>
                <w:rFonts w:ascii="Arial" w:eastAsia="Times New Roman" w:hAnsi="Arial" w:cs="Arial"/>
                <w:sz w:val="12"/>
                <w:szCs w:val="12"/>
                <w:lang w:eastAsia="fr-FR"/>
              </w:rPr>
              <w:br/>
              <w:t>- Possibilité d'arbitrage interministériel si nécessaire</w:t>
            </w:r>
          </w:p>
        </w:tc>
        <w:tc>
          <w:tcPr>
            <w:tcW w:w="320" w:type="dxa"/>
            <w:tcBorders>
              <w:top w:val="nil"/>
              <w:left w:val="nil"/>
              <w:bottom w:val="single" w:sz="4" w:space="0" w:color="000000"/>
              <w:right w:val="single" w:sz="4" w:space="0" w:color="000000"/>
            </w:tcBorders>
            <w:shd w:val="clear" w:color="000000" w:fill="EDEBE1"/>
            <w:textDirection w:val="btLr"/>
            <w:vAlign w:val="center"/>
            <w:hideMark/>
          </w:tcPr>
          <w:p w14:paraId="18AE599D"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CONCEPTION</w:t>
            </w:r>
          </w:p>
        </w:tc>
        <w:tc>
          <w:tcPr>
            <w:tcW w:w="2522" w:type="dxa"/>
            <w:tcBorders>
              <w:top w:val="single" w:sz="4" w:space="0" w:color="000000"/>
              <w:left w:val="nil"/>
              <w:bottom w:val="single" w:sz="4" w:space="0" w:color="000000"/>
              <w:right w:val="single" w:sz="4" w:space="0" w:color="000000"/>
            </w:tcBorders>
            <w:shd w:val="clear" w:color="000000" w:fill="EDEBE1"/>
            <w:vAlign w:val="center"/>
            <w:hideMark/>
          </w:tcPr>
          <w:p w14:paraId="73B09AAC"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xml:space="preserve">Oui, le risque de dérive des coûts est intégré dans la provision pour risques et aléas </w:t>
            </w:r>
          </w:p>
        </w:tc>
        <w:tc>
          <w:tcPr>
            <w:tcW w:w="320" w:type="dxa"/>
            <w:tcBorders>
              <w:top w:val="nil"/>
              <w:left w:val="nil"/>
              <w:bottom w:val="single" w:sz="4" w:space="0" w:color="000000"/>
              <w:right w:val="single" w:sz="4" w:space="0" w:color="000000"/>
            </w:tcBorders>
            <w:shd w:val="clear" w:color="000000" w:fill="FFBF00"/>
            <w:hideMark/>
          </w:tcPr>
          <w:p w14:paraId="592AB2FE"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textDirection w:val="btLr"/>
            <w:hideMark/>
          </w:tcPr>
          <w:p w14:paraId="56219383"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Surcoût d'investissement ou décalage de la chronique des coûts</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6124EF3D"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Décalage de de la chronique des avantages</w:t>
            </w:r>
          </w:p>
        </w:tc>
      </w:tr>
      <w:tr w:rsidR="00A13130" w:rsidRPr="00D822DC" w14:paraId="44F5C860" w14:textId="77777777" w:rsidTr="00C04D59">
        <w:trPr>
          <w:trHeight w:val="982"/>
          <w:jc w:val="center"/>
        </w:trPr>
        <w:tc>
          <w:tcPr>
            <w:tcW w:w="521" w:type="dxa"/>
            <w:vMerge/>
            <w:tcBorders>
              <w:top w:val="single" w:sz="4" w:space="0" w:color="000000"/>
              <w:left w:val="single" w:sz="4" w:space="0" w:color="000000"/>
              <w:bottom w:val="single" w:sz="4" w:space="0" w:color="000000"/>
              <w:right w:val="single" w:sz="4" w:space="0" w:color="000000"/>
            </w:tcBorders>
            <w:vAlign w:val="center"/>
            <w:hideMark/>
          </w:tcPr>
          <w:p w14:paraId="1610468C" w14:textId="77777777" w:rsidR="00A13130" w:rsidRPr="00D822DC" w:rsidRDefault="00A13130" w:rsidP="00C04D59">
            <w:pPr>
              <w:jc w:val="center"/>
              <w:rPr>
                <w:rFonts w:ascii="Arial" w:eastAsia="Times New Roman" w:hAnsi="Arial" w:cs="Arial"/>
                <w:b/>
                <w:bCs/>
                <w:sz w:val="12"/>
                <w:szCs w:val="12"/>
                <w:lang w:eastAsia="fr-FR"/>
              </w:rPr>
            </w:pPr>
          </w:p>
        </w:tc>
        <w:tc>
          <w:tcPr>
            <w:tcW w:w="1113" w:type="dxa"/>
            <w:tcBorders>
              <w:top w:val="nil"/>
              <w:left w:val="nil"/>
              <w:bottom w:val="single" w:sz="4" w:space="0" w:color="000000"/>
              <w:right w:val="single" w:sz="4" w:space="0" w:color="000000"/>
            </w:tcBorders>
            <w:shd w:val="clear" w:color="000000" w:fill="F2F2F2"/>
            <w:vAlign w:val="center"/>
            <w:hideMark/>
          </w:tcPr>
          <w:p w14:paraId="096F2A6D" w14:textId="77777777" w:rsidR="00A13130" w:rsidRPr="00D822DC" w:rsidRDefault="00A13130" w:rsidP="00C04D59">
            <w:pPr>
              <w:jc w:val="center"/>
              <w:rPr>
                <w:rFonts w:ascii="Arial" w:eastAsia="Times New Roman" w:hAnsi="Arial" w:cs="Arial"/>
                <w:sz w:val="12"/>
                <w:szCs w:val="12"/>
                <w:lang w:eastAsia="fr-FR"/>
              </w:rPr>
            </w:pPr>
            <w:r w:rsidRPr="00D822DC">
              <w:rPr>
                <w:rFonts w:ascii="Arial" w:eastAsia="Times New Roman" w:hAnsi="Arial" w:cs="Arial"/>
                <w:b/>
                <w:bCs/>
                <w:sz w:val="12"/>
                <w:szCs w:val="12"/>
                <w:lang w:eastAsia="fr-FR"/>
              </w:rPr>
              <w:t>Cadre juridique et procédures</w:t>
            </w:r>
            <w:r w:rsidRPr="00D822DC">
              <w:rPr>
                <w:rFonts w:ascii="Arial" w:eastAsia="Times New Roman" w:hAnsi="Arial" w:cs="Arial"/>
                <w:b/>
                <w:bCs/>
                <w:sz w:val="12"/>
                <w:szCs w:val="12"/>
                <w:lang w:eastAsia="fr-FR"/>
              </w:rPr>
              <w:br/>
              <w:t>administratives</w:t>
            </w:r>
          </w:p>
        </w:tc>
        <w:tc>
          <w:tcPr>
            <w:tcW w:w="3655" w:type="dxa"/>
            <w:tcBorders>
              <w:top w:val="nil"/>
              <w:left w:val="nil"/>
              <w:bottom w:val="single" w:sz="4" w:space="0" w:color="000000"/>
              <w:right w:val="single" w:sz="4" w:space="0" w:color="000000"/>
            </w:tcBorders>
            <w:shd w:val="clear" w:color="auto" w:fill="auto"/>
            <w:hideMark/>
          </w:tcPr>
          <w:p w14:paraId="08BB489B"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Difficultés dans l'obtention des autorisations nécessaires (loi sur l'eau, installations classées, autorisations de travaux...) du fait de retards ou de contentieux</w:t>
            </w:r>
            <w:r w:rsidRPr="00D822DC">
              <w:rPr>
                <w:rFonts w:ascii="Arial" w:eastAsia="Times New Roman" w:hAnsi="Arial" w:cs="Arial"/>
                <w:sz w:val="12"/>
                <w:szCs w:val="12"/>
                <w:lang w:eastAsia="fr-FR"/>
              </w:rPr>
              <w:br/>
              <w:t>- Conflit avec les autorisations délivrées pour d’autres projets  (permis de construire,  autres  projets déclarés d'utilité publique...)</w:t>
            </w:r>
            <w:r w:rsidRPr="00D822DC">
              <w:rPr>
                <w:rFonts w:ascii="Arial" w:eastAsia="Times New Roman" w:hAnsi="Arial" w:cs="Arial"/>
                <w:sz w:val="12"/>
                <w:szCs w:val="12"/>
                <w:lang w:eastAsia="fr-FR"/>
              </w:rPr>
              <w:br/>
              <w:t>- Evolutions réglementaires et alourdissement des procédures d'instruction</w:t>
            </w:r>
            <w:r w:rsidRPr="00D822DC">
              <w:rPr>
                <w:rFonts w:ascii="Arial" w:eastAsia="Times New Roman" w:hAnsi="Arial" w:cs="Arial"/>
                <w:sz w:val="12"/>
                <w:szCs w:val="12"/>
                <w:lang w:eastAsia="fr-FR"/>
              </w:rPr>
              <w:br/>
              <w:t>- Emergences de contraintes supplémentaires dans la conception du projet (nouvelles normes...)</w:t>
            </w:r>
          </w:p>
        </w:tc>
        <w:tc>
          <w:tcPr>
            <w:tcW w:w="3635" w:type="dxa"/>
            <w:tcBorders>
              <w:top w:val="nil"/>
              <w:left w:val="nil"/>
              <w:bottom w:val="single" w:sz="4" w:space="0" w:color="000000"/>
              <w:right w:val="single" w:sz="4" w:space="0" w:color="000000"/>
            </w:tcBorders>
            <w:shd w:val="clear" w:color="auto" w:fill="auto"/>
            <w:hideMark/>
          </w:tcPr>
          <w:p w14:paraId="13DD0DD8"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Coordination étroite entre SGP et services instructeurs en amont comme en aval des procédures</w:t>
            </w:r>
            <w:r w:rsidRPr="00D822DC">
              <w:rPr>
                <w:rFonts w:ascii="Arial" w:eastAsia="Times New Roman" w:hAnsi="Arial" w:cs="Arial"/>
                <w:sz w:val="12"/>
                <w:szCs w:val="12"/>
                <w:lang w:eastAsia="fr-FR"/>
              </w:rPr>
              <w:br/>
              <w:t>- Anticipation des procédures les plus longues</w:t>
            </w:r>
            <w:r w:rsidRPr="00D822DC">
              <w:rPr>
                <w:rFonts w:ascii="Arial" w:eastAsia="Times New Roman" w:hAnsi="Arial" w:cs="Arial"/>
                <w:sz w:val="12"/>
                <w:szCs w:val="12"/>
                <w:lang w:eastAsia="fr-FR"/>
              </w:rPr>
              <w:br/>
              <w:t>- Veille juridique systématique</w:t>
            </w:r>
          </w:p>
        </w:tc>
        <w:tc>
          <w:tcPr>
            <w:tcW w:w="320" w:type="dxa"/>
            <w:tcBorders>
              <w:top w:val="nil"/>
              <w:left w:val="nil"/>
              <w:bottom w:val="single" w:sz="4" w:space="0" w:color="000000"/>
              <w:right w:val="single" w:sz="4" w:space="0" w:color="000000"/>
            </w:tcBorders>
            <w:shd w:val="clear" w:color="000000" w:fill="EDEBE1"/>
            <w:textDirection w:val="btLr"/>
            <w:vAlign w:val="center"/>
            <w:hideMark/>
          </w:tcPr>
          <w:p w14:paraId="2268DF67"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CONCEPTION REALISATION</w:t>
            </w:r>
          </w:p>
        </w:tc>
        <w:tc>
          <w:tcPr>
            <w:tcW w:w="2522" w:type="dxa"/>
            <w:tcBorders>
              <w:top w:val="single" w:sz="4" w:space="0" w:color="000000"/>
              <w:left w:val="nil"/>
              <w:bottom w:val="single" w:sz="4" w:space="0" w:color="000000"/>
              <w:right w:val="single" w:sz="4" w:space="0" w:color="000000"/>
            </w:tcBorders>
            <w:shd w:val="clear" w:color="000000" w:fill="EDEBE1"/>
            <w:vAlign w:val="center"/>
            <w:hideMark/>
          </w:tcPr>
          <w:p w14:paraId="2C4F3448"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Oui, le risque de dérive des coûts est intégré dans la provision pour risques et aléas</w:t>
            </w:r>
          </w:p>
        </w:tc>
        <w:tc>
          <w:tcPr>
            <w:tcW w:w="320" w:type="dxa"/>
            <w:tcBorders>
              <w:top w:val="nil"/>
              <w:left w:val="nil"/>
              <w:bottom w:val="single" w:sz="4" w:space="0" w:color="000000"/>
              <w:right w:val="single" w:sz="4" w:space="0" w:color="000000"/>
            </w:tcBorders>
            <w:shd w:val="clear" w:color="000000" w:fill="E26B0A"/>
            <w:hideMark/>
          </w:tcPr>
          <w:p w14:paraId="75957B08"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textDirection w:val="btLr"/>
            <w:hideMark/>
          </w:tcPr>
          <w:p w14:paraId="029DC9B0"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Surcoût d'investissement ou décalage de la chronique des coûts</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7A4F0813"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Décalage de de la chronique des avantages</w:t>
            </w:r>
          </w:p>
        </w:tc>
      </w:tr>
      <w:tr w:rsidR="00A13130" w:rsidRPr="00D822DC" w14:paraId="19EB8320" w14:textId="77777777" w:rsidTr="00C04D59">
        <w:trPr>
          <w:trHeight w:val="822"/>
          <w:jc w:val="center"/>
        </w:trPr>
        <w:tc>
          <w:tcPr>
            <w:tcW w:w="521" w:type="dxa"/>
            <w:vMerge/>
            <w:tcBorders>
              <w:top w:val="single" w:sz="4" w:space="0" w:color="000000"/>
              <w:left w:val="single" w:sz="4" w:space="0" w:color="000000"/>
              <w:bottom w:val="single" w:sz="4" w:space="0" w:color="000000"/>
              <w:right w:val="single" w:sz="4" w:space="0" w:color="000000"/>
            </w:tcBorders>
            <w:vAlign w:val="center"/>
            <w:hideMark/>
          </w:tcPr>
          <w:p w14:paraId="2414E504" w14:textId="77777777" w:rsidR="00A13130" w:rsidRPr="00D822DC" w:rsidRDefault="00A13130" w:rsidP="00C04D59">
            <w:pPr>
              <w:jc w:val="center"/>
              <w:rPr>
                <w:rFonts w:ascii="Arial" w:eastAsia="Times New Roman" w:hAnsi="Arial" w:cs="Arial"/>
                <w:b/>
                <w:bCs/>
                <w:sz w:val="12"/>
                <w:szCs w:val="12"/>
                <w:lang w:eastAsia="fr-FR"/>
              </w:rPr>
            </w:pPr>
          </w:p>
        </w:tc>
        <w:tc>
          <w:tcPr>
            <w:tcW w:w="1113" w:type="dxa"/>
            <w:tcBorders>
              <w:top w:val="nil"/>
              <w:left w:val="nil"/>
              <w:bottom w:val="single" w:sz="4" w:space="0" w:color="000000"/>
              <w:right w:val="single" w:sz="4" w:space="0" w:color="000000"/>
            </w:tcBorders>
            <w:shd w:val="clear" w:color="000000" w:fill="F2F2F2"/>
            <w:vAlign w:val="center"/>
            <w:hideMark/>
          </w:tcPr>
          <w:p w14:paraId="50A291A2" w14:textId="77777777" w:rsidR="00A13130" w:rsidRPr="00D822DC" w:rsidRDefault="00A13130" w:rsidP="00C04D59">
            <w:pPr>
              <w:ind w:firstLineChars="100" w:firstLine="120"/>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Action foncière</w:t>
            </w:r>
          </w:p>
        </w:tc>
        <w:tc>
          <w:tcPr>
            <w:tcW w:w="3655" w:type="dxa"/>
            <w:tcBorders>
              <w:top w:val="nil"/>
              <w:left w:val="nil"/>
              <w:bottom w:val="single" w:sz="4" w:space="0" w:color="000000"/>
              <w:right w:val="single" w:sz="4" w:space="0" w:color="000000"/>
            </w:tcBorders>
            <w:shd w:val="clear" w:color="auto" w:fill="auto"/>
            <w:hideMark/>
          </w:tcPr>
          <w:p w14:paraId="07B9E320"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Retards dans le processus des acquisitions foncières (phase d'expropriation)</w:t>
            </w:r>
            <w:r w:rsidRPr="00D822DC">
              <w:rPr>
                <w:rFonts w:ascii="Arial" w:eastAsia="Times New Roman" w:hAnsi="Arial" w:cs="Arial"/>
                <w:sz w:val="12"/>
                <w:szCs w:val="12"/>
                <w:lang w:eastAsia="fr-FR"/>
              </w:rPr>
              <w:br/>
              <w:t>- Absence de maîtrise du coût prévisionnel du foncier</w:t>
            </w:r>
          </w:p>
        </w:tc>
        <w:tc>
          <w:tcPr>
            <w:tcW w:w="3635" w:type="dxa"/>
            <w:tcBorders>
              <w:top w:val="nil"/>
              <w:left w:val="nil"/>
              <w:bottom w:val="single" w:sz="4" w:space="0" w:color="000000"/>
              <w:right w:val="single" w:sz="4" w:space="0" w:color="000000"/>
            </w:tcBorders>
            <w:shd w:val="clear" w:color="auto" w:fill="auto"/>
            <w:hideMark/>
          </w:tcPr>
          <w:p w14:paraId="014AEBFD"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Stratégie foncière anticipant les acquisitions à l'amiable préalablement à l'obtention des déclarations d'utilité publique</w:t>
            </w:r>
            <w:r w:rsidRPr="00D822DC">
              <w:rPr>
                <w:rFonts w:ascii="Arial" w:eastAsia="Times New Roman" w:hAnsi="Arial" w:cs="Arial"/>
                <w:sz w:val="12"/>
                <w:szCs w:val="12"/>
                <w:lang w:eastAsia="fr-FR"/>
              </w:rPr>
              <w:br/>
              <w:t>- Réalisation des procédures réglementaires au fur et à mesure de l'avancement des tronçons</w:t>
            </w:r>
          </w:p>
        </w:tc>
        <w:tc>
          <w:tcPr>
            <w:tcW w:w="320" w:type="dxa"/>
            <w:tcBorders>
              <w:top w:val="nil"/>
              <w:left w:val="nil"/>
              <w:bottom w:val="single" w:sz="4" w:space="0" w:color="000000"/>
              <w:right w:val="single" w:sz="4" w:space="0" w:color="000000"/>
            </w:tcBorders>
            <w:shd w:val="clear" w:color="000000" w:fill="EDEBE1"/>
            <w:textDirection w:val="btLr"/>
            <w:vAlign w:val="center"/>
            <w:hideMark/>
          </w:tcPr>
          <w:p w14:paraId="324C0694"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CONCEPTION REALISATION</w:t>
            </w:r>
          </w:p>
        </w:tc>
        <w:tc>
          <w:tcPr>
            <w:tcW w:w="2522" w:type="dxa"/>
            <w:tcBorders>
              <w:top w:val="single" w:sz="4" w:space="0" w:color="000000"/>
              <w:left w:val="nil"/>
              <w:bottom w:val="single" w:sz="4" w:space="0" w:color="000000"/>
              <w:right w:val="single" w:sz="4" w:space="0" w:color="000000"/>
            </w:tcBorders>
            <w:shd w:val="clear" w:color="000000" w:fill="EDEBE1"/>
            <w:vAlign w:val="center"/>
            <w:hideMark/>
          </w:tcPr>
          <w:p w14:paraId="29A5220D"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Oui, le risque de dérive des coûts est intégré dans la provision pour risques et aléas</w:t>
            </w:r>
          </w:p>
        </w:tc>
        <w:tc>
          <w:tcPr>
            <w:tcW w:w="320" w:type="dxa"/>
            <w:tcBorders>
              <w:top w:val="nil"/>
              <w:left w:val="nil"/>
              <w:bottom w:val="single" w:sz="4" w:space="0" w:color="000000"/>
              <w:right w:val="single" w:sz="4" w:space="0" w:color="000000"/>
            </w:tcBorders>
            <w:shd w:val="clear" w:color="000000" w:fill="E26B0A"/>
            <w:hideMark/>
          </w:tcPr>
          <w:p w14:paraId="3F181A3D"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textDirection w:val="btLr"/>
            <w:hideMark/>
          </w:tcPr>
          <w:p w14:paraId="1AB35943"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Surcoût d'investissement ou décalage de la chronique des coûts</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6D7418E2"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Décalage de de la chronique des avantages</w:t>
            </w:r>
          </w:p>
        </w:tc>
      </w:tr>
      <w:tr w:rsidR="00A13130" w:rsidRPr="00D822DC" w14:paraId="1183A968" w14:textId="77777777" w:rsidTr="00C04D59">
        <w:trPr>
          <w:trHeight w:val="822"/>
          <w:jc w:val="center"/>
        </w:trPr>
        <w:tc>
          <w:tcPr>
            <w:tcW w:w="521" w:type="dxa"/>
            <w:vMerge/>
            <w:tcBorders>
              <w:top w:val="single" w:sz="4" w:space="0" w:color="000000"/>
              <w:left w:val="single" w:sz="4" w:space="0" w:color="000000"/>
              <w:bottom w:val="single" w:sz="4" w:space="0" w:color="000000"/>
              <w:right w:val="single" w:sz="4" w:space="0" w:color="000000"/>
            </w:tcBorders>
            <w:vAlign w:val="center"/>
            <w:hideMark/>
          </w:tcPr>
          <w:p w14:paraId="7B122130" w14:textId="77777777" w:rsidR="00A13130" w:rsidRPr="00D822DC" w:rsidRDefault="00A13130" w:rsidP="00C04D59">
            <w:pPr>
              <w:jc w:val="center"/>
              <w:rPr>
                <w:rFonts w:ascii="Arial" w:eastAsia="Times New Roman" w:hAnsi="Arial" w:cs="Arial"/>
                <w:b/>
                <w:bCs/>
                <w:sz w:val="12"/>
                <w:szCs w:val="12"/>
                <w:lang w:eastAsia="fr-FR"/>
              </w:rPr>
            </w:pPr>
          </w:p>
        </w:tc>
        <w:tc>
          <w:tcPr>
            <w:tcW w:w="1113" w:type="dxa"/>
            <w:tcBorders>
              <w:top w:val="nil"/>
              <w:left w:val="nil"/>
              <w:bottom w:val="single" w:sz="4" w:space="0" w:color="000000"/>
              <w:right w:val="single" w:sz="4" w:space="0" w:color="000000"/>
            </w:tcBorders>
            <w:shd w:val="clear" w:color="000000" w:fill="F2F2F2"/>
            <w:vAlign w:val="center"/>
            <w:hideMark/>
          </w:tcPr>
          <w:p w14:paraId="019021FB"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Marchés</w:t>
            </w:r>
          </w:p>
        </w:tc>
        <w:tc>
          <w:tcPr>
            <w:tcW w:w="3655" w:type="dxa"/>
            <w:tcBorders>
              <w:top w:val="nil"/>
              <w:left w:val="nil"/>
              <w:bottom w:val="single" w:sz="4" w:space="0" w:color="000000"/>
              <w:right w:val="single" w:sz="4" w:space="0" w:color="000000"/>
            </w:tcBorders>
            <w:shd w:val="clear" w:color="auto" w:fill="auto"/>
            <w:hideMark/>
          </w:tcPr>
          <w:p w14:paraId="11745142"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Saturation de l'offre fournisseurs (bureaux d'ingénierie, entreprises BTP...)</w:t>
            </w:r>
            <w:r w:rsidRPr="00D822DC">
              <w:rPr>
                <w:rFonts w:ascii="Arial" w:eastAsia="Times New Roman" w:hAnsi="Arial" w:cs="Arial"/>
                <w:sz w:val="12"/>
                <w:szCs w:val="12"/>
                <w:lang w:eastAsia="fr-FR"/>
              </w:rPr>
              <w:br/>
              <w:t>- Défaillance d'un fournisseur</w:t>
            </w:r>
            <w:r w:rsidRPr="00D822DC">
              <w:rPr>
                <w:rFonts w:ascii="Arial" w:eastAsia="Times New Roman" w:hAnsi="Arial" w:cs="Arial"/>
                <w:sz w:val="12"/>
                <w:szCs w:val="12"/>
                <w:lang w:eastAsia="fr-FR"/>
              </w:rPr>
              <w:br/>
              <w:t>- Entente entre fournisseurs</w:t>
            </w:r>
            <w:r w:rsidRPr="00D822DC">
              <w:rPr>
                <w:rFonts w:ascii="Arial" w:eastAsia="Times New Roman" w:hAnsi="Arial" w:cs="Arial"/>
                <w:sz w:val="12"/>
                <w:szCs w:val="12"/>
                <w:lang w:eastAsia="fr-FR"/>
              </w:rPr>
              <w:br/>
              <w:t>- Contentieux sur les marchés engagés</w:t>
            </w:r>
            <w:r w:rsidRPr="00D822DC">
              <w:rPr>
                <w:rFonts w:ascii="Arial" w:eastAsia="Times New Roman" w:hAnsi="Arial" w:cs="Arial"/>
                <w:sz w:val="12"/>
                <w:szCs w:val="12"/>
                <w:lang w:eastAsia="fr-FR"/>
              </w:rPr>
              <w:br/>
              <w:t>- Dérive des coûts au fur et à mesure de l'exécution des marchés</w:t>
            </w:r>
          </w:p>
        </w:tc>
        <w:tc>
          <w:tcPr>
            <w:tcW w:w="3635" w:type="dxa"/>
            <w:tcBorders>
              <w:top w:val="nil"/>
              <w:left w:val="nil"/>
              <w:bottom w:val="single" w:sz="4" w:space="0" w:color="000000"/>
              <w:right w:val="single" w:sz="4" w:space="0" w:color="000000"/>
            </w:tcBorders>
            <w:shd w:val="clear" w:color="auto" w:fill="auto"/>
            <w:hideMark/>
          </w:tcPr>
          <w:p w14:paraId="365E17DC"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Réflexion sur   l’organisation visant à minimiser les risques :   mise en place d’une assistance à maîtrise d'ouvrage sur la gestion des contrats</w:t>
            </w:r>
            <w:r w:rsidRPr="00D822DC">
              <w:rPr>
                <w:rFonts w:ascii="Arial" w:eastAsia="Times New Roman" w:hAnsi="Arial" w:cs="Arial"/>
                <w:sz w:val="12"/>
                <w:szCs w:val="12"/>
                <w:lang w:eastAsia="fr-FR"/>
              </w:rPr>
              <w:br/>
              <w:t>- Process d'optimisation dans l'organisation de la co-traitance et de la sous-traitance</w:t>
            </w:r>
            <w:r w:rsidRPr="00D822DC">
              <w:rPr>
                <w:rFonts w:ascii="Arial" w:eastAsia="Times New Roman" w:hAnsi="Arial" w:cs="Arial"/>
                <w:sz w:val="12"/>
                <w:szCs w:val="12"/>
                <w:lang w:eastAsia="fr-FR"/>
              </w:rPr>
              <w:br/>
              <w:t>- Stratégie d'allotissement</w:t>
            </w:r>
          </w:p>
        </w:tc>
        <w:tc>
          <w:tcPr>
            <w:tcW w:w="320" w:type="dxa"/>
            <w:tcBorders>
              <w:top w:val="nil"/>
              <w:left w:val="nil"/>
              <w:bottom w:val="single" w:sz="4" w:space="0" w:color="000000"/>
              <w:right w:val="single" w:sz="4" w:space="0" w:color="000000"/>
            </w:tcBorders>
            <w:shd w:val="clear" w:color="000000" w:fill="EDEBE1"/>
            <w:textDirection w:val="btLr"/>
            <w:vAlign w:val="center"/>
            <w:hideMark/>
          </w:tcPr>
          <w:p w14:paraId="52C631D1"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CONCEPTION REALISATION</w:t>
            </w:r>
          </w:p>
        </w:tc>
        <w:tc>
          <w:tcPr>
            <w:tcW w:w="2522" w:type="dxa"/>
            <w:tcBorders>
              <w:top w:val="single" w:sz="4" w:space="0" w:color="000000"/>
              <w:left w:val="nil"/>
              <w:bottom w:val="single" w:sz="4" w:space="0" w:color="000000"/>
              <w:right w:val="single" w:sz="4" w:space="0" w:color="000000"/>
            </w:tcBorders>
            <w:shd w:val="clear" w:color="000000" w:fill="EDEBE1"/>
            <w:vAlign w:val="center"/>
            <w:hideMark/>
          </w:tcPr>
          <w:p w14:paraId="18720DD3"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Oui, le risque de dérive des coûts est intégré dans la provision pour risques et aléas</w:t>
            </w:r>
          </w:p>
        </w:tc>
        <w:tc>
          <w:tcPr>
            <w:tcW w:w="320" w:type="dxa"/>
            <w:tcBorders>
              <w:top w:val="nil"/>
              <w:left w:val="nil"/>
              <w:bottom w:val="single" w:sz="4" w:space="0" w:color="000000"/>
              <w:right w:val="single" w:sz="4" w:space="0" w:color="000000"/>
            </w:tcBorders>
            <w:shd w:val="clear" w:color="000000" w:fill="E26B0A"/>
            <w:hideMark/>
          </w:tcPr>
          <w:p w14:paraId="6A890488"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textDirection w:val="btLr"/>
            <w:hideMark/>
          </w:tcPr>
          <w:p w14:paraId="257FCE0B"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Surcoût d'investissement ou décalage de la chronique des coûts</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33104068"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Décalage de de la chronique des avantages</w:t>
            </w:r>
          </w:p>
        </w:tc>
      </w:tr>
      <w:tr w:rsidR="00A13130" w:rsidRPr="00D822DC" w14:paraId="6C4082B2" w14:textId="77777777" w:rsidTr="00C04D59">
        <w:trPr>
          <w:trHeight w:val="902"/>
          <w:jc w:val="center"/>
        </w:trPr>
        <w:tc>
          <w:tcPr>
            <w:tcW w:w="521" w:type="dxa"/>
            <w:vMerge w:val="restart"/>
            <w:tcBorders>
              <w:top w:val="single" w:sz="4" w:space="0" w:color="000000"/>
              <w:left w:val="single" w:sz="4" w:space="0" w:color="000000"/>
              <w:bottom w:val="single" w:sz="4" w:space="0" w:color="000000"/>
              <w:right w:val="single" w:sz="4" w:space="0" w:color="000000"/>
            </w:tcBorders>
            <w:shd w:val="clear" w:color="000000" w:fill="A5A5A5"/>
            <w:textDirection w:val="btLr"/>
            <w:vAlign w:val="center"/>
            <w:hideMark/>
          </w:tcPr>
          <w:p w14:paraId="0306A32C"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CONCEPTION DU PROJET</w:t>
            </w:r>
          </w:p>
        </w:tc>
        <w:tc>
          <w:tcPr>
            <w:tcW w:w="1113" w:type="dxa"/>
            <w:tcBorders>
              <w:top w:val="nil"/>
              <w:left w:val="nil"/>
              <w:bottom w:val="single" w:sz="4" w:space="0" w:color="000000"/>
              <w:right w:val="single" w:sz="4" w:space="0" w:color="000000"/>
            </w:tcBorders>
            <w:shd w:val="clear" w:color="000000" w:fill="F2F2F2"/>
            <w:vAlign w:val="center"/>
            <w:hideMark/>
          </w:tcPr>
          <w:p w14:paraId="30AE7ECA"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Contraintes sur la faisabilité du projet</w:t>
            </w:r>
          </w:p>
        </w:tc>
        <w:tc>
          <w:tcPr>
            <w:tcW w:w="3655" w:type="dxa"/>
            <w:tcBorders>
              <w:top w:val="nil"/>
              <w:left w:val="nil"/>
              <w:bottom w:val="single" w:sz="4" w:space="0" w:color="000000"/>
              <w:right w:val="single" w:sz="4" w:space="0" w:color="000000"/>
            </w:tcBorders>
            <w:shd w:val="clear" w:color="auto" w:fill="auto"/>
            <w:hideMark/>
          </w:tcPr>
          <w:p w14:paraId="3142E0E1"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Remise en cause des choix initiaux du fait d'un niveau de complexité technique et/ou environnementale non pris en compte initialement</w:t>
            </w:r>
            <w:r w:rsidRPr="00D822DC">
              <w:rPr>
                <w:rFonts w:ascii="Arial" w:eastAsia="Times New Roman" w:hAnsi="Arial" w:cs="Arial"/>
                <w:sz w:val="12"/>
                <w:szCs w:val="12"/>
                <w:lang w:eastAsia="fr-FR"/>
              </w:rPr>
              <w:br/>
              <w:t>- Mesures compensatoires contraignantes ou impossibles à mettre en œuvre par le maître d'ouvrage</w:t>
            </w:r>
          </w:p>
        </w:tc>
        <w:tc>
          <w:tcPr>
            <w:tcW w:w="3635" w:type="dxa"/>
            <w:tcBorders>
              <w:top w:val="nil"/>
              <w:left w:val="nil"/>
              <w:bottom w:val="single" w:sz="4" w:space="0" w:color="000000"/>
              <w:right w:val="single" w:sz="4" w:space="0" w:color="000000"/>
            </w:tcBorders>
            <w:shd w:val="clear" w:color="auto" w:fill="auto"/>
            <w:hideMark/>
          </w:tcPr>
          <w:p w14:paraId="6DB9EBE1"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Phase de conception : anticipation des actions et des mesures visant à assurer une bonne connaissance du terrain et des enjeux environnementaux (ex. :  évaluation stratégique et environnementale réalisée dès 2010 à l'échelle du réseau complet, mise en place d’une assistance à maîtrise d'ouvrage géotechnique...)</w:t>
            </w:r>
            <w:r w:rsidRPr="00D822DC">
              <w:rPr>
                <w:rFonts w:ascii="Arial" w:eastAsia="Times New Roman" w:hAnsi="Arial" w:cs="Arial"/>
                <w:sz w:val="12"/>
                <w:szCs w:val="12"/>
                <w:lang w:eastAsia="fr-FR"/>
              </w:rPr>
              <w:br/>
              <w:t>- Phase de réalisation :  prise en compte d’une provision pour aléas et,  le  cas échéant, de provisions spécifiques intégrées au coût d'objectif de l'opération</w:t>
            </w:r>
          </w:p>
        </w:tc>
        <w:tc>
          <w:tcPr>
            <w:tcW w:w="320" w:type="dxa"/>
            <w:tcBorders>
              <w:top w:val="nil"/>
              <w:left w:val="nil"/>
              <w:bottom w:val="single" w:sz="4" w:space="0" w:color="000000"/>
              <w:right w:val="single" w:sz="4" w:space="0" w:color="000000"/>
            </w:tcBorders>
            <w:shd w:val="clear" w:color="000000" w:fill="EDEBE1"/>
            <w:textDirection w:val="btLr"/>
            <w:vAlign w:val="center"/>
            <w:hideMark/>
          </w:tcPr>
          <w:p w14:paraId="109B1645"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CONCEPTION</w:t>
            </w:r>
          </w:p>
        </w:tc>
        <w:tc>
          <w:tcPr>
            <w:tcW w:w="2522" w:type="dxa"/>
            <w:tcBorders>
              <w:top w:val="single" w:sz="4" w:space="0" w:color="000000"/>
              <w:left w:val="nil"/>
              <w:bottom w:val="single" w:sz="4" w:space="0" w:color="000000"/>
              <w:right w:val="single" w:sz="4" w:space="0" w:color="000000"/>
            </w:tcBorders>
            <w:shd w:val="clear" w:color="000000" w:fill="EDEBE1"/>
            <w:vAlign w:val="center"/>
            <w:hideMark/>
          </w:tcPr>
          <w:p w14:paraId="28B20E8A"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Oui, le risque de dérive des coûts est intégré dans la provision pour risques et aléas</w:t>
            </w:r>
          </w:p>
        </w:tc>
        <w:tc>
          <w:tcPr>
            <w:tcW w:w="320" w:type="dxa"/>
            <w:tcBorders>
              <w:top w:val="nil"/>
              <w:left w:val="nil"/>
              <w:bottom w:val="single" w:sz="4" w:space="0" w:color="000000"/>
              <w:right w:val="single" w:sz="4" w:space="0" w:color="000000"/>
            </w:tcBorders>
            <w:shd w:val="clear" w:color="000000" w:fill="FFBF00"/>
            <w:hideMark/>
          </w:tcPr>
          <w:p w14:paraId="51E483D2"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textDirection w:val="btLr"/>
            <w:hideMark/>
          </w:tcPr>
          <w:p w14:paraId="46A1F843"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Surcoût d'investissement</w:t>
            </w:r>
          </w:p>
        </w:tc>
        <w:tc>
          <w:tcPr>
            <w:tcW w:w="1134" w:type="dxa"/>
            <w:gridSpan w:val="2"/>
            <w:tcBorders>
              <w:top w:val="nil"/>
              <w:left w:val="nil"/>
              <w:bottom w:val="single" w:sz="4" w:space="0" w:color="000000"/>
              <w:right w:val="single" w:sz="4" w:space="0" w:color="000000"/>
            </w:tcBorders>
            <w:shd w:val="clear" w:color="000000" w:fill="F2F2F2"/>
            <w:hideMark/>
          </w:tcPr>
          <w:p w14:paraId="4EBE0E89"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r>
      <w:tr w:rsidR="00A13130" w:rsidRPr="00D822DC" w14:paraId="492AB1AE" w14:textId="77777777" w:rsidTr="00C04D59">
        <w:trPr>
          <w:trHeight w:val="1061"/>
          <w:jc w:val="center"/>
        </w:trPr>
        <w:tc>
          <w:tcPr>
            <w:tcW w:w="521" w:type="dxa"/>
            <w:vMerge/>
            <w:tcBorders>
              <w:top w:val="single" w:sz="4" w:space="0" w:color="000000"/>
              <w:left w:val="single" w:sz="4" w:space="0" w:color="000000"/>
              <w:bottom w:val="single" w:sz="4" w:space="0" w:color="000000"/>
              <w:right w:val="single" w:sz="4" w:space="0" w:color="000000"/>
            </w:tcBorders>
            <w:vAlign w:val="center"/>
            <w:hideMark/>
          </w:tcPr>
          <w:p w14:paraId="01E2DA35" w14:textId="77777777" w:rsidR="00A13130" w:rsidRPr="00D822DC" w:rsidRDefault="00A13130" w:rsidP="00C04D59">
            <w:pPr>
              <w:jc w:val="both"/>
              <w:rPr>
                <w:rFonts w:ascii="Arial" w:eastAsia="Times New Roman" w:hAnsi="Arial" w:cs="Arial"/>
                <w:b/>
                <w:bCs/>
                <w:sz w:val="12"/>
                <w:szCs w:val="12"/>
                <w:lang w:eastAsia="fr-FR"/>
              </w:rPr>
            </w:pPr>
          </w:p>
        </w:tc>
        <w:tc>
          <w:tcPr>
            <w:tcW w:w="1113" w:type="dxa"/>
            <w:vMerge w:val="restart"/>
            <w:tcBorders>
              <w:top w:val="nil"/>
              <w:left w:val="single" w:sz="4" w:space="0" w:color="000000"/>
              <w:bottom w:val="single" w:sz="4" w:space="0" w:color="000000"/>
              <w:right w:val="single" w:sz="4" w:space="0" w:color="000000"/>
            </w:tcBorders>
            <w:shd w:val="clear" w:color="000000" w:fill="F2F2F2"/>
            <w:vAlign w:val="center"/>
            <w:hideMark/>
          </w:tcPr>
          <w:p w14:paraId="76D9DA53"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Dimensionnement des infrastructures Grand Paris Express</w:t>
            </w:r>
          </w:p>
        </w:tc>
        <w:tc>
          <w:tcPr>
            <w:tcW w:w="3655" w:type="dxa"/>
            <w:tcBorders>
              <w:top w:val="nil"/>
              <w:left w:val="nil"/>
              <w:bottom w:val="single" w:sz="4" w:space="0" w:color="000000"/>
              <w:right w:val="single" w:sz="4" w:space="0" w:color="000000"/>
            </w:tcBorders>
            <w:shd w:val="clear" w:color="auto" w:fill="auto"/>
            <w:hideMark/>
          </w:tcPr>
          <w:p w14:paraId="1E998F67"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Surdimensionnement des ouvrages et des systèmes du fait d'une surévaluation de la clientèle</w:t>
            </w:r>
          </w:p>
        </w:tc>
        <w:tc>
          <w:tcPr>
            <w:tcW w:w="3635" w:type="dxa"/>
            <w:tcBorders>
              <w:top w:val="nil"/>
              <w:left w:val="nil"/>
              <w:bottom w:val="single" w:sz="4" w:space="0" w:color="000000"/>
              <w:right w:val="single" w:sz="4" w:space="0" w:color="000000"/>
            </w:tcBorders>
            <w:shd w:val="clear" w:color="auto" w:fill="auto"/>
            <w:hideMark/>
          </w:tcPr>
          <w:p w14:paraId="041F2688"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Recours à différents outils de modélisation du trafic prévisionnel</w:t>
            </w:r>
            <w:r w:rsidRPr="00D822DC">
              <w:rPr>
                <w:rFonts w:ascii="Arial" w:eastAsia="Times New Roman" w:hAnsi="Arial" w:cs="Arial"/>
                <w:sz w:val="12"/>
                <w:szCs w:val="12"/>
                <w:lang w:eastAsia="fr-FR"/>
              </w:rPr>
              <w:br/>
              <w:t>-  Actualisations  régulières  des  prévisions  de  trafic  pour  correspondre  aux  grandes  phases  d'études  de faisabilité  /  conception  et  prendre  en  compte  les  orientations  structurantes  du  projet  (schéma  d'ensemble, Nouveau Grand Paris...)</w:t>
            </w:r>
            <w:r w:rsidRPr="00D822DC">
              <w:rPr>
                <w:rFonts w:ascii="Arial" w:eastAsia="Times New Roman" w:hAnsi="Arial" w:cs="Arial"/>
                <w:sz w:val="12"/>
                <w:szCs w:val="12"/>
                <w:lang w:eastAsia="fr-FR"/>
              </w:rPr>
              <w:br/>
              <w:t>-  Mise en place d'un groupe de travail partenarial  (STIF, DRIEA,  RATP, SNCF  et SGP) dans le domaine des prévisions de trafic</w:t>
            </w:r>
            <w:r w:rsidRPr="00D822DC">
              <w:rPr>
                <w:rFonts w:ascii="Arial" w:eastAsia="Times New Roman" w:hAnsi="Arial" w:cs="Arial"/>
                <w:sz w:val="12"/>
                <w:szCs w:val="12"/>
                <w:lang w:eastAsia="fr-FR"/>
              </w:rPr>
              <w:br/>
              <w:t>- Processus continu d'amélioration des modèles de prévisions de trafic</w:t>
            </w:r>
          </w:p>
        </w:tc>
        <w:tc>
          <w:tcPr>
            <w:tcW w:w="320" w:type="dxa"/>
            <w:vMerge w:val="restart"/>
            <w:tcBorders>
              <w:top w:val="nil"/>
              <w:left w:val="single" w:sz="4" w:space="0" w:color="000000"/>
              <w:bottom w:val="single" w:sz="4" w:space="0" w:color="000000"/>
              <w:right w:val="single" w:sz="4" w:space="0" w:color="000000"/>
            </w:tcBorders>
            <w:shd w:val="clear" w:color="000000" w:fill="EDEBE1"/>
            <w:textDirection w:val="btLr"/>
            <w:vAlign w:val="center"/>
            <w:hideMark/>
          </w:tcPr>
          <w:p w14:paraId="3A15E727"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EXPLOITATION</w:t>
            </w:r>
          </w:p>
        </w:tc>
        <w:tc>
          <w:tcPr>
            <w:tcW w:w="2522" w:type="dxa"/>
            <w:tcBorders>
              <w:top w:val="single" w:sz="4" w:space="0" w:color="000000"/>
              <w:left w:val="nil"/>
              <w:bottom w:val="single" w:sz="4" w:space="0" w:color="000000"/>
              <w:right w:val="single" w:sz="4" w:space="0" w:color="000000"/>
            </w:tcBorders>
            <w:shd w:val="clear" w:color="000000" w:fill="EDEBE1"/>
            <w:vAlign w:val="center"/>
            <w:hideMark/>
          </w:tcPr>
          <w:p w14:paraId="7551A266"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Oui, à travers la mise à jour régulière des prévisions de trafic</w:t>
            </w:r>
          </w:p>
        </w:tc>
        <w:tc>
          <w:tcPr>
            <w:tcW w:w="320" w:type="dxa"/>
            <w:tcBorders>
              <w:top w:val="nil"/>
              <w:left w:val="nil"/>
              <w:bottom w:val="single" w:sz="4" w:space="0" w:color="000000"/>
              <w:right w:val="single" w:sz="4" w:space="0" w:color="000000"/>
            </w:tcBorders>
            <w:shd w:val="clear" w:color="000000" w:fill="FFFFCC"/>
            <w:hideMark/>
          </w:tcPr>
          <w:p w14:paraId="57D01E16"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hideMark/>
          </w:tcPr>
          <w:p w14:paraId="661F15B8"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51912AFB"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Baisse des avantages associés à la fréquentation (gains de temps, externalités…)</w:t>
            </w:r>
          </w:p>
        </w:tc>
      </w:tr>
      <w:tr w:rsidR="00A13130" w:rsidRPr="00D822DC" w14:paraId="10B1CDB3" w14:textId="77777777" w:rsidTr="00C04D59">
        <w:trPr>
          <w:trHeight w:val="1859"/>
          <w:jc w:val="center"/>
        </w:trPr>
        <w:tc>
          <w:tcPr>
            <w:tcW w:w="521" w:type="dxa"/>
            <w:vMerge/>
            <w:tcBorders>
              <w:top w:val="single" w:sz="4" w:space="0" w:color="000000"/>
              <w:left w:val="single" w:sz="4" w:space="0" w:color="000000"/>
              <w:bottom w:val="single" w:sz="4" w:space="0" w:color="000000"/>
              <w:right w:val="single" w:sz="4" w:space="0" w:color="000000"/>
            </w:tcBorders>
            <w:vAlign w:val="center"/>
            <w:hideMark/>
          </w:tcPr>
          <w:p w14:paraId="05EF3988" w14:textId="77777777" w:rsidR="00A13130" w:rsidRPr="00D822DC" w:rsidRDefault="00A13130" w:rsidP="00C04D59">
            <w:pPr>
              <w:jc w:val="both"/>
              <w:rPr>
                <w:rFonts w:ascii="Arial" w:eastAsia="Times New Roman" w:hAnsi="Arial" w:cs="Arial"/>
                <w:b/>
                <w:bCs/>
                <w:sz w:val="12"/>
                <w:szCs w:val="12"/>
                <w:lang w:eastAsia="fr-FR"/>
              </w:rPr>
            </w:pPr>
          </w:p>
        </w:tc>
        <w:tc>
          <w:tcPr>
            <w:tcW w:w="1113" w:type="dxa"/>
            <w:vMerge/>
            <w:tcBorders>
              <w:top w:val="nil"/>
              <w:left w:val="single" w:sz="4" w:space="0" w:color="000000"/>
              <w:bottom w:val="single" w:sz="4" w:space="0" w:color="000000"/>
              <w:right w:val="single" w:sz="4" w:space="0" w:color="000000"/>
            </w:tcBorders>
            <w:vAlign w:val="center"/>
            <w:hideMark/>
          </w:tcPr>
          <w:p w14:paraId="457EB74D" w14:textId="77777777" w:rsidR="00A13130" w:rsidRPr="00D822DC" w:rsidRDefault="00A13130" w:rsidP="00C04D59">
            <w:pPr>
              <w:jc w:val="center"/>
              <w:rPr>
                <w:rFonts w:ascii="Arial" w:eastAsia="Times New Roman" w:hAnsi="Arial" w:cs="Arial"/>
                <w:b/>
                <w:bCs/>
                <w:sz w:val="12"/>
                <w:szCs w:val="12"/>
                <w:lang w:eastAsia="fr-FR"/>
              </w:rPr>
            </w:pPr>
          </w:p>
        </w:tc>
        <w:tc>
          <w:tcPr>
            <w:tcW w:w="3655" w:type="dxa"/>
            <w:tcBorders>
              <w:top w:val="nil"/>
              <w:left w:val="nil"/>
              <w:bottom w:val="single" w:sz="4" w:space="0" w:color="000000"/>
              <w:right w:val="single" w:sz="4" w:space="0" w:color="000000"/>
            </w:tcBorders>
            <w:shd w:val="clear" w:color="auto" w:fill="auto"/>
            <w:hideMark/>
          </w:tcPr>
          <w:p w14:paraId="294AD4D9"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Sous-dimensionnement des ouvrages et des systèmes du fait d'une sous-évaluation de la clientèle</w:t>
            </w:r>
          </w:p>
        </w:tc>
        <w:tc>
          <w:tcPr>
            <w:tcW w:w="3635" w:type="dxa"/>
            <w:tcBorders>
              <w:top w:val="nil"/>
              <w:left w:val="nil"/>
              <w:bottom w:val="single" w:sz="4" w:space="0" w:color="000000"/>
              <w:right w:val="single" w:sz="4" w:space="0" w:color="000000"/>
            </w:tcBorders>
            <w:shd w:val="clear" w:color="auto" w:fill="auto"/>
            <w:hideMark/>
          </w:tcPr>
          <w:p w14:paraId="36D45470"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Recours à différents outils de modélisation du trafic prévisionnel</w:t>
            </w:r>
            <w:r w:rsidRPr="00D822DC">
              <w:rPr>
                <w:rFonts w:ascii="Arial" w:eastAsia="Times New Roman" w:hAnsi="Arial" w:cs="Arial"/>
                <w:sz w:val="12"/>
                <w:szCs w:val="12"/>
                <w:lang w:eastAsia="fr-FR"/>
              </w:rPr>
              <w:br/>
              <w:t>-  Actualisations  régulières  des  prévisions  de  trafic  pour  correspondre  aux  grandes  phases  d'études  de faisabilité  /  conception  et  prendre  en  compte  les  orientations  structurantes  du  projet  (schéma  d'ensemble, Nouveau Grand Paris...)</w:t>
            </w:r>
            <w:r w:rsidRPr="00D822DC">
              <w:rPr>
                <w:rFonts w:ascii="Arial" w:eastAsia="Times New Roman" w:hAnsi="Arial" w:cs="Arial"/>
                <w:sz w:val="12"/>
                <w:szCs w:val="12"/>
                <w:lang w:eastAsia="fr-FR"/>
              </w:rPr>
              <w:br/>
              <w:t>-  Approche  conservatrice  dans  le  dimensionnement  des  ouvrages  et  des  systèmes,  visant  à  prendre  en compte la part d'incertitude des prévisions de trafic et à préserver la montée en charge future</w:t>
            </w:r>
            <w:r w:rsidRPr="00D822DC">
              <w:rPr>
                <w:rFonts w:ascii="Arial" w:eastAsia="Times New Roman" w:hAnsi="Arial" w:cs="Arial"/>
                <w:sz w:val="12"/>
                <w:szCs w:val="12"/>
                <w:lang w:eastAsia="fr-FR"/>
              </w:rPr>
              <w:br/>
              <w:t>-  Mise en place d'un groupe de travail partenarial  (STIF, DRIEA,  RATP, SNCF  et SGP) dans le domaine des prévisions de trafic</w:t>
            </w:r>
            <w:r w:rsidRPr="00D822DC">
              <w:rPr>
                <w:rFonts w:ascii="Arial" w:eastAsia="Times New Roman" w:hAnsi="Arial" w:cs="Arial"/>
                <w:sz w:val="12"/>
                <w:szCs w:val="12"/>
                <w:lang w:eastAsia="fr-FR"/>
              </w:rPr>
              <w:br/>
              <w:t>- Processus continu d'amélioration des modèles de prévisions de trafic</w:t>
            </w:r>
          </w:p>
        </w:tc>
        <w:tc>
          <w:tcPr>
            <w:tcW w:w="320" w:type="dxa"/>
            <w:vMerge/>
            <w:tcBorders>
              <w:top w:val="nil"/>
              <w:left w:val="single" w:sz="4" w:space="0" w:color="000000"/>
              <w:bottom w:val="single" w:sz="4" w:space="0" w:color="000000"/>
              <w:right w:val="single" w:sz="4" w:space="0" w:color="000000"/>
            </w:tcBorders>
            <w:vAlign w:val="center"/>
            <w:hideMark/>
          </w:tcPr>
          <w:p w14:paraId="0AB80ABB" w14:textId="77777777" w:rsidR="00A13130" w:rsidRPr="00D822DC" w:rsidRDefault="00A13130" w:rsidP="00C04D59">
            <w:pPr>
              <w:rPr>
                <w:rFonts w:ascii="Arial" w:eastAsia="Times New Roman" w:hAnsi="Arial" w:cs="Arial"/>
                <w:b/>
                <w:bCs/>
                <w:sz w:val="12"/>
                <w:szCs w:val="12"/>
                <w:lang w:eastAsia="fr-FR"/>
              </w:rPr>
            </w:pPr>
          </w:p>
        </w:tc>
        <w:tc>
          <w:tcPr>
            <w:tcW w:w="2522" w:type="dxa"/>
            <w:tcBorders>
              <w:top w:val="single" w:sz="4" w:space="0" w:color="000000"/>
              <w:left w:val="nil"/>
              <w:bottom w:val="single" w:sz="4" w:space="0" w:color="000000"/>
              <w:right w:val="single" w:sz="4" w:space="0" w:color="000000"/>
            </w:tcBorders>
            <w:shd w:val="clear" w:color="000000" w:fill="EDEBE1"/>
            <w:vAlign w:val="center"/>
            <w:hideMark/>
          </w:tcPr>
          <w:p w14:paraId="51806AB2"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Oui, à travers la mise à jour régulière des prévisions de trafic</w:t>
            </w:r>
          </w:p>
        </w:tc>
        <w:tc>
          <w:tcPr>
            <w:tcW w:w="320" w:type="dxa"/>
            <w:tcBorders>
              <w:top w:val="nil"/>
              <w:left w:val="nil"/>
              <w:bottom w:val="single" w:sz="4" w:space="0" w:color="000000"/>
              <w:right w:val="single" w:sz="4" w:space="0" w:color="000000"/>
            </w:tcBorders>
            <w:shd w:val="clear" w:color="000000" w:fill="FFBF00"/>
            <w:hideMark/>
          </w:tcPr>
          <w:p w14:paraId="468A026F"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textDirection w:val="btLr"/>
            <w:hideMark/>
          </w:tcPr>
          <w:p w14:paraId="378C3903"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Surcoûts en phase exploitation pour adapter la capacité d'accueil</w:t>
            </w:r>
          </w:p>
        </w:tc>
        <w:tc>
          <w:tcPr>
            <w:tcW w:w="1134" w:type="dxa"/>
            <w:gridSpan w:val="2"/>
            <w:tcBorders>
              <w:top w:val="nil"/>
              <w:left w:val="nil"/>
              <w:bottom w:val="single" w:sz="4" w:space="0" w:color="000000"/>
              <w:right w:val="single" w:sz="4" w:space="0" w:color="000000"/>
            </w:tcBorders>
            <w:shd w:val="clear" w:color="000000" w:fill="F2F2F2"/>
            <w:hideMark/>
          </w:tcPr>
          <w:p w14:paraId="1973F605"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r>
      <w:tr w:rsidR="00A13130" w:rsidRPr="00D822DC" w14:paraId="4F89E636" w14:textId="77777777" w:rsidTr="00C04D59">
        <w:trPr>
          <w:trHeight w:val="822"/>
          <w:jc w:val="center"/>
        </w:trPr>
        <w:tc>
          <w:tcPr>
            <w:tcW w:w="521" w:type="dxa"/>
            <w:vMerge/>
            <w:tcBorders>
              <w:top w:val="single" w:sz="4" w:space="0" w:color="000000"/>
              <w:left w:val="single" w:sz="4" w:space="0" w:color="000000"/>
              <w:bottom w:val="single" w:sz="4" w:space="0" w:color="000000"/>
              <w:right w:val="single" w:sz="4" w:space="0" w:color="000000"/>
            </w:tcBorders>
            <w:vAlign w:val="center"/>
            <w:hideMark/>
          </w:tcPr>
          <w:p w14:paraId="102D0221" w14:textId="77777777" w:rsidR="00A13130" w:rsidRPr="00D822DC" w:rsidRDefault="00A13130" w:rsidP="00C04D59">
            <w:pPr>
              <w:jc w:val="both"/>
              <w:rPr>
                <w:rFonts w:ascii="Arial" w:eastAsia="Times New Roman" w:hAnsi="Arial" w:cs="Arial"/>
                <w:b/>
                <w:bCs/>
                <w:sz w:val="12"/>
                <w:szCs w:val="12"/>
                <w:lang w:eastAsia="fr-FR"/>
              </w:rPr>
            </w:pPr>
          </w:p>
        </w:tc>
        <w:tc>
          <w:tcPr>
            <w:tcW w:w="1113" w:type="dxa"/>
            <w:vMerge/>
            <w:tcBorders>
              <w:top w:val="nil"/>
              <w:left w:val="single" w:sz="4" w:space="0" w:color="000000"/>
              <w:bottom w:val="single" w:sz="4" w:space="0" w:color="000000"/>
              <w:right w:val="single" w:sz="4" w:space="0" w:color="000000"/>
            </w:tcBorders>
            <w:vAlign w:val="center"/>
            <w:hideMark/>
          </w:tcPr>
          <w:p w14:paraId="29B76503" w14:textId="77777777" w:rsidR="00A13130" w:rsidRPr="00D822DC" w:rsidRDefault="00A13130" w:rsidP="00C04D59">
            <w:pPr>
              <w:jc w:val="center"/>
              <w:rPr>
                <w:rFonts w:ascii="Arial" w:eastAsia="Times New Roman" w:hAnsi="Arial" w:cs="Arial"/>
                <w:b/>
                <w:bCs/>
                <w:sz w:val="12"/>
                <w:szCs w:val="12"/>
                <w:lang w:eastAsia="fr-FR"/>
              </w:rPr>
            </w:pPr>
          </w:p>
        </w:tc>
        <w:tc>
          <w:tcPr>
            <w:tcW w:w="3655" w:type="dxa"/>
            <w:tcBorders>
              <w:top w:val="nil"/>
              <w:left w:val="nil"/>
              <w:bottom w:val="single" w:sz="4" w:space="0" w:color="000000"/>
              <w:right w:val="single" w:sz="4" w:space="0" w:color="000000"/>
            </w:tcBorders>
            <w:shd w:val="clear" w:color="auto" w:fill="auto"/>
            <w:hideMark/>
          </w:tcPr>
          <w:p w14:paraId="7BAAE054"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Inadaptation des ouvrages et des systèmes prévus aux horizons de réalisation intermédiaires</w:t>
            </w:r>
          </w:p>
        </w:tc>
        <w:tc>
          <w:tcPr>
            <w:tcW w:w="3635" w:type="dxa"/>
            <w:tcBorders>
              <w:top w:val="nil"/>
              <w:left w:val="nil"/>
              <w:bottom w:val="single" w:sz="4" w:space="0" w:color="000000"/>
              <w:right w:val="single" w:sz="4" w:space="0" w:color="000000"/>
            </w:tcBorders>
            <w:shd w:val="clear" w:color="auto" w:fill="auto"/>
            <w:hideMark/>
          </w:tcPr>
          <w:p w14:paraId="656CF837"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Conception menée simultanément à l'échelle du réseau complet et à l'échelle de chacun des tronçons qui le constituent, à l'horizon cible et aux horizons intermédiaires</w:t>
            </w:r>
          </w:p>
        </w:tc>
        <w:tc>
          <w:tcPr>
            <w:tcW w:w="320" w:type="dxa"/>
            <w:vMerge/>
            <w:tcBorders>
              <w:top w:val="nil"/>
              <w:left w:val="single" w:sz="4" w:space="0" w:color="000000"/>
              <w:bottom w:val="single" w:sz="4" w:space="0" w:color="000000"/>
              <w:right w:val="single" w:sz="4" w:space="0" w:color="000000"/>
            </w:tcBorders>
            <w:vAlign w:val="center"/>
            <w:hideMark/>
          </w:tcPr>
          <w:p w14:paraId="207B4002" w14:textId="77777777" w:rsidR="00A13130" w:rsidRPr="00D822DC" w:rsidRDefault="00A13130" w:rsidP="00C04D59">
            <w:pPr>
              <w:rPr>
                <w:rFonts w:ascii="Arial" w:eastAsia="Times New Roman" w:hAnsi="Arial" w:cs="Arial"/>
                <w:b/>
                <w:bCs/>
                <w:sz w:val="12"/>
                <w:szCs w:val="12"/>
                <w:lang w:eastAsia="fr-FR"/>
              </w:rPr>
            </w:pPr>
          </w:p>
        </w:tc>
        <w:tc>
          <w:tcPr>
            <w:tcW w:w="2522" w:type="dxa"/>
            <w:tcBorders>
              <w:top w:val="single" w:sz="4" w:space="0" w:color="000000"/>
              <w:left w:val="nil"/>
              <w:bottom w:val="single" w:sz="4" w:space="0" w:color="000000"/>
              <w:right w:val="single" w:sz="4" w:space="0" w:color="000000"/>
            </w:tcBorders>
            <w:shd w:val="clear" w:color="000000" w:fill="EDEBE1"/>
            <w:vAlign w:val="center"/>
            <w:hideMark/>
          </w:tcPr>
          <w:p w14:paraId="33534107"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Oui, à travers la mise à jour régulière des prévisions de trafic</w:t>
            </w:r>
          </w:p>
        </w:tc>
        <w:tc>
          <w:tcPr>
            <w:tcW w:w="320" w:type="dxa"/>
            <w:tcBorders>
              <w:top w:val="nil"/>
              <w:left w:val="nil"/>
              <w:bottom w:val="single" w:sz="4" w:space="0" w:color="000000"/>
              <w:right w:val="single" w:sz="4" w:space="0" w:color="000000"/>
            </w:tcBorders>
            <w:shd w:val="clear" w:color="000000" w:fill="FFFFCC"/>
            <w:hideMark/>
          </w:tcPr>
          <w:p w14:paraId="1BF27B24"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textDirection w:val="btLr"/>
            <w:hideMark/>
          </w:tcPr>
          <w:p w14:paraId="406AE680"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Surcoûts en phase exploitation</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60198ED8"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Baisse des avantages associés à la fréquentation (gains de temps, externalités…)</w:t>
            </w:r>
          </w:p>
        </w:tc>
      </w:tr>
      <w:tr w:rsidR="00A13130" w:rsidRPr="00D822DC" w14:paraId="1BE1CF33" w14:textId="77777777" w:rsidTr="00C04D59">
        <w:trPr>
          <w:trHeight w:val="1116"/>
          <w:jc w:val="center"/>
        </w:trPr>
        <w:tc>
          <w:tcPr>
            <w:tcW w:w="521" w:type="dxa"/>
            <w:vMerge/>
            <w:tcBorders>
              <w:top w:val="single" w:sz="4" w:space="0" w:color="000000"/>
              <w:left w:val="single" w:sz="4" w:space="0" w:color="000000"/>
              <w:bottom w:val="single" w:sz="4" w:space="0" w:color="000000"/>
              <w:right w:val="single" w:sz="4" w:space="0" w:color="000000"/>
            </w:tcBorders>
            <w:vAlign w:val="center"/>
            <w:hideMark/>
          </w:tcPr>
          <w:p w14:paraId="7851751D" w14:textId="77777777" w:rsidR="00A13130" w:rsidRPr="00D822DC" w:rsidRDefault="00A13130" w:rsidP="00C04D59">
            <w:pPr>
              <w:jc w:val="both"/>
              <w:rPr>
                <w:rFonts w:ascii="Arial" w:eastAsia="Times New Roman" w:hAnsi="Arial" w:cs="Arial"/>
                <w:b/>
                <w:bCs/>
                <w:sz w:val="12"/>
                <w:szCs w:val="12"/>
                <w:lang w:eastAsia="fr-FR"/>
              </w:rPr>
            </w:pPr>
          </w:p>
        </w:tc>
        <w:tc>
          <w:tcPr>
            <w:tcW w:w="1113" w:type="dxa"/>
            <w:tcBorders>
              <w:top w:val="nil"/>
              <w:left w:val="nil"/>
              <w:bottom w:val="single" w:sz="4" w:space="0" w:color="000000"/>
              <w:right w:val="single" w:sz="4" w:space="0" w:color="000000"/>
            </w:tcBorders>
            <w:shd w:val="clear" w:color="000000" w:fill="F2F2F2"/>
            <w:vAlign w:val="center"/>
            <w:hideMark/>
          </w:tcPr>
          <w:p w14:paraId="6806CF05"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Effets sur les réseaux de transport existants</w:t>
            </w:r>
          </w:p>
        </w:tc>
        <w:tc>
          <w:tcPr>
            <w:tcW w:w="3655" w:type="dxa"/>
            <w:tcBorders>
              <w:top w:val="nil"/>
              <w:left w:val="nil"/>
              <w:bottom w:val="single" w:sz="4" w:space="0" w:color="000000"/>
              <w:right w:val="single" w:sz="4" w:space="0" w:color="000000"/>
            </w:tcBorders>
            <w:shd w:val="clear" w:color="auto" w:fill="auto"/>
            <w:hideMark/>
          </w:tcPr>
          <w:p w14:paraId="6840EBD3"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Surestimation de l'allègement des autres lignes de transport en commun</w:t>
            </w:r>
            <w:r w:rsidRPr="00D822DC">
              <w:rPr>
                <w:rFonts w:ascii="Arial" w:eastAsia="Times New Roman" w:hAnsi="Arial" w:cs="Arial"/>
                <w:sz w:val="12"/>
                <w:szCs w:val="12"/>
                <w:lang w:eastAsia="fr-FR"/>
              </w:rPr>
              <w:br/>
              <w:t>- Mauvaise prise en compte des adaptations des gares et des dessertes existantes</w:t>
            </w:r>
          </w:p>
        </w:tc>
        <w:tc>
          <w:tcPr>
            <w:tcW w:w="3635" w:type="dxa"/>
            <w:tcBorders>
              <w:top w:val="nil"/>
              <w:left w:val="nil"/>
              <w:bottom w:val="single" w:sz="4" w:space="0" w:color="000000"/>
              <w:right w:val="single" w:sz="4" w:space="0" w:color="000000"/>
            </w:tcBorders>
            <w:shd w:val="clear" w:color="auto" w:fill="auto"/>
            <w:hideMark/>
          </w:tcPr>
          <w:p w14:paraId="1DA3E4E8"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Recours à différents outils de modélisation du trafic prévisionnel</w:t>
            </w:r>
            <w:r w:rsidRPr="00D822DC">
              <w:rPr>
                <w:rFonts w:ascii="Arial" w:eastAsia="Times New Roman" w:hAnsi="Arial" w:cs="Arial"/>
                <w:sz w:val="12"/>
                <w:szCs w:val="12"/>
                <w:lang w:eastAsia="fr-FR"/>
              </w:rPr>
              <w:br/>
              <w:t>-  Actualisations  régulières  des  prévisions  de  trafic  pour  correspondre  aux  grandes  phases  d'études  de faisabilité  /  conception  et  prendre  en  compte  les  orientations  structurantes  du  projet  (schéma  d'ensemble, Nouveau Grand Paris...)</w:t>
            </w:r>
            <w:r w:rsidRPr="00D822DC">
              <w:rPr>
                <w:rFonts w:ascii="Arial" w:eastAsia="Times New Roman" w:hAnsi="Arial" w:cs="Arial"/>
                <w:sz w:val="12"/>
                <w:szCs w:val="12"/>
                <w:lang w:eastAsia="fr-FR"/>
              </w:rPr>
              <w:br/>
              <w:t>-  Etudes  visant  à  identifier  les  impacts  du  projet  sur  le  réseau  existant,  réalisées  par  les  opérateurs  et gestionnaires d'infrastructures et coordonnées avec la phase de conception du Grand Paris Express</w:t>
            </w:r>
            <w:r w:rsidRPr="00D822DC">
              <w:rPr>
                <w:rFonts w:ascii="Arial" w:eastAsia="Times New Roman" w:hAnsi="Arial" w:cs="Arial"/>
                <w:sz w:val="12"/>
                <w:szCs w:val="12"/>
                <w:lang w:eastAsia="fr-FR"/>
              </w:rPr>
              <w:br/>
              <w:t>-  Provision de 1,5 milliard d'euros pour traiter les adaptations des réseaux existants</w:t>
            </w:r>
          </w:p>
        </w:tc>
        <w:tc>
          <w:tcPr>
            <w:tcW w:w="320" w:type="dxa"/>
            <w:vMerge/>
            <w:tcBorders>
              <w:top w:val="nil"/>
              <w:left w:val="single" w:sz="4" w:space="0" w:color="000000"/>
              <w:bottom w:val="single" w:sz="4" w:space="0" w:color="000000"/>
              <w:right w:val="single" w:sz="4" w:space="0" w:color="000000"/>
            </w:tcBorders>
            <w:vAlign w:val="center"/>
            <w:hideMark/>
          </w:tcPr>
          <w:p w14:paraId="3391574C" w14:textId="77777777" w:rsidR="00A13130" w:rsidRPr="00D822DC" w:rsidRDefault="00A13130" w:rsidP="00C04D59">
            <w:pPr>
              <w:rPr>
                <w:rFonts w:ascii="Arial" w:eastAsia="Times New Roman" w:hAnsi="Arial" w:cs="Arial"/>
                <w:b/>
                <w:bCs/>
                <w:sz w:val="12"/>
                <w:szCs w:val="12"/>
                <w:lang w:eastAsia="fr-FR"/>
              </w:rPr>
            </w:pPr>
          </w:p>
        </w:tc>
        <w:tc>
          <w:tcPr>
            <w:tcW w:w="2522" w:type="dxa"/>
            <w:tcBorders>
              <w:top w:val="single" w:sz="4" w:space="0" w:color="000000"/>
              <w:left w:val="nil"/>
              <w:bottom w:val="single" w:sz="4" w:space="0" w:color="000000"/>
              <w:right w:val="single" w:sz="4" w:space="0" w:color="000000"/>
            </w:tcBorders>
            <w:shd w:val="clear" w:color="000000" w:fill="EDEBE1"/>
            <w:vAlign w:val="center"/>
            <w:hideMark/>
          </w:tcPr>
          <w:p w14:paraId="69CECF3B"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Oui, à travers la mise à jour régulière des prévisions de trafic</w:t>
            </w:r>
          </w:p>
        </w:tc>
        <w:tc>
          <w:tcPr>
            <w:tcW w:w="320" w:type="dxa"/>
            <w:tcBorders>
              <w:top w:val="nil"/>
              <w:left w:val="nil"/>
              <w:bottom w:val="single" w:sz="4" w:space="0" w:color="000000"/>
              <w:right w:val="single" w:sz="4" w:space="0" w:color="000000"/>
            </w:tcBorders>
            <w:shd w:val="clear" w:color="000000" w:fill="FFFFCC"/>
            <w:hideMark/>
          </w:tcPr>
          <w:p w14:paraId="3DF0F55B"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950" w:type="dxa"/>
            <w:tcBorders>
              <w:top w:val="nil"/>
              <w:left w:val="nil"/>
              <w:bottom w:val="single" w:sz="4" w:space="0" w:color="000000"/>
              <w:right w:val="single" w:sz="4" w:space="0" w:color="000000"/>
            </w:tcBorders>
            <w:shd w:val="clear" w:color="000000" w:fill="F2F2F2"/>
            <w:textDirection w:val="btLr"/>
            <w:hideMark/>
          </w:tcPr>
          <w:p w14:paraId="6001859D"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Surcoûts d'investissements</w:t>
            </w:r>
          </w:p>
        </w:tc>
        <w:tc>
          <w:tcPr>
            <w:tcW w:w="1134" w:type="dxa"/>
            <w:gridSpan w:val="2"/>
            <w:tcBorders>
              <w:top w:val="nil"/>
              <w:left w:val="nil"/>
              <w:bottom w:val="single" w:sz="4" w:space="0" w:color="000000"/>
              <w:right w:val="single" w:sz="4" w:space="0" w:color="000000"/>
            </w:tcBorders>
            <w:shd w:val="clear" w:color="000000" w:fill="F2F2F2"/>
            <w:textDirection w:val="btLr"/>
            <w:hideMark/>
          </w:tcPr>
          <w:p w14:paraId="356FC4E8"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Baisse des avantages</w:t>
            </w:r>
          </w:p>
        </w:tc>
      </w:tr>
      <w:tr w:rsidR="00A13130" w:rsidRPr="00D822DC" w14:paraId="6A6D82D1" w14:textId="77777777" w:rsidTr="00C04D59">
        <w:trPr>
          <w:gridAfter w:val="1"/>
          <w:wAfter w:w="792" w:type="dxa"/>
          <w:trHeight w:val="376"/>
          <w:jc w:val="center"/>
        </w:trPr>
        <w:tc>
          <w:tcPr>
            <w:tcW w:w="521" w:type="dxa"/>
            <w:tcBorders>
              <w:top w:val="single" w:sz="4" w:space="0" w:color="auto"/>
            </w:tcBorders>
            <w:shd w:val="clear" w:color="auto" w:fill="auto"/>
            <w:vAlign w:val="center"/>
          </w:tcPr>
          <w:p w14:paraId="40D6A5FA" w14:textId="77777777" w:rsidR="00A13130" w:rsidRPr="00D822DC" w:rsidRDefault="00A13130" w:rsidP="00C04D59">
            <w:pPr>
              <w:jc w:val="both"/>
              <w:rPr>
                <w:rFonts w:ascii="Arial" w:eastAsia="Times New Roman" w:hAnsi="Arial" w:cs="Arial"/>
                <w:sz w:val="12"/>
                <w:szCs w:val="12"/>
                <w:lang w:eastAsia="fr-FR"/>
              </w:rPr>
            </w:pPr>
          </w:p>
        </w:tc>
        <w:tc>
          <w:tcPr>
            <w:tcW w:w="1113" w:type="dxa"/>
            <w:tcBorders>
              <w:top w:val="single" w:sz="4" w:space="0" w:color="auto"/>
            </w:tcBorders>
            <w:shd w:val="clear" w:color="auto" w:fill="auto"/>
            <w:vAlign w:val="center"/>
          </w:tcPr>
          <w:p w14:paraId="05AA487B" w14:textId="77777777" w:rsidR="00A13130" w:rsidRPr="00D822DC" w:rsidRDefault="00A13130" w:rsidP="00C04D59">
            <w:pPr>
              <w:rPr>
                <w:rFonts w:ascii="Arial" w:eastAsia="Times New Roman" w:hAnsi="Arial" w:cs="Arial"/>
                <w:sz w:val="12"/>
                <w:szCs w:val="12"/>
                <w:lang w:eastAsia="fr-FR"/>
              </w:rPr>
            </w:pPr>
          </w:p>
        </w:tc>
        <w:tc>
          <w:tcPr>
            <w:tcW w:w="3655" w:type="dxa"/>
            <w:tcBorders>
              <w:top w:val="single" w:sz="4" w:space="0" w:color="auto"/>
            </w:tcBorders>
            <w:shd w:val="clear" w:color="auto" w:fill="auto"/>
            <w:vAlign w:val="center"/>
          </w:tcPr>
          <w:p w14:paraId="70AB564C" w14:textId="77777777" w:rsidR="00A13130" w:rsidRPr="00D822DC" w:rsidRDefault="00A13130" w:rsidP="00C04D59">
            <w:pPr>
              <w:rPr>
                <w:rFonts w:ascii="Arial" w:eastAsia="Times New Roman" w:hAnsi="Arial" w:cs="Arial"/>
                <w:sz w:val="12"/>
                <w:szCs w:val="12"/>
                <w:lang w:eastAsia="fr-FR"/>
              </w:rPr>
            </w:pPr>
          </w:p>
        </w:tc>
        <w:tc>
          <w:tcPr>
            <w:tcW w:w="3635" w:type="dxa"/>
            <w:tcBorders>
              <w:top w:val="single" w:sz="4" w:space="0" w:color="auto"/>
            </w:tcBorders>
            <w:shd w:val="clear" w:color="auto" w:fill="auto"/>
            <w:vAlign w:val="center"/>
          </w:tcPr>
          <w:p w14:paraId="781A839D" w14:textId="77777777" w:rsidR="00A13130" w:rsidRPr="00D822DC" w:rsidRDefault="00A13130" w:rsidP="00C04D59">
            <w:pPr>
              <w:rPr>
                <w:rFonts w:ascii="Arial" w:eastAsia="Times New Roman" w:hAnsi="Arial" w:cs="Arial"/>
                <w:sz w:val="12"/>
                <w:szCs w:val="12"/>
                <w:lang w:eastAsia="fr-FR"/>
              </w:rPr>
            </w:pPr>
          </w:p>
        </w:tc>
        <w:tc>
          <w:tcPr>
            <w:tcW w:w="3162" w:type="dxa"/>
            <w:gridSpan w:val="3"/>
            <w:tcBorders>
              <w:top w:val="single" w:sz="4" w:space="0" w:color="auto"/>
            </w:tcBorders>
            <w:shd w:val="clear" w:color="auto" w:fill="auto"/>
            <w:noWrap/>
          </w:tcPr>
          <w:p w14:paraId="2C380E5B" w14:textId="77777777" w:rsidR="00A13130" w:rsidRPr="00D822DC" w:rsidRDefault="00A13130" w:rsidP="00C04D59">
            <w:pPr>
              <w:rPr>
                <w:rFonts w:ascii="Arial" w:eastAsia="Times New Roman" w:hAnsi="Arial" w:cs="Arial"/>
                <w:sz w:val="12"/>
                <w:szCs w:val="12"/>
                <w:lang w:eastAsia="fr-FR"/>
              </w:rPr>
            </w:pPr>
          </w:p>
        </w:tc>
        <w:tc>
          <w:tcPr>
            <w:tcW w:w="1292" w:type="dxa"/>
            <w:gridSpan w:val="2"/>
            <w:tcBorders>
              <w:top w:val="single" w:sz="4" w:space="0" w:color="auto"/>
            </w:tcBorders>
            <w:shd w:val="clear" w:color="auto" w:fill="auto"/>
            <w:vAlign w:val="center"/>
          </w:tcPr>
          <w:p w14:paraId="7D8B7752" w14:textId="77777777" w:rsidR="00A13130" w:rsidRPr="00D822DC" w:rsidRDefault="00A13130" w:rsidP="00C04D59">
            <w:pPr>
              <w:rPr>
                <w:rFonts w:ascii="Arial" w:eastAsia="Times New Roman" w:hAnsi="Arial" w:cs="Arial"/>
                <w:b/>
                <w:bCs/>
                <w:sz w:val="12"/>
                <w:szCs w:val="12"/>
                <w:lang w:eastAsia="fr-FR"/>
              </w:rPr>
            </w:pPr>
          </w:p>
        </w:tc>
      </w:tr>
      <w:tr w:rsidR="00A13130" w:rsidRPr="00D822DC" w14:paraId="1A457026" w14:textId="77777777" w:rsidTr="00C04D59">
        <w:trPr>
          <w:gridAfter w:val="1"/>
          <w:wAfter w:w="792" w:type="dxa"/>
          <w:trHeight w:val="303"/>
          <w:jc w:val="center"/>
        </w:trPr>
        <w:tc>
          <w:tcPr>
            <w:tcW w:w="521" w:type="dxa"/>
            <w:shd w:val="clear" w:color="auto" w:fill="auto"/>
            <w:vAlign w:val="center"/>
            <w:hideMark/>
          </w:tcPr>
          <w:p w14:paraId="064079D9" w14:textId="77777777" w:rsidR="00A13130" w:rsidRPr="00D822DC" w:rsidRDefault="00A13130" w:rsidP="00C04D59">
            <w:pPr>
              <w:jc w:val="both"/>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1113" w:type="dxa"/>
            <w:shd w:val="clear" w:color="auto" w:fill="auto"/>
            <w:vAlign w:val="center"/>
            <w:hideMark/>
          </w:tcPr>
          <w:p w14:paraId="728F3F36"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7290" w:type="dxa"/>
            <w:gridSpan w:val="2"/>
            <w:vMerge w:val="restart"/>
            <w:shd w:val="clear" w:color="auto" w:fill="auto"/>
            <w:vAlign w:val="center"/>
            <w:hideMark/>
          </w:tcPr>
          <w:p w14:paraId="7C790275" w14:textId="77777777" w:rsidR="00A13130" w:rsidRPr="00D822DC" w:rsidRDefault="00A13130" w:rsidP="00C04D59">
            <w:pPr>
              <w:jc w:val="center"/>
              <w:rPr>
                <w:rFonts w:ascii="Arial" w:eastAsia="Times New Roman" w:hAnsi="Arial" w:cs="Arial"/>
                <w:sz w:val="12"/>
                <w:szCs w:val="12"/>
                <w:lang w:eastAsia="fr-FR"/>
              </w:rPr>
            </w:pPr>
            <w:r w:rsidRPr="00D822DC">
              <w:rPr>
                <w:rFonts w:ascii="Arial" w:eastAsia="Times New Roman" w:hAnsi="Arial" w:cs="Arial"/>
                <w:b/>
                <w:bCs/>
                <w:sz w:val="12"/>
                <w:szCs w:val="12"/>
                <w:lang w:eastAsia="fr-FR"/>
              </w:rPr>
              <w:t>La criticité est définie comme le produit de la probabilité d'occurrence du risque par son niveau de gravité. Dans l’appréciation qualitative apportée ici, la probabilité d’occurrence est tempérée par la prise en compte des mesures préventives identifiées dans la présente cartographie.</w:t>
            </w:r>
          </w:p>
        </w:tc>
        <w:tc>
          <w:tcPr>
            <w:tcW w:w="3162" w:type="dxa"/>
            <w:gridSpan w:val="3"/>
            <w:shd w:val="clear" w:color="auto" w:fill="FFFFCC"/>
            <w:noWrap/>
            <w:vAlign w:val="center"/>
            <w:hideMark/>
          </w:tcPr>
          <w:p w14:paraId="49604ED8" w14:textId="77777777" w:rsidR="00A13130" w:rsidRPr="00D822DC" w:rsidRDefault="00A13130" w:rsidP="00C04D59">
            <w:pPr>
              <w:jc w:val="center"/>
              <w:rPr>
                <w:rFonts w:ascii="Arial" w:eastAsia="Times New Roman" w:hAnsi="Arial" w:cs="Arial"/>
                <w:sz w:val="12"/>
                <w:szCs w:val="12"/>
                <w:lang w:eastAsia="fr-FR"/>
              </w:rPr>
            </w:pPr>
          </w:p>
        </w:tc>
        <w:tc>
          <w:tcPr>
            <w:tcW w:w="1292" w:type="dxa"/>
            <w:gridSpan w:val="2"/>
            <w:shd w:val="clear" w:color="auto" w:fill="auto"/>
            <w:vAlign w:val="center"/>
            <w:hideMark/>
          </w:tcPr>
          <w:p w14:paraId="0EBD968E"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Criticité faible</w:t>
            </w:r>
          </w:p>
        </w:tc>
      </w:tr>
      <w:tr w:rsidR="00A13130" w:rsidRPr="00D822DC" w14:paraId="243C28D6" w14:textId="77777777" w:rsidTr="00C04D59">
        <w:trPr>
          <w:gridAfter w:val="1"/>
          <w:wAfter w:w="792" w:type="dxa"/>
          <w:trHeight w:val="303"/>
          <w:jc w:val="center"/>
        </w:trPr>
        <w:tc>
          <w:tcPr>
            <w:tcW w:w="521" w:type="dxa"/>
            <w:shd w:val="clear" w:color="auto" w:fill="auto"/>
            <w:hideMark/>
          </w:tcPr>
          <w:p w14:paraId="74EC1BDF" w14:textId="77777777" w:rsidR="00A13130" w:rsidRPr="00D822DC" w:rsidRDefault="00A13130" w:rsidP="00C04D59">
            <w:pPr>
              <w:jc w:val="both"/>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1113" w:type="dxa"/>
            <w:shd w:val="clear" w:color="auto" w:fill="auto"/>
            <w:hideMark/>
          </w:tcPr>
          <w:p w14:paraId="20F63173"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7290" w:type="dxa"/>
            <w:gridSpan w:val="2"/>
            <w:vMerge/>
            <w:shd w:val="clear" w:color="auto" w:fill="auto"/>
            <w:vAlign w:val="center"/>
            <w:hideMark/>
          </w:tcPr>
          <w:p w14:paraId="1FD3D0F0" w14:textId="77777777" w:rsidR="00A13130" w:rsidRPr="00D822DC" w:rsidRDefault="00A13130" w:rsidP="00C04D59">
            <w:pPr>
              <w:jc w:val="center"/>
              <w:rPr>
                <w:rFonts w:ascii="Arial" w:eastAsia="Times New Roman" w:hAnsi="Arial" w:cs="Arial"/>
                <w:sz w:val="12"/>
                <w:szCs w:val="12"/>
                <w:lang w:eastAsia="fr-FR"/>
              </w:rPr>
            </w:pPr>
          </w:p>
        </w:tc>
        <w:tc>
          <w:tcPr>
            <w:tcW w:w="3162" w:type="dxa"/>
            <w:gridSpan w:val="3"/>
            <w:shd w:val="clear" w:color="auto" w:fill="FFBF00"/>
            <w:vAlign w:val="center"/>
            <w:hideMark/>
          </w:tcPr>
          <w:p w14:paraId="1C033798" w14:textId="77777777" w:rsidR="00A13130" w:rsidRPr="00D822DC" w:rsidRDefault="00A13130" w:rsidP="00C04D59">
            <w:pPr>
              <w:jc w:val="center"/>
              <w:rPr>
                <w:rFonts w:ascii="Arial" w:eastAsia="Times New Roman" w:hAnsi="Arial" w:cs="Arial"/>
                <w:sz w:val="12"/>
                <w:szCs w:val="12"/>
                <w:lang w:eastAsia="fr-FR"/>
              </w:rPr>
            </w:pPr>
          </w:p>
        </w:tc>
        <w:tc>
          <w:tcPr>
            <w:tcW w:w="1292" w:type="dxa"/>
            <w:gridSpan w:val="2"/>
            <w:shd w:val="clear" w:color="auto" w:fill="auto"/>
            <w:vAlign w:val="center"/>
            <w:hideMark/>
          </w:tcPr>
          <w:p w14:paraId="427882BB"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Criticité moyenne</w:t>
            </w:r>
          </w:p>
        </w:tc>
      </w:tr>
      <w:tr w:rsidR="00A13130" w:rsidRPr="00D822DC" w14:paraId="59CB4BA0" w14:textId="77777777" w:rsidTr="00C04D59">
        <w:trPr>
          <w:gridAfter w:val="1"/>
          <w:wAfter w:w="792" w:type="dxa"/>
          <w:trHeight w:val="303"/>
          <w:jc w:val="center"/>
        </w:trPr>
        <w:tc>
          <w:tcPr>
            <w:tcW w:w="521" w:type="dxa"/>
            <w:shd w:val="clear" w:color="auto" w:fill="auto"/>
            <w:vAlign w:val="center"/>
            <w:hideMark/>
          </w:tcPr>
          <w:p w14:paraId="32F7589C" w14:textId="77777777" w:rsidR="00A13130" w:rsidRPr="00D822DC" w:rsidRDefault="00A13130" w:rsidP="00C04D59">
            <w:pPr>
              <w:jc w:val="both"/>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1113" w:type="dxa"/>
            <w:shd w:val="clear" w:color="auto" w:fill="auto"/>
            <w:vAlign w:val="center"/>
            <w:hideMark/>
          </w:tcPr>
          <w:p w14:paraId="560F1B5B" w14:textId="77777777" w:rsidR="00A13130" w:rsidRPr="00D822DC" w:rsidRDefault="00A13130" w:rsidP="00C04D59">
            <w:pPr>
              <w:rPr>
                <w:rFonts w:ascii="Arial" w:eastAsia="Times New Roman" w:hAnsi="Arial" w:cs="Arial"/>
                <w:sz w:val="12"/>
                <w:szCs w:val="12"/>
                <w:lang w:eastAsia="fr-FR"/>
              </w:rPr>
            </w:pPr>
            <w:r w:rsidRPr="00D822DC">
              <w:rPr>
                <w:rFonts w:ascii="Arial" w:eastAsia="Times New Roman" w:hAnsi="Arial" w:cs="Arial"/>
                <w:sz w:val="12"/>
                <w:szCs w:val="12"/>
                <w:lang w:eastAsia="fr-FR"/>
              </w:rPr>
              <w:t> </w:t>
            </w:r>
          </w:p>
        </w:tc>
        <w:tc>
          <w:tcPr>
            <w:tcW w:w="7290" w:type="dxa"/>
            <w:gridSpan w:val="2"/>
            <w:vMerge/>
            <w:shd w:val="clear" w:color="auto" w:fill="auto"/>
            <w:vAlign w:val="center"/>
            <w:hideMark/>
          </w:tcPr>
          <w:p w14:paraId="1C99653A" w14:textId="77777777" w:rsidR="00A13130" w:rsidRPr="00D822DC" w:rsidRDefault="00A13130" w:rsidP="00C04D59">
            <w:pPr>
              <w:jc w:val="center"/>
              <w:rPr>
                <w:rFonts w:ascii="Arial" w:eastAsia="Times New Roman" w:hAnsi="Arial" w:cs="Arial"/>
                <w:sz w:val="12"/>
                <w:szCs w:val="12"/>
                <w:lang w:eastAsia="fr-FR"/>
              </w:rPr>
            </w:pPr>
          </w:p>
        </w:tc>
        <w:tc>
          <w:tcPr>
            <w:tcW w:w="3162" w:type="dxa"/>
            <w:gridSpan w:val="3"/>
            <w:shd w:val="clear" w:color="auto" w:fill="E26B0A"/>
            <w:noWrap/>
            <w:vAlign w:val="center"/>
            <w:hideMark/>
          </w:tcPr>
          <w:p w14:paraId="43CD1C84" w14:textId="77777777" w:rsidR="00A13130" w:rsidRPr="00D822DC" w:rsidRDefault="00A13130" w:rsidP="00C04D59">
            <w:pPr>
              <w:jc w:val="center"/>
              <w:rPr>
                <w:rFonts w:ascii="Arial" w:eastAsia="Times New Roman" w:hAnsi="Arial" w:cs="Arial"/>
                <w:sz w:val="12"/>
                <w:szCs w:val="12"/>
                <w:lang w:eastAsia="fr-FR"/>
              </w:rPr>
            </w:pPr>
          </w:p>
        </w:tc>
        <w:tc>
          <w:tcPr>
            <w:tcW w:w="1292" w:type="dxa"/>
            <w:gridSpan w:val="2"/>
            <w:shd w:val="clear" w:color="auto" w:fill="auto"/>
            <w:vAlign w:val="center"/>
            <w:hideMark/>
          </w:tcPr>
          <w:p w14:paraId="2ECBC181" w14:textId="77777777" w:rsidR="00A13130" w:rsidRPr="00D822DC" w:rsidRDefault="00A13130" w:rsidP="00C04D59">
            <w:pPr>
              <w:jc w:val="center"/>
              <w:rPr>
                <w:rFonts w:ascii="Arial" w:eastAsia="Times New Roman" w:hAnsi="Arial" w:cs="Arial"/>
                <w:b/>
                <w:bCs/>
                <w:sz w:val="12"/>
                <w:szCs w:val="12"/>
                <w:lang w:eastAsia="fr-FR"/>
              </w:rPr>
            </w:pPr>
            <w:r w:rsidRPr="00D822DC">
              <w:rPr>
                <w:rFonts w:ascii="Arial" w:eastAsia="Times New Roman" w:hAnsi="Arial" w:cs="Arial"/>
                <w:b/>
                <w:bCs/>
                <w:sz w:val="12"/>
                <w:szCs w:val="12"/>
                <w:lang w:eastAsia="fr-FR"/>
              </w:rPr>
              <w:t>Criticité forte</w:t>
            </w:r>
          </w:p>
        </w:tc>
      </w:tr>
    </w:tbl>
    <w:p w14:paraId="6FAD56FB" w14:textId="318C7C4C" w:rsidR="008C45C5" w:rsidRDefault="008C45C5" w:rsidP="004C4CA3">
      <w:pPr>
        <w:jc w:val="both"/>
      </w:pPr>
    </w:p>
    <w:p w14:paraId="67EED697" w14:textId="77777777" w:rsidR="005649FD" w:rsidRDefault="005649FD" w:rsidP="004C4CA3">
      <w:pPr>
        <w:jc w:val="both"/>
      </w:pPr>
    </w:p>
    <w:p w14:paraId="50AB3EFD" w14:textId="77777777" w:rsidR="005649FD" w:rsidRDefault="005649FD" w:rsidP="004C4CA3">
      <w:pPr>
        <w:jc w:val="both"/>
      </w:pPr>
    </w:p>
    <w:p w14:paraId="3BCF6229" w14:textId="77777777" w:rsidR="00A13130" w:rsidRDefault="00A13130" w:rsidP="004C4CA3">
      <w:pPr>
        <w:jc w:val="both"/>
        <w:sectPr w:rsidR="00A13130" w:rsidSect="00A13130">
          <w:pgSz w:w="23818" w:h="16838" w:orient="landscape"/>
          <w:pgMar w:top="1418" w:right="1418" w:bottom="1418" w:left="1418" w:header="709" w:footer="709" w:gutter="0"/>
          <w:cols w:space="708"/>
          <w:docGrid w:linePitch="272"/>
        </w:sectPr>
      </w:pPr>
    </w:p>
    <w:p w14:paraId="549C4B79" w14:textId="3B515FA7" w:rsidR="005649FD" w:rsidRDefault="005649FD" w:rsidP="004C4CA3">
      <w:pPr>
        <w:jc w:val="both"/>
      </w:pPr>
    </w:p>
    <w:p w14:paraId="0B083973" w14:textId="77777777" w:rsidR="005649FD" w:rsidRDefault="005649FD" w:rsidP="004C4CA3">
      <w:pPr>
        <w:jc w:val="both"/>
      </w:pPr>
    </w:p>
    <w:tbl>
      <w:tblPr>
        <w:tblW w:w="14297" w:type="dxa"/>
        <w:jc w:val="center"/>
        <w:tblCellMar>
          <w:left w:w="70" w:type="dxa"/>
          <w:right w:w="70" w:type="dxa"/>
        </w:tblCellMar>
        <w:tblLook w:val="04A0" w:firstRow="1" w:lastRow="0" w:firstColumn="1" w:lastColumn="0" w:noHBand="0" w:noVBand="1"/>
      </w:tblPr>
      <w:tblGrid>
        <w:gridCol w:w="584"/>
        <w:gridCol w:w="1406"/>
        <w:gridCol w:w="1995"/>
        <w:gridCol w:w="5508"/>
        <w:gridCol w:w="708"/>
        <w:gridCol w:w="2241"/>
        <w:gridCol w:w="613"/>
        <w:gridCol w:w="632"/>
        <w:gridCol w:w="610"/>
      </w:tblGrid>
      <w:tr w:rsidR="00A13130" w:rsidRPr="0052232C" w14:paraId="3C9F9A2A" w14:textId="77777777" w:rsidTr="00A13130">
        <w:trPr>
          <w:trHeight w:val="681"/>
          <w:tblHeader/>
          <w:jc w:val="center"/>
        </w:trPr>
        <w:tc>
          <w:tcPr>
            <w:tcW w:w="584" w:type="dxa"/>
            <w:vMerge w:val="restart"/>
            <w:tcBorders>
              <w:top w:val="single" w:sz="4" w:space="0" w:color="000000"/>
              <w:left w:val="single" w:sz="4" w:space="0" w:color="000000"/>
              <w:bottom w:val="single" w:sz="4" w:space="0" w:color="000000"/>
              <w:right w:val="single" w:sz="4" w:space="0" w:color="000000"/>
            </w:tcBorders>
            <w:shd w:val="clear" w:color="000000" w:fill="666699"/>
            <w:vAlign w:val="center"/>
            <w:hideMark/>
          </w:tcPr>
          <w:p w14:paraId="7EC7680D" w14:textId="77777777" w:rsidR="00A13130" w:rsidRPr="0052232C" w:rsidRDefault="00A13130" w:rsidP="00C04D59">
            <w:pPr>
              <w:jc w:val="center"/>
              <w:rPr>
                <w:rFonts w:ascii="Arial" w:eastAsia="Times New Roman" w:hAnsi="Arial" w:cs="Arial"/>
                <w:b/>
                <w:bCs/>
                <w:color w:val="FFFFFF" w:themeColor="background1"/>
                <w:sz w:val="14"/>
                <w:szCs w:val="14"/>
                <w:lang w:eastAsia="fr-FR"/>
              </w:rPr>
            </w:pPr>
            <w:r w:rsidRPr="0052232C">
              <w:rPr>
                <w:rFonts w:ascii="Arial" w:eastAsia="Times New Roman" w:hAnsi="Arial" w:cs="Arial"/>
                <w:b/>
                <w:bCs/>
                <w:color w:val="FFFFFF" w:themeColor="background1"/>
                <w:sz w:val="14"/>
                <w:szCs w:val="14"/>
                <w:lang w:eastAsia="fr-FR"/>
              </w:rPr>
              <w:t>CATEGORIES</w:t>
            </w:r>
          </w:p>
        </w:tc>
        <w:tc>
          <w:tcPr>
            <w:tcW w:w="1406" w:type="dxa"/>
            <w:vMerge w:val="restart"/>
            <w:tcBorders>
              <w:top w:val="nil"/>
              <w:left w:val="single" w:sz="4" w:space="0" w:color="000000"/>
              <w:bottom w:val="single" w:sz="4" w:space="0" w:color="000000"/>
              <w:right w:val="single" w:sz="4" w:space="0" w:color="000000"/>
            </w:tcBorders>
            <w:shd w:val="clear" w:color="000000" w:fill="666699"/>
            <w:vAlign w:val="center"/>
            <w:hideMark/>
          </w:tcPr>
          <w:p w14:paraId="42EFBADA" w14:textId="77777777" w:rsidR="00A13130" w:rsidRPr="0052232C" w:rsidRDefault="00A13130" w:rsidP="00C04D59">
            <w:pPr>
              <w:jc w:val="center"/>
              <w:rPr>
                <w:rFonts w:ascii="Arial" w:eastAsia="Times New Roman" w:hAnsi="Arial" w:cs="Arial"/>
                <w:b/>
                <w:bCs/>
                <w:color w:val="FFFFFF" w:themeColor="background1"/>
                <w:sz w:val="14"/>
                <w:szCs w:val="14"/>
                <w:lang w:eastAsia="fr-FR"/>
              </w:rPr>
            </w:pPr>
            <w:r w:rsidRPr="0052232C">
              <w:rPr>
                <w:rFonts w:ascii="Arial" w:eastAsia="Times New Roman" w:hAnsi="Arial" w:cs="Arial"/>
                <w:b/>
                <w:bCs/>
                <w:color w:val="FFFFFF" w:themeColor="background1"/>
                <w:sz w:val="14"/>
                <w:szCs w:val="14"/>
                <w:lang w:eastAsia="fr-FR"/>
              </w:rPr>
              <w:t>SOUS- CATEGORIES</w:t>
            </w:r>
          </w:p>
        </w:tc>
        <w:tc>
          <w:tcPr>
            <w:tcW w:w="7503" w:type="dxa"/>
            <w:gridSpan w:val="2"/>
            <w:tcBorders>
              <w:top w:val="single" w:sz="4" w:space="0" w:color="000000"/>
              <w:left w:val="nil"/>
              <w:bottom w:val="single" w:sz="4" w:space="0" w:color="000000"/>
              <w:right w:val="single" w:sz="4" w:space="0" w:color="000000"/>
            </w:tcBorders>
            <w:shd w:val="clear" w:color="000000" w:fill="666699"/>
            <w:vAlign w:val="center"/>
            <w:hideMark/>
          </w:tcPr>
          <w:p w14:paraId="01E0080E" w14:textId="77777777" w:rsidR="00A13130" w:rsidRPr="0052232C" w:rsidRDefault="00A13130" w:rsidP="00C04D59">
            <w:pPr>
              <w:jc w:val="center"/>
              <w:rPr>
                <w:rFonts w:ascii="Arial" w:eastAsia="Times New Roman" w:hAnsi="Arial" w:cs="Arial"/>
                <w:b/>
                <w:bCs/>
                <w:color w:val="FFFFFF" w:themeColor="background1"/>
                <w:sz w:val="14"/>
                <w:szCs w:val="14"/>
                <w:lang w:eastAsia="fr-FR"/>
              </w:rPr>
            </w:pPr>
            <w:r w:rsidRPr="0052232C">
              <w:rPr>
                <w:rFonts w:ascii="Arial" w:eastAsia="Times New Roman" w:hAnsi="Arial" w:cs="Arial"/>
                <w:b/>
                <w:bCs/>
                <w:color w:val="FFFFFF" w:themeColor="background1"/>
                <w:sz w:val="14"/>
                <w:szCs w:val="14"/>
                <w:lang w:eastAsia="fr-FR"/>
              </w:rPr>
              <w:t>GRAND PARIS EXPRESS</w:t>
            </w:r>
          </w:p>
        </w:tc>
        <w:tc>
          <w:tcPr>
            <w:tcW w:w="708" w:type="dxa"/>
            <w:vMerge w:val="restart"/>
            <w:tcBorders>
              <w:top w:val="nil"/>
              <w:left w:val="single" w:sz="4" w:space="0" w:color="000000"/>
              <w:bottom w:val="single" w:sz="4" w:space="0" w:color="000000"/>
              <w:right w:val="single" w:sz="4" w:space="0" w:color="000000"/>
            </w:tcBorders>
            <w:shd w:val="clear" w:color="000000" w:fill="666699"/>
            <w:textDirection w:val="btLr"/>
            <w:vAlign w:val="center"/>
            <w:hideMark/>
          </w:tcPr>
          <w:p w14:paraId="0AA19FCF" w14:textId="77777777" w:rsidR="00A13130" w:rsidRPr="0052232C" w:rsidRDefault="00A13130" w:rsidP="00C04D59">
            <w:pPr>
              <w:jc w:val="center"/>
              <w:rPr>
                <w:rFonts w:ascii="Arial" w:eastAsia="Times New Roman" w:hAnsi="Arial" w:cs="Arial"/>
                <w:b/>
                <w:bCs/>
                <w:color w:val="FFFFFF" w:themeColor="background1"/>
                <w:sz w:val="14"/>
                <w:szCs w:val="14"/>
                <w:lang w:eastAsia="fr-FR"/>
              </w:rPr>
            </w:pPr>
            <w:r w:rsidRPr="0052232C">
              <w:rPr>
                <w:rFonts w:ascii="Arial" w:eastAsia="Times New Roman" w:hAnsi="Arial" w:cs="Arial"/>
                <w:b/>
                <w:bCs/>
                <w:color w:val="FFFFFF" w:themeColor="background1"/>
                <w:sz w:val="14"/>
                <w:szCs w:val="14"/>
                <w:lang w:eastAsia="fr-FR"/>
              </w:rPr>
              <w:t>PERIODE D'EXPOSITION</w:t>
            </w:r>
          </w:p>
        </w:tc>
        <w:tc>
          <w:tcPr>
            <w:tcW w:w="2241" w:type="dxa"/>
            <w:vMerge w:val="restart"/>
            <w:tcBorders>
              <w:top w:val="nil"/>
              <w:left w:val="single" w:sz="4" w:space="0" w:color="000000"/>
              <w:bottom w:val="single" w:sz="4" w:space="0" w:color="000000"/>
              <w:right w:val="single" w:sz="4" w:space="0" w:color="000000"/>
            </w:tcBorders>
            <w:shd w:val="clear" w:color="000000" w:fill="666699"/>
            <w:vAlign w:val="center"/>
            <w:hideMark/>
          </w:tcPr>
          <w:p w14:paraId="757C8DCF" w14:textId="77777777" w:rsidR="00A13130" w:rsidRPr="0052232C" w:rsidRDefault="00A13130" w:rsidP="00C04D59">
            <w:pPr>
              <w:jc w:val="center"/>
              <w:rPr>
                <w:rFonts w:ascii="Arial" w:eastAsia="Times New Roman" w:hAnsi="Arial" w:cs="Arial"/>
                <w:b/>
                <w:bCs/>
                <w:color w:val="FFFFFF" w:themeColor="background1"/>
                <w:sz w:val="14"/>
                <w:szCs w:val="14"/>
                <w:lang w:eastAsia="fr-FR"/>
              </w:rPr>
            </w:pPr>
            <w:r w:rsidRPr="0052232C">
              <w:rPr>
                <w:rFonts w:ascii="Arial" w:eastAsia="Times New Roman" w:hAnsi="Arial" w:cs="Arial"/>
                <w:b/>
                <w:bCs/>
                <w:color w:val="FFFFFF" w:themeColor="background1"/>
                <w:sz w:val="14"/>
                <w:szCs w:val="14"/>
                <w:lang w:eastAsia="fr-FR"/>
              </w:rPr>
              <w:t>INTEGRATION DU RISQUE DANS L'EVALUATION</w:t>
            </w:r>
          </w:p>
        </w:tc>
        <w:tc>
          <w:tcPr>
            <w:tcW w:w="613" w:type="dxa"/>
            <w:vMerge w:val="restart"/>
            <w:tcBorders>
              <w:top w:val="nil"/>
              <w:left w:val="single" w:sz="4" w:space="0" w:color="000000"/>
              <w:bottom w:val="single" w:sz="4" w:space="0" w:color="000000"/>
              <w:right w:val="single" w:sz="4" w:space="0" w:color="000000"/>
            </w:tcBorders>
            <w:shd w:val="clear" w:color="000000" w:fill="666699"/>
            <w:textDirection w:val="btLr"/>
            <w:vAlign w:val="center"/>
            <w:hideMark/>
          </w:tcPr>
          <w:p w14:paraId="46592537" w14:textId="77777777" w:rsidR="00A13130" w:rsidRPr="0052232C" w:rsidRDefault="00A13130" w:rsidP="00C04D59">
            <w:pPr>
              <w:jc w:val="center"/>
              <w:rPr>
                <w:rFonts w:ascii="Arial" w:eastAsia="Times New Roman" w:hAnsi="Arial" w:cs="Arial"/>
                <w:b/>
                <w:bCs/>
                <w:color w:val="FFFFFF" w:themeColor="background1"/>
                <w:sz w:val="14"/>
                <w:szCs w:val="14"/>
                <w:lang w:eastAsia="fr-FR"/>
              </w:rPr>
            </w:pPr>
            <w:r w:rsidRPr="0052232C">
              <w:rPr>
                <w:rFonts w:ascii="Arial" w:eastAsia="Times New Roman" w:hAnsi="Arial" w:cs="Arial"/>
                <w:b/>
                <w:bCs/>
                <w:color w:val="FFFFFF" w:themeColor="background1"/>
                <w:sz w:val="14"/>
                <w:szCs w:val="14"/>
                <w:lang w:eastAsia="fr-FR"/>
              </w:rPr>
              <w:t>CRITICITE</w:t>
            </w:r>
          </w:p>
        </w:tc>
        <w:tc>
          <w:tcPr>
            <w:tcW w:w="1242" w:type="dxa"/>
            <w:gridSpan w:val="2"/>
            <w:tcBorders>
              <w:top w:val="single" w:sz="4" w:space="0" w:color="000000"/>
              <w:left w:val="nil"/>
              <w:bottom w:val="single" w:sz="4" w:space="0" w:color="000000"/>
              <w:right w:val="single" w:sz="4" w:space="0" w:color="0000CF"/>
            </w:tcBorders>
            <w:shd w:val="clear" w:color="000000" w:fill="666699"/>
            <w:vAlign w:val="center"/>
            <w:hideMark/>
          </w:tcPr>
          <w:p w14:paraId="64F5969B" w14:textId="77777777" w:rsidR="00A13130" w:rsidRPr="0052232C" w:rsidRDefault="00A13130" w:rsidP="00C04D59">
            <w:pPr>
              <w:jc w:val="center"/>
              <w:rPr>
                <w:rFonts w:ascii="Arial" w:eastAsia="Times New Roman" w:hAnsi="Arial" w:cs="Arial"/>
                <w:b/>
                <w:bCs/>
                <w:color w:val="FFFFFF" w:themeColor="background1"/>
                <w:sz w:val="14"/>
                <w:szCs w:val="14"/>
                <w:lang w:eastAsia="fr-FR"/>
              </w:rPr>
            </w:pPr>
            <w:r w:rsidRPr="0052232C">
              <w:rPr>
                <w:rFonts w:ascii="Arial" w:eastAsia="Times New Roman" w:hAnsi="Arial" w:cs="Arial"/>
                <w:b/>
                <w:bCs/>
                <w:color w:val="FFFFFF" w:themeColor="background1"/>
                <w:sz w:val="14"/>
                <w:szCs w:val="14"/>
                <w:lang w:eastAsia="fr-FR"/>
              </w:rPr>
              <w:t>INCIDENCES SUR BILAN SOCIO- ECONOMIQUE</w:t>
            </w:r>
          </w:p>
        </w:tc>
      </w:tr>
      <w:tr w:rsidR="00A13130" w:rsidRPr="0052232C" w14:paraId="0EC3A9A8" w14:textId="77777777" w:rsidTr="00A13130">
        <w:trPr>
          <w:trHeight w:val="824"/>
          <w:tblHeader/>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51EA1FA3" w14:textId="77777777" w:rsidR="00A13130" w:rsidRPr="0052232C" w:rsidRDefault="00A13130" w:rsidP="00C04D59">
            <w:pPr>
              <w:jc w:val="center"/>
              <w:rPr>
                <w:rFonts w:ascii="Arial" w:eastAsia="Times New Roman" w:hAnsi="Arial" w:cs="Arial"/>
                <w:b/>
                <w:bCs/>
                <w:sz w:val="14"/>
                <w:szCs w:val="14"/>
                <w:lang w:eastAsia="fr-FR"/>
              </w:rPr>
            </w:pPr>
          </w:p>
        </w:tc>
        <w:tc>
          <w:tcPr>
            <w:tcW w:w="1406" w:type="dxa"/>
            <w:vMerge/>
            <w:tcBorders>
              <w:top w:val="nil"/>
              <w:left w:val="single" w:sz="4" w:space="0" w:color="000000"/>
              <w:bottom w:val="single" w:sz="4" w:space="0" w:color="000000"/>
              <w:right w:val="single" w:sz="4" w:space="0" w:color="000000"/>
            </w:tcBorders>
            <w:vAlign w:val="center"/>
            <w:hideMark/>
          </w:tcPr>
          <w:p w14:paraId="1DCC9D03" w14:textId="77777777" w:rsidR="00A13130" w:rsidRPr="0052232C" w:rsidRDefault="00A13130" w:rsidP="00C04D59">
            <w:pPr>
              <w:jc w:val="center"/>
              <w:rPr>
                <w:rFonts w:ascii="Arial" w:eastAsia="Times New Roman" w:hAnsi="Arial" w:cs="Arial"/>
                <w:b/>
                <w:bCs/>
                <w:sz w:val="14"/>
                <w:szCs w:val="14"/>
                <w:lang w:eastAsia="fr-FR"/>
              </w:rPr>
            </w:pPr>
          </w:p>
        </w:tc>
        <w:tc>
          <w:tcPr>
            <w:tcW w:w="1995" w:type="dxa"/>
            <w:tcBorders>
              <w:top w:val="nil"/>
              <w:left w:val="nil"/>
              <w:bottom w:val="single" w:sz="4" w:space="0" w:color="000000"/>
              <w:right w:val="single" w:sz="4" w:space="0" w:color="000000"/>
            </w:tcBorders>
            <w:shd w:val="clear" w:color="000000" w:fill="666699"/>
            <w:vAlign w:val="center"/>
            <w:hideMark/>
          </w:tcPr>
          <w:p w14:paraId="4DB04C0A" w14:textId="77777777" w:rsidR="00A13130" w:rsidRPr="0052232C" w:rsidRDefault="00A13130" w:rsidP="00C04D59">
            <w:pPr>
              <w:jc w:val="center"/>
              <w:rPr>
                <w:rFonts w:ascii="Arial" w:eastAsia="Times New Roman" w:hAnsi="Arial" w:cs="Arial"/>
                <w:b/>
                <w:bCs/>
                <w:color w:val="FFFFFF" w:themeColor="background1"/>
                <w:sz w:val="14"/>
                <w:szCs w:val="14"/>
                <w:lang w:eastAsia="fr-FR"/>
              </w:rPr>
            </w:pPr>
            <w:r w:rsidRPr="0052232C">
              <w:rPr>
                <w:rFonts w:ascii="Arial" w:eastAsia="Times New Roman" w:hAnsi="Arial" w:cs="Arial"/>
                <w:b/>
                <w:bCs/>
                <w:color w:val="FFFFFF" w:themeColor="background1"/>
                <w:sz w:val="14"/>
                <w:szCs w:val="14"/>
                <w:lang w:eastAsia="fr-FR"/>
              </w:rPr>
              <w:t>FACTEURS DE RISQUES</w:t>
            </w:r>
          </w:p>
        </w:tc>
        <w:tc>
          <w:tcPr>
            <w:tcW w:w="5508" w:type="dxa"/>
            <w:tcBorders>
              <w:top w:val="nil"/>
              <w:left w:val="nil"/>
              <w:bottom w:val="single" w:sz="4" w:space="0" w:color="000000"/>
              <w:right w:val="single" w:sz="4" w:space="0" w:color="000000"/>
            </w:tcBorders>
            <w:shd w:val="clear" w:color="000000" w:fill="666699"/>
            <w:vAlign w:val="center"/>
            <w:hideMark/>
          </w:tcPr>
          <w:p w14:paraId="7F61EE33" w14:textId="77777777" w:rsidR="00A13130" w:rsidRPr="0052232C" w:rsidRDefault="00A13130" w:rsidP="00C04D59">
            <w:pPr>
              <w:jc w:val="center"/>
              <w:rPr>
                <w:rFonts w:ascii="Arial" w:eastAsia="Times New Roman" w:hAnsi="Arial" w:cs="Arial"/>
                <w:b/>
                <w:bCs/>
                <w:color w:val="FFFFFF" w:themeColor="background1"/>
                <w:sz w:val="14"/>
                <w:szCs w:val="14"/>
                <w:lang w:eastAsia="fr-FR"/>
              </w:rPr>
            </w:pPr>
            <w:r w:rsidRPr="0052232C">
              <w:rPr>
                <w:rFonts w:ascii="Arial" w:eastAsia="Times New Roman" w:hAnsi="Arial" w:cs="Arial"/>
                <w:b/>
                <w:bCs/>
                <w:color w:val="FFFFFF" w:themeColor="background1"/>
                <w:sz w:val="14"/>
                <w:szCs w:val="14"/>
                <w:lang w:eastAsia="fr-FR"/>
              </w:rPr>
              <w:t>MESURES</w:t>
            </w:r>
          </w:p>
        </w:tc>
        <w:tc>
          <w:tcPr>
            <w:tcW w:w="708" w:type="dxa"/>
            <w:vMerge/>
            <w:tcBorders>
              <w:top w:val="nil"/>
              <w:left w:val="single" w:sz="4" w:space="0" w:color="000000"/>
              <w:bottom w:val="single" w:sz="4" w:space="0" w:color="000000"/>
              <w:right w:val="single" w:sz="4" w:space="0" w:color="000000"/>
            </w:tcBorders>
            <w:vAlign w:val="center"/>
            <w:hideMark/>
          </w:tcPr>
          <w:p w14:paraId="6AFC212C" w14:textId="77777777" w:rsidR="00A13130" w:rsidRPr="0052232C" w:rsidRDefault="00A13130" w:rsidP="00C04D59">
            <w:pPr>
              <w:jc w:val="center"/>
              <w:rPr>
                <w:rFonts w:ascii="Arial" w:eastAsia="Times New Roman" w:hAnsi="Arial" w:cs="Arial"/>
                <w:b/>
                <w:bCs/>
                <w:sz w:val="14"/>
                <w:szCs w:val="14"/>
                <w:lang w:eastAsia="fr-FR"/>
              </w:rPr>
            </w:pPr>
          </w:p>
        </w:tc>
        <w:tc>
          <w:tcPr>
            <w:tcW w:w="2241" w:type="dxa"/>
            <w:vMerge/>
            <w:tcBorders>
              <w:top w:val="nil"/>
              <w:left w:val="single" w:sz="4" w:space="0" w:color="000000"/>
              <w:bottom w:val="single" w:sz="4" w:space="0" w:color="000000"/>
              <w:right w:val="single" w:sz="4" w:space="0" w:color="000000"/>
            </w:tcBorders>
            <w:vAlign w:val="center"/>
            <w:hideMark/>
          </w:tcPr>
          <w:p w14:paraId="65917E8E" w14:textId="77777777" w:rsidR="00A13130" w:rsidRPr="0052232C" w:rsidRDefault="00A13130" w:rsidP="00C04D59">
            <w:pPr>
              <w:jc w:val="center"/>
              <w:rPr>
                <w:rFonts w:ascii="Arial" w:eastAsia="Times New Roman" w:hAnsi="Arial" w:cs="Arial"/>
                <w:b/>
                <w:bCs/>
                <w:sz w:val="14"/>
                <w:szCs w:val="14"/>
                <w:lang w:eastAsia="fr-FR"/>
              </w:rPr>
            </w:pPr>
          </w:p>
        </w:tc>
        <w:tc>
          <w:tcPr>
            <w:tcW w:w="613" w:type="dxa"/>
            <w:vMerge/>
            <w:tcBorders>
              <w:top w:val="nil"/>
              <w:left w:val="single" w:sz="4" w:space="0" w:color="000000"/>
              <w:bottom w:val="single" w:sz="4" w:space="0" w:color="000000"/>
              <w:right w:val="single" w:sz="4" w:space="0" w:color="000000"/>
            </w:tcBorders>
            <w:vAlign w:val="center"/>
            <w:hideMark/>
          </w:tcPr>
          <w:p w14:paraId="19B10B3E" w14:textId="77777777" w:rsidR="00A13130" w:rsidRPr="0052232C" w:rsidRDefault="00A13130" w:rsidP="00C04D59">
            <w:pPr>
              <w:jc w:val="center"/>
              <w:rPr>
                <w:rFonts w:ascii="Arial" w:eastAsia="Times New Roman" w:hAnsi="Arial" w:cs="Arial"/>
                <w:b/>
                <w:bCs/>
                <w:sz w:val="14"/>
                <w:szCs w:val="14"/>
                <w:lang w:eastAsia="fr-FR"/>
              </w:rPr>
            </w:pPr>
          </w:p>
        </w:tc>
        <w:tc>
          <w:tcPr>
            <w:tcW w:w="632" w:type="dxa"/>
            <w:tcBorders>
              <w:top w:val="nil"/>
              <w:left w:val="nil"/>
              <w:bottom w:val="single" w:sz="4" w:space="0" w:color="000000"/>
              <w:right w:val="single" w:sz="4" w:space="0" w:color="000000"/>
            </w:tcBorders>
            <w:shd w:val="clear" w:color="000000" w:fill="F2F2F2"/>
            <w:vAlign w:val="center"/>
            <w:hideMark/>
          </w:tcPr>
          <w:p w14:paraId="38091474" w14:textId="77777777" w:rsidR="00A13130" w:rsidRPr="0052232C" w:rsidRDefault="00A13130" w:rsidP="00C04D59">
            <w:pPr>
              <w:jc w:val="center"/>
              <w:rPr>
                <w:rFonts w:ascii="Arial" w:eastAsia="Times New Roman" w:hAnsi="Arial" w:cs="Arial"/>
                <w:sz w:val="14"/>
                <w:szCs w:val="14"/>
                <w:lang w:eastAsia="fr-FR"/>
              </w:rPr>
            </w:pPr>
            <w:r w:rsidRPr="0052232C">
              <w:rPr>
                <w:rFonts w:ascii="Arial" w:eastAsia="Times New Roman" w:hAnsi="Arial" w:cs="Arial"/>
                <w:b/>
                <w:bCs/>
                <w:sz w:val="14"/>
                <w:szCs w:val="14"/>
                <w:lang w:eastAsia="fr-FR"/>
              </w:rPr>
              <w:t>Incidences coûts</w:t>
            </w:r>
            <w:r w:rsidRPr="0052232C">
              <w:rPr>
                <w:rFonts w:ascii="Arial" w:eastAsia="Times New Roman" w:hAnsi="Arial" w:cs="Arial"/>
                <w:b/>
                <w:bCs/>
                <w:sz w:val="14"/>
                <w:szCs w:val="14"/>
                <w:lang w:eastAsia="fr-FR"/>
              </w:rPr>
              <w:br/>
            </w:r>
            <w:r w:rsidRPr="0052232C">
              <w:rPr>
                <w:rFonts w:ascii="Arial" w:eastAsia="Times New Roman" w:hAnsi="Arial" w:cs="Arial"/>
                <w:sz w:val="14"/>
                <w:szCs w:val="14"/>
                <w:lang w:eastAsia="fr-FR"/>
              </w:rPr>
              <w:t>Investissement</w:t>
            </w:r>
            <w:r w:rsidRPr="0052232C">
              <w:rPr>
                <w:rFonts w:ascii="Arial" w:eastAsia="Times New Roman" w:hAnsi="Arial" w:cs="Arial"/>
                <w:sz w:val="14"/>
                <w:szCs w:val="14"/>
                <w:lang w:eastAsia="fr-FR"/>
              </w:rPr>
              <w:br/>
              <w:t>ou Fonctionnement</w:t>
            </w:r>
          </w:p>
        </w:tc>
        <w:tc>
          <w:tcPr>
            <w:tcW w:w="610" w:type="dxa"/>
            <w:tcBorders>
              <w:top w:val="nil"/>
              <w:left w:val="nil"/>
              <w:bottom w:val="single" w:sz="4" w:space="0" w:color="000000"/>
              <w:right w:val="single" w:sz="4" w:space="0" w:color="0000CF"/>
            </w:tcBorders>
            <w:shd w:val="clear" w:color="000000" w:fill="F2F2F2"/>
            <w:vAlign w:val="center"/>
            <w:hideMark/>
          </w:tcPr>
          <w:p w14:paraId="4F627231"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Incidence avantages</w:t>
            </w:r>
          </w:p>
        </w:tc>
      </w:tr>
      <w:tr w:rsidR="00A13130" w:rsidRPr="0052232C" w14:paraId="37D03D2E" w14:textId="77777777" w:rsidTr="00A13130">
        <w:trPr>
          <w:trHeight w:val="1670"/>
          <w:jc w:val="center"/>
        </w:trPr>
        <w:tc>
          <w:tcPr>
            <w:tcW w:w="584" w:type="dxa"/>
            <w:vMerge w:val="restart"/>
            <w:tcBorders>
              <w:top w:val="single" w:sz="4" w:space="0" w:color="000000"/>
              <w:left w:val="single" w:sz="4" w:space="0" w:color="000000"/>
              <w:bottom w:val="single" w:sz="4" w:space="0" w:color="000000"/>
              <w:right w:val="single" w:sz="4" w:space="0" w:color="000000"/>
            </w:tcBorders>
            <w:shd w:val="clear" w:color="000000" w:fill="A5A5A5"/>
            <w:textDirection w:val="btLr"/>
            <w:vAlign w:val="center"/>
            <w:hideMark/>
          </w:tcPr>
          <w:p w14:paraId="03503C12"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ENVIRONNEMENT</w:t>
            </w:r>
          </w:p>
        </w:tc>
        <w:tc>
          <w:tcPr>
            <w:tcW w:w="1406" w:type="dxa"/>
            <w:tcBorders>
              <w:top w:val="nil"/>
              <w:left w:val="nil"/>
              <w:bottom w:val="single" w:sz="4" w:space="0" w:color="000000"/>
              <w:right w:val="single" w:sz="4" w:space="0" w:color="000000"/>
            </w:tcBorders>
            <w:shd w:val="clear" w:color="000000" w:fill="F2F2F2"/>
            <w:vAlign w:val="center"/>
            <w:hideMark/>
          </w:tcPr>
          <w:p w14:paraId="381D2E32"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Géologie</w:t>
            </w:r>
          </w:p>
        </w:tc>
        <w:tc>
          <w:tcPr>
            <w:tcW w:w="1995" w:type="dxa"/>
            <w:tcBorders>
              <w:top w:val="nil"/>
              <w:left w:val="nil"/>
              <w:bottom w:val="single" w:sz="4" w:space="0" w:color="000000"/>
              <w:right w:val="single" w:sz="4" w:space="0" w:color="000000"/>
            </w:tcBorders>
            <w:shd w:val="clear" w:color="auto" w:fill="auto"/>
            <w:hideMark/>
          </w:tcPr>
          <w:p w14:paraId="5281FBB9"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Conception inadaptée aux contraintes géologiques spécifiques rencontrées sur les différents tronçons (carrières, gypse, argiles...)</w:t>
            </w:r>
            <w:r w:rsidRPr="0052232C">
              <w:rPr>
                <w:rFonts w:ascii="Arial" w:eastAsia="Times New Roman" w:hAnsi="Arial" w:cs="Arial"/>
                <w:sz w:val="14"/>
                <w:szCs w:val="14"/>
                <w:lang w:eastAsia="fr-FR"/>
              </w:rPr>
              <w:br/>
              <w:t>- Incidents en phase travaux du fait de phénomènes non identifiés au préalable</w:t>
            </w:r>
          </w:p>
        </w:tc>
        <w:tc>
          <w:tcPr>
            <w:tcW w:w="5508" w:type="dxa"/>
            <w:tcBorders>
              <w:top w:val="nil"/>
              <w:left w:val="nil"/>
              <w:bottom w:val="single" w:sz="4" w:space="0" w:color="000000"/>
              <w:right w:val="single" w:sz="4" w:space="0" w:color="000000"/>
            </w:tcBorders>
            <w:shd w:val="clear" w:color="auto" w:fill="auto"/>
            <w:hideMark/>
          </w:tcPr>
          <w:p w14:paraId="5FA2C498"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i/>
                <w:iCs/>
                <w:sz w:val="14"/>
                <w:szCs w:val="14"/>
                <w:lang w:eastAsia="fr-FR"/>
              </w:rPr>
              <w:t>- Phase de conception :</w:t>
            </w:r>
            <w:r w:rsidRPr="0052232C">
              <w:rPr>
                <w:rFonts w:ascii="Arial" w:eastAsia="Times New Roman" w:hAnsi="Arial" w:cs="Arial"/>
                <w:i/>
                <w:iCs/>
                <w:sz w:val="14"/>
                <w:szCs w:val="14"/>
                <w:lang w:eastAsia="fr-FR"/>
              </w:rPr>
              <w:br/>
            </w:r>
            <w:r w:rsidRPr="0052232C">
              <w:rPr>
                <w:rFonts w:ascii="Arial" w:eastAsia="Times New Roman" w:hAnsi="Arial" w:cs="Arial"/>
                <w:sz w:val="14"/>
                <w:szCs w:val="14"/>
                <w:lang w:eastAsia="fr-FR"/>
              </w:rPr>
              <w:t>&gt; analyse bibliographique détaillée</w:t>
            </w:r>
            <w:r w:rsidRPr="0052232C">
              <w:rPr>
                <w:rFonts w:ascii="Arial" w:eastAsia="Times New Roman" w:hAnsi="Arial" w:cs="Arial"/>
                <w:sz w:val="14"/>
                <w:szCs w:val="14"/>
                <w:lang w:eastAsia="fr-FR"/>
              </w:rPr>
              <w:br/>
              <w:t>&gt; approfondissement des études géotechniques avec campagnes de reconnaissance sur site menées conformément à la norme  NF P 94-500 : mission G1 (première phase de caractérisation du contexte géologique du secteur étudié en études de faisabilité et en études préliminaires) conduite en 2012-2013, mission G2 en accompagnement des phases d'avant-projet et de projet</w:t>
            </w:r>
            <w:r w:rsidRPr="0052232C">
              <w:rPr>
                <w:rFonts w:ascii="Arial" w:eastAsia="Times New Roman" w:hAnsi="Arial" w:cs="Arial"/>
                <w:sz w:val="14"/>
                <w:szCs w:val="14"/>
                <w:lang w:eastAsia="fr-FR"/>
              </w:rPr>
              <w:br/>
              <w:t>&gt; définition de l'insertion des ouvrages prenant en compte les caractéristiques du terrain et les points durs (ex. : évitement des zones de carrière en plan et/ou en profil)</w:t>
            </w:r>
            <w:r w:rsidRPr="0052232C">
              <w:rPr>
                <w:rFonts w:ascii="Arial" w:eastAsia="Times New Roman" w:hAnsi="Arial" w:cs="Arial"/>
                <w:sz w:val="14"/>
                <w:szCs w:val="14"/>
                <w:lang w:eastAsia="fr-FR"/>
              </w:rPr>
              <w:br/>
              <w:t>&gt; choix de méthodes constructives répondant aux caractéristiques géologiques des terrains rencontrés (ex. : construction des gares avec parois moulées et bouchon d'injection)</w:t>
            </w:r>
            <w:r w:rsidRPr="0052232C">
              <w:rPr>
                <w:rFonts w:ascii="Arial" w:eastAsia="Times New Roman" w:hAnsi="Arial" w:cs="Arial"/>
                <w:sz w:val="14"/>
                <w:szCs w:val="14"/>
                <w:lang w:eastAsia="fr-FR"/>
              </w:rPr>
              <w:br/>
            </w:r>
            <w:r w:rsidRPr="0052232C">
              <w:rPr>
                <w:rFonts w:ascii="Arial" w:eastAsia="Times New Roman" w:hAnsi="Arial" w:cs="Arial"/>
                <w:i/>
                <w:iCs/>
                <w:sz w:val="14"/>
                <w:szCs w:val="14"/>
                <w:lang w:eastAsia="fr-FR"/>
              </w:rPr>
              <w:t>- Phase de réalisation :</w:t>
            </w:r>
            <w:r w:rsidRPr="0052232C">
              <w:rPr>
                <w:rFonts w:ascii="Arial" w:eastAsia="Times New Roman" w:hAnsi="Arial" w:cs="Arial"/>
                <w:i/>
                <w:iCs/>
                <w:sz w:val="14"/>
                <w:szCs w:val="14"/>
                <w:lang w:eastAsia="fr-FR"/>
              </w:rPr>
              <w:br/>
            </w:r>
            <w:r w:rsidRPr="0052232C">
              <w:rPr>
                <w:rFonts w:ascii="Arial" w:eastAsia="Times New Roman" w:hAnsi="Arial" w:cs="Arial"/>
                <w:sz w:val="14"/>
                <w:szCs w:val="14"/>
                <w:lang w:eastAsia="fr-FR"/>
              </w:rPr>
              <w:t>&gt; missions géotechniques G3 et G4 imposées par la norme NF P 94-500 pendant les travaux, responsabilisant les maîtres   d'œuvre et les entreprises réalisatrices (double regard dans la validation des hypothèses de dimensionnement des ouvrages et dans le suivi d'exécution)</w:t>
            </w:r>
          </w:p>
        </w:tc>
        <w:tc>
          <w:tcPr>
            <w:tcW w:w="708" w:type="dxa"/>
            <w:tcBorders>
              <w:top w:val="nil"/>
              <w:left w:val="nil"/>
              <w:bottom w:val="single" w:sz="4" w:space="0" w:color="000000"/>
              <w:right w:val="single" w:sz="4" w:space="0" w:color="000000"/>
            </w:tcBorders>
            <w:shd w:val="clear" w:color="000000" w:fill="EDEBE1"/>
            <w:textDirection w:val="btLr"/>
            <w:vAlign w:val="center"/>
            <w:hideMark/>
          </w:tcPr>
          <w:p w14:paraId="025CD3A3"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CONCEPTION / REALISATION EXPLOITATION</w:t>
            </w:r>
          </w:p>
        </w:tc>
        <w:tc>
          <w:tcPr>
            <w:tcW w:w="2241" w:type="dxa"/>
            <w:tcBorders>
              <w:top w:val="nil"/>
              <w:left w:val="nil"/>
              <w:bottom w:val="single" w:sz="4" w:space="0" w:color="000000"/>
              <w:right w:val="single" w:sz="4" w:space="0" w:color="000000"/>
            </w:tcBorders>
            <w:shd w:val="clear" w:color="000000" w:fill="EDEBE1"/>
            <w:vAlign w:val="center"/>
            <w:hideMark/>
          </w:tcPr>
          <w:p w14:paraId="3E2FD494" w14:textId="77777777" w:rsidR="00A13130" w:rsidRPr="0052232C" w:rsidRDefault="00A13130" w:rsidP="00C04D59">
            <w:pPr>
              <w:jc w:val="center"/>
              <w:rPr>
                <w:rFonts w:ascii="Arial" w:eastAsia="Times New Roman" w:hAnsi="Arial" w:cs="Arial"/>
                <w:sz w:val="14"/>
                <w:szCs w:val="14"/>
                <w:lang w:eastAsia="fr-FR"/>
              </w:rPr>
            </w:pPr>
            <w:r w:rsidRPr="0052232C">
              <w:rPr>
                <w:rFonts w:ascii="Arial" w:eastAsia="Times New Roman" w:hAnsi="Arial" w:cs="Arial"/>
                <w:sz w:val="14"/>
                <w:szCs w:val="14"/>
                <w:lang w:eastAsia="fr-FR"/>
              </w:rPr>
              <w:t>Le risque résiduel et son impact sur les coûts du projet sont intégrés dans les provisions pour risques et aléas</w:t>
            </w:r>
          </w:p>
        </w:tc>
        <w:tc>
          <w:tcPr>
            <w:tcW w:w="613" w:type="dxa"/>
            <w:tcBorders>
              <w:top w:val="nil"/>
              <w:left w:val="nil"/>
              <w:bottom w:val="single" w:sz="4" w:space="0" w:color="000000"/>
              <w:right w:val="single" w:sz="4" w:space="0" w:color="000000"/>
            </w:tcBorders>
            <w:shd w:val="clear" w:color="000000" w:fill="FFBF00"/>
            <w:hideMark/>
          </w:tcPr>
          <w:p w14:paraId="4BFB0CBB" w14:textId="77777777" w:rsidR="00A13130" w:rsidRPr="0052232C" w:rsidRDefault="00A13130" w:rsidP="00C04D59">
            <w:pPr>
              <w:jc w:val="both"/>
              <w:rPr>
                <w:rFonts w:ascii="Arial" w:eastAsia="Times New Roman" w:hAnsi="Arial" w:cs="Arial"/>
                <w:sz w:val="14"/>
                <w:szCs w:val="14"/>
                <w:lang w:eastAsia="fr-FR"/>
              </w:rPr>
            </w:pPr>
            <w:r w:rsidRPr="0052232C">
              <w:rPr>
                <w:rFonts w:ascii="Arial" w:eastAsia="Times New Roman" w:hAnsi="Arial" w:cs="Arial"/>
                <w:sz w:val="14"/>
                <w:szCs w:val="14"/>
                <w:lang w:eastAsia="fr-FR"/>
              </w:rPr>
              <w:t> </w:t>
            </w:r>
          </w:p>
        </w:tc>
        <w:tc>
          <w:tcPr>
            <w:tcW w:w="632" w:type="dxa"/>
            <w:tcBorders>
              <w:top w:val="nil"/>
              <w:left w:val="nil"/>
              <w:bottom w:val="single" w:sz="4" w:space="0" w:color="000000"/>
              <w:right w:val="single" w:sz="4" w:space="0" w:color="000000"/>
            </w:tcBorders>
            <w:shd w:val="clear" w:color="000000" w:fill="F2F2F2"/>
            <w:textDirection w:val="btLr"/>
            <w:vAlign w:val="center"/>
            <w:hideMark/>
          </w:tcPr>
          <w:p w14:paraId="7924400A"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Augmentation du coût (et/ou des délais) de travaux et des coûts d'exploitation</w:t>
            </w:r>
          </w:p>
        </w:tc>
        <w:tc>
          <w:tcPr>
            <w:tcW w:w="610" w:type="dxa"/>
            <w:tcBorders>
              <w:top w:val="nil"/>
              <w:left w:val="nil"/>
              <w:bottom w:val="single" w:sz="4" w:space="0" w:color="000000"/>
              <w:right w:val="single" w:sz="4" w:space="0" w:color="0000CF"/>
            </w:tcBorders>
            <w:shd w:val="clear" w:color="000000" w:fill="F2F2F2"/>
            <w:textDirection w:val="btLr"/>
            <w:vAlign w:val="center"/>
            <w:hideMark/>
          </w:tcPr>
          <w:p w14:paraId="7EB9C53A"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Baisse des avantages d'externalité (sécurité)</w:t>
            </w:r>
          </w:p>
        </w:tc>
      </w:tr>
      <w:tr w:rsidR="00A13130" w:rsidRPr="0052232C" w14:paraId="08D3D3C3" w14:textId="77777777" w:rsidTr="00A13130">
        <w:trPr>
          <w:trHeight w:val="2104"/>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4AC7D1F8" w14:textId="77777777" w:rsidR="00A13130" w:rsidRPr="0052232C" w:rsidRDefault="00A13130" w:rsidP="00C04D59">
            <w:pPr>
              <w:jc w:val="both"/>
              <w:rPr>
                <w:rFonts w:ascii="Arial" w:eastAsia="Times New Roman" w:hAnsi="Arial" w:cs="Arial"/>
                <w:b/>
                <w:bCs/>
                <w:sz w:val="14"/>
                <w:szCs w:val="14"/>
                <w:lang w:eastAsia="fr-FR"/>
              </w:rPr>
            </w:pPr>
          </w:p>
        </w:tc>
        <w:tc>
          <w:tcPr>
            <w:tcW w:w="1406" w:type="dxa"/>
            <w:tcBorders>
              <w:top w:val="nil"/>
              <w:left w:val="nil"/>
              <w:bottom w:val="single" w:sz="4" w:space="0" w:color="000000"/>
              <w:right w:val="single" w:sz="4" w:space="0" w:color="000000"/>
            </w:tcBorders>
            <w:shd w:val="clear" w:color="000000" w:fill="F2F2F2"/>
            <w:vAlign w:val="center"/>
            <w:hideMark/>
          </w:tcPr>
          <w:p w14:paraId="6ECF0323"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Hydrogéologie</w:t>
            </w:r>
          </w:p>
        </w:tc>
        <w:tc>
          <w:tcPr>
            <w:tcW w:w="1995" w:type="dxa"/>
            <w:tcBorders>
              <w:top w:val="nil"/>
              <w:left w:val="nil"/>
              <w:bottom w:val="single" w:sz="4" w:space="0" w:color="000000"/>
              <w:right w:val="single" w:sz="4" w:space="0" w:color="000000"/>
            </w:tcBorders>
            <w:shd w:val="clear" w:color="auto" w:fill="auto"/>
            <w:hideMark/>
          </w:tcPr>
          <w:p w14:paraId="16B85313"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Conception inadaptée aux contraintes hydrologiques spécifiques rencontrées sur les différents tronçons (nappes)</w:t>
            </w:r>
            <w:r w:rsidRPr="0052232C">
              <w:rPr>
                <w:rFonts w:ascii="Arial" w:eastAsia="Times New Roman" w:hAnsi="Arial" w:cs="Arial"/>
                <w:sz w:val="14"/>
                <w:szCs w:val="14"/>
                <w:lang w:eastAsia="fr-FR"/>
              </w:rPr>
              <w:br/>
              <w:t>- Perturbation de l'écoulement naturel des eaux souterraines : écoulements perturbés par l'effet barrage créé par des zones étanches</w:t>
            </w:r>
          </w:p>
        </w:tc>
        <w:tc>
          <w:tcPr>
            <w:tcW w:w="5508" w:type="dxa"/>
            <w:tcBorders>
              <w:top w:val="nil"/>
              <w:left w:val="nil"/>
              <w:bottom w:val="single" w:sz="4" w:space="0" w:color="000000"/>
              <w:right w:val="single" w:sz="4" w:space="0" w:color="000000"/>
            </w:tcBorders>
            <w:shd w:val="clear" w:color="auto" w:fill="auto"/>
            <w:hideMark/>
          </w:tcPr>
          <w:p w14:paraId="3857AF08"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choix de méthodes constructives répondant aux caractéristiques hydrogéologiques des terrains rencontrés (ex. : construction des gares avec parois moulées et bouchon d'injection, permettant de limiter fortement l'impact sur l'hydrogéologie)</w:t>
            </w:r>
            <w:r w:rsidRPr="0052232C">
              <w:rPr>
                <w:rFonts w:ascii="Arial" w:eastAsia="Times New Roman" w:hAnsi="Arial" w:cs="Arial"/>
                <w:sz w:val="14"/>
                <w:szCs w:val="14"/>
                <w:lang w:eastAsia="fr-FR"/>
              </w:rPr>
              <w:br/>
              <w:t>- modélisations spécifiques en phase conception et mesures de suivi en phase de réalisation</w:t>
            </w:r>
          </w:p>
        </w:tc>
        <w:tc>
          <w:tcPr>
            <w:tcW w:w="708" w:type="dxa"/>
            <w:tcBorders>
              <w:top w:val="nil"/>
              <w:left w:val="nil"/>
              <w:bottom w:val="single" w:sz="4" w:space="0" w:color="000000"/>
              <w:right w:val="single" w:sz="4" w:space="0" w:color="000000"/>
            </w:tcBorders>
            <w:shd w:val="clear" w:color="000000" w:fill="EDEBE1"/>
            <w:textDirection w:val="btLr"/>
            <w:vAlign w:val="center"/>
            <w:hideMark/>
          </w:tcPr>
          <w:p w14:paraId="16E2A96A"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REALISATION EXPLOITATION</w:t>
            </w:r>
          </w:p>
        </w:tc>
        <w:tc>
          <w:tcPr>
            <w:tcW w:w="2241" w:type="dxa"/>
            <w:tcBorders>
              <w:top w:val="nil"/>
              <w:left w:val="nil"/>
              <w:bottom w:val="single" w:sz="4" w:space="0" w:color="000000"/>
              <w:right w:val="single" w:sz="4" w:space="0" w:color="000000"/>
            </w:tcBorders>
            <w:shd w:val="clear" w:color="000000" w:fill="EDEBE1"/>
            <w:vAlign w:val="center"/>
            <w:hideMark/>
          </w:tcPr>
          <w:p w14:paraId="108A0361" w14:textId="77777777" w:rsidR="00A13130" w:rsidRPr="0052232C" w:rsidRDefault="00A13130" w:rsidP="00C04D59">
            <w:pPr>
              <w:jc w:val="center"/>
              <w:rPr>
                <w:rFonts w:ascii="Arial" w:eastAsia="Times New Roman" w:hAnsi="Arial" w:cs="Arial"/>
                <w:sz w:val="14"/>
                <w:szCs w:val="14"/>
                <w:lang w:eastAsia="fr-FR"/>
              </w:rPr>
            </w:pPr>
            <w:r w:rsidRPr="0052232C">
              <w:rPr>
                <w:rFonts w:ascii="Arial" w:eastAsia="Times New Roman" w:hAnsi="Arial" w:cs="Arial"/>
                <w:sz w:val="14"/>
                <w:szCs w:val="14"/>
                <w:lang w:eastAsia="fr-FR"/>
              </w:rPr>
              <w:t>Le risque résiduel et son impact sur les coûts du projet sont intégrés dans les provisions pour risques et aléas</w:t>
            </w:r>
          </w:p>
        </w:tc>
        <w:tc>
          <w:tcPr>
            <w:tcW w:w="613" w:type="dxa"/>
            <w:tcBorders>
              <w:top w:val="nil"/>
              <w:left w:val="nil"/>
              <w:bottom w:val="single" w:sz="4" w:space="0" w:color="000000"/>
              <w:right w:val="single" w:sz="4" w:space="0" w:color="000000"/>
            </w:tcBorders>
            <w:shd w:val="clear" w:color="000000" w:fill="FFFFCC"/>
            <w:hideMark/>
          </w:tcPr>
          <w:p w14:paraId="19B058BD" w14:textId="77777777" w:rsidR="00A13130" w:rsidRPr="0052232C" w:rsidRDefault="00A13130" w:rsidP="00C04D59">
            <w:pPr>
              <w:jc w:val="both"/>
              <w:rPr>
                <w:rFonts w:ascii="Arial" w:eastAsia="Times New Roman" w:hAnsi="Arial" w:cs="Arial"/>
                <w:sz w:val="14"/>
                <w:szCs w:val="14"/>
                <w:lang w:eastAsia="fr-FR"/>
              </w:rPr>
            </w:pPr>
            <w:r w:rsidRPr="0052232C">
              <w:rPr>
                <w:rFonts w:ascii="Arial" w:eastAsia="Times New Roman" w:hAnsi="Arial" w:cs="Arial"/>
                <w:sz w:val="14"/>
                <w:szCs w:val="14"/>
                <w:lang w:eastAsia="fr-FR"/>
              </w:rPr>
              <w:t> </w:t>
            </w:r>
          </w:p>
        </w:tc>
        <w:tc>
          <w:tcPr>
            <w:tcW w:w="632" w:type="dxa"/>
            <w:tcBorders>
              <w:top w:val="nil"/>
              <w:left w:val="nil"/>
              <w:bottom w:val="single" w:sz="4" w:space="0" w:color="000000"/>
              <w:right w:val="single" w:sz="4" w:space="0" w:color="000000"/>
            </w:tcBorders>
            <w:shd w:val="clear" w:color="000000" w:fill="F2F2F2"/>
            <w:textDirection w:val="btLr"/>
            <w:vAlign w:val="center"/>
            <w:hideMark/>
          </w:tcPr>
          <w:p w14:paraId="1D48FC7D"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Augmentation du coût (et/ou des délais) de travaux et de coûts d'exploitation</w:t>
            </w:r>
          </w:p>
        </w:tc>
        <w:tc>
          <w:tcPr>
            <w:tcW w:w="610" w:type="dxa"/>
            <w:tcBorders>
              <w:top w:val="nil"/>
              <w:left w:val="nil"/>
              <w:bottom w:val="single" w:sz="4" w:space="0" w:color="000000"/>
              <w:right w:val="single" w:sz="4" w:space="0" w:color="0000CF"/>
            </w:tcBorders>
            <w:shd w:val="clear" w:color="000000" w:fill="F2F2F2"/>
            <w:textDirection w:val="btLr"/>
            <w:vAlign w:val="center"/>
            <w:hideMark/>
          </w:tcPr>
          <w:p w14:paraId="140B193C"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Baisse des avantages d'externalité (milieux naturels et gestion de l'eau)</w:t>
            </w:r>
          </w:p>
        </w:tc>
      </w:tr>
      <w:tr w:rsidR="00A13130" w:rsidRPr="0052232C" w14:paraId="6169E47B" w14:textId="77777777" w:rsidTr="00A13130">
        <w:trPr>
          <w:trHeight w:val="1949"/>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416FA5D3" w14:textId="77777777" w:rsidR="00A13130" w:rsidRPr="0052232C" w:rsidRDefault="00A13130" w:rsidP="00C04D59">
            <w:pPr>
              <w:jc w:val="both"/>
              <w:rPr>
                <w:rFonts w:ascii="Arial" w:eastAsia="Times New Roman" w:hAnsi="Arial" w:cs="Arial"/>
                <w:b/>
                <w:bCs/>
                <w:sz w:val="14"/>
                <w:szCs w:val="14"/>
                <w:lang w:eastAsia="fr-FR"/>
              </w:rPr>
            </w:pPr>
          </w:p>
        </w:tc>
        <w:tc>
          <w:tcPr>
            <w:tcW w:w="1406" w:type="dxa"/>
            <w:tcBorders>
              <w:top w:val="nil"/>
              <w:left w:val="nil"/>
              <w:bottom w:val="single" w:sz="4" w:space="0" w:color="000000"/>
              <w:right w:val="single" w:sz="4" w:space="0" w:color="000000"/>
            </w:tcBorders>
            <w:shd w:val="clear" w:color="000000" w:fill="F2F2F2"/>
            <w:vAlign w:val="center"/>
            <w:hideMark/>
          </w:tcPr>
          <w:p w14:paraId="73395C27"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Hydrographie</w:t>
            </w:r>
          </w:p>
        </w:tc>
        <w:tc>
          <w:tcPr>
            <w:tcW w:w="1995" w:type="dxa"/>
            <w:tcBorders>
              <w:top w:val="nil"/>
              <w:left w:val="nil"/>
              <w:bottom w:val="single" w:sz="4" w:space="0" w:color="000000"/>
              <w:right w:val="single" w:sz="4" w:space="0" w:color="000000"/>
            </w:tcBorders>
            <w:shd w:val="clear" w:color="auto" w:fill="auto"/>
            <w:hideMark/>
          </w:tcPr>
          <w:p w14:paraId="7A912F76"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Inondations en phase chantier ou en phase d'exploitation</w:t>
            </w:r>
          </w:p>
        </w:tc>
        <w:tc>
          <w:tcPr>
            <w:tcW w:w="5508" w:type="dxa"/>
            <w:tcBorders>
              <w:top w:val="nil"/>
              <w:left w:val="nil"/>
              <w:bottom w:val="single" w:sz="4" w:space="0" w:color="000000"/>
              <w:right w:val="single" w:sz="4" w:space="0" w:color="000000"/>
            </w:tcBorders>
            <w:shd w:val="clear" w:color="auto" w:fill="auto"/>
            <w:hideMark/>
          </w:tcPr>
          <w:p w14:paraId="2ED6C644"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prise en compte des prescriptions figurant dans les documents réglementaires des Plans de Prévention du Risque Inondation (PPRI) : objectif de limitation et de compensation des volumes et des surfaces pris à la crue</w:t>
            </w:r>
            <w:r w:rsidRPr="0052232C">
              <w:rPr>
                <w:rFonts w:ascii="Arial" w:eastAsia="Times New Roman" w:hAnsi="Arial" w:cs="Arial"/>
                <w:sz w:val="14"/>
                <w:szCs w:val="14"/>
                <w:lang w:eastAsia="fr-FR"/>
              </w:rPr>
              <w:br/>
              <w:t>- études et réflexions spécifiques sur les dispositions préventives à mettre en œuvre  pour les ouvrages souterrains concernés par le risque d'inondation (mesures particulières à intégrer le cas échéant dans la conception des ouvrages, en association avec le futur gestionnaire d'infrastructures)</w:t>
            </w:r>
          </w:p>
        </w:tc>
        <w:tc>
          <w:tcPr>
            <w:tcW w:w="708" w:type="dxa"/>
            <w:tcBorders>
              <w:top w:val="nil"/>
              <w:left w:val="nil"/>
              <w:bottom w:val="single" w:sz="4" w:space="0" w:color="000000"/>
              <w:right w:val="single" w:sz="4" w:space="0" w:color="000000"/>
            </w:tcBorders>
            <w:shd w:val="clear" w:color="000000" w:fill="EDEBE1"/>
            <w:textDirection w:val="btLr"/>
            <w:vAlign w:val="center"/>
            <w:hideMark/>
          </w:tcPr>
          <w:p w14:paraId="0080F70C"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REALISATION EXPLOITATION</w:t>
            </w:r>
          </w:p>
        </w:tc>
        <w:tc>
          <w:tcPr>
            <w:tcW w:w="2241" w:type="dxa"/>
            <w:tcBorders>
              <w:top w:val="nil"/>
              <w:left w:val="nil"/>
              <w:bottom w:val="single" w:sz="4" w:space="0" w:color="000000"/>
              <w:right w:val="single" w:sz="4" w:space="0" w:color="000000"/>
            </w:tcBorders>
            <w:shd w:val="clear" w:color="000000" w:fill="EDEBE1"/>
            <w:vAlign w:val="center"/>
            <w:hideMark/>
          </w:tcPr>
          <w:p w14:paraId="6E9240C0" w14:textId="77777777" w:rsidR="00A13130" w:rsidRPr="0052232C" w:rsidRDefault="00A13130" w:rsidP="00C04D59">
            <w:pPr>
              <w:jc w:val="center"/>
              <w:rPr>
                <w:rFonts w:ascii="Arial" w:eastAsia="Times New Roman" w:hAnsi="Arial" w:cs="Arial"/>
                <w:sz w:val="14"/>
                <w:szCs w:val="14"/>
                <w:lang w:eastAsia="fr-FR"/>
              </w:rPr>
            </w:pPr>
            <w:r w:rsidRPr="0052232C">
              <w:rPr>
                <w:rFonts w:ascii="Arial" w:eastAsia="Times New Roman" w:hAnsi="Arial" w:cs="Arial"/>
                <w:sz w:val="14"/>
                <w:szCs w:val="14"/>
                <w:lang w:eastAsia="fr-FR"/>
              </w:rPr>
              <w:t>Le risque résiduel et son impact sur les coûts du projet sont intégrés dans les provisions pour risques et aléas</w:t>
            </w:r>
          </w:p>
        </w:tc>
        <w:tc>
          <w:tcPr>
            <w:tcW w:w="613" w:type="dxa"/>
            <w:tcBorders>
              <w:top w:val="nil"/>
              <w:left w:val="nil"/>
              <w:bottom w:val="single" w:sz="4" w:space="0" w:color="000000"/>
              <w:right w:val="single" w:sz="4" w:space="0" w:color="000000"/>
            </w:tcBorders>
            <w:shd w:val="clear" w:color="000000" w:fill="FFBF00"/>
            <w:hideMark/>
          </w:tcPr>
          <w:p w14:paraId="7BCB0B32" w14:textId="77777777" w:rsidR="00A13130" w:rsidRPr="0052232C" w:rsidRDefault="00A13130" w:rsidP="00C04D59">
            <w:pPr>
              <w:jc w:val="both"/>
              <w:rPr>
                <w:rFonts w:ascii="Arial" w:eastAsia="Times New Roman" w:hAnsi="Arial" w:cs="Arial"/>
                <w:sz w:val="14"/>
                <w:szCs w:val="14"/>
                <w:lang w:eastAsia="fr-FR"/>
              </w:rPr>
            </w:pPr>
            <w:r w:rsidRPr="0052232C">
              <w:rPr>
                <w:rFonts w:ascii="Arial" w:eastAsia="Times New Roman" w:hAnsi="Arial" w:cs="Arial"/>
                <w:sz w:val="14"/>
                <w:szCs w:val="14"/>
                <w:lang w:eastAsia="fr-FR"/>
              </w:rPr>
              <w:t> </w:t>
            </w:r>
          </w:p>
        </w:tc>
        <w:tc>
          <w:tcPr>
            <w:tcW w:w="632" w:type="dxa"/>
            <w:tcBorders>
              <w:top w:val="nil"/>
              <w:left w:val="nil"/>
              <w:bottom w:val="single" w:sz="4" w:space="0" w:color="000000"/>
              <w:right w:val="single" w:sz="4" w:space="0" w:color="000000"/>
            </w:tcBorders>
            <w:shd w:val="clear" w:color="000000" w:fill="F2F2F2"/>
            <w:textDirection w:val="btLr"/>
            <w:vAlign w:val="center"/>
            <w:hideMark/>
          </w:tcPr>
          <w:p w14:paraId="377975E0"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Augmentation du coût (et/ou des délais) de travaux et des coûts d'exploitation</w:t>
            </w:r>
          </w:p>
        </w:tc>
        <w:tc>
          <w:tcPr>
            <w:tcW w:w="610" w:type="dxa"/>
            <w:tcBorders>
              <w:top w:val="nil"/>
              <w:left w:val="nil"/>
              <w:bottom w:val="single" w:sz="4" w:space="0" w:color="000000"/>
              <w:right w:val="single" w:sz="4" w:space="0" w:color="0000CF"/>
            </w:tcBorders>
            <w:shd w:val="clear" w:color="000000" w:fill="F2F2F2"/>
            <w:textDirection w:val="btLr"/>
            <w:vAlign w:val="center"/>
            <w:hideMark/>
          </w:tcPr>
          <w:p w14:paraId="49ABDDD4"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Baisse des avantages d'externalité (milieux naturels et gestion de l'eau)</w:t>
            </w:r>
          </w:p>
        </w:tc>
      </w:tr>
      <w:tr w:rsidR="00A13130" w:rsidRPr="0052232C" w14:paraId="2B299F63" w14:textId="77777777" w:rsidTr="00A13130">
        <w:trPr>
          <w:trHeight w:val="2126"/>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366F340D" w14:textId="77777777" w:rsidR="00A13130" w:rsidRPr="0052232C" w:rsidRDefault="00A13130" w:rsidP="00C04D59">
            <w:pPr>
              <w:jc w:val="both"/>
              <w:rPr>
                <w:rFonts w:ascii="Arial" w:eastAsia="Times New Roman" w:hAnsi="Arial" w:cs="Arial"/>
                <w:b/>
                <w:bCs/>
                <w:sz w:val="14"/>
                <w:szCs w:val="14"/>
                <w:lang w:eastAsia="fr-FR"/>
              </w:rPr>
            </w:pPr>
          </w:p>
        </w:tc>
        <w:tc>
          <w:tcPr>
            <w:tcW w:w="1406" w:type="dxa"/>
            <w:vMerge w:val="restart"/>
            <w:tcBorders>
              <w:top w:val="nil"/>
              <w:left w:val="single" w:sz="4" w:space="0" w:color="000000"/>
              <w:bottom w:val="single" w:sz="4" w:space="0" w:color="000000"/>
              <w:right w:val="single" w:sz="4" w:space="0" w:color="000000"/>
            </w:tcBorders>
            <w:shd w:val="clear" w:color="000000" w:fill="F2F2F2"/>
            <w:vAlign w:val="center"/>
            <w:hideMark/>
          </w:tcPr>
          <w:p w14:paraId="632CA9BE"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Bâti / réseaux / infrastructures</w:t>
            </w:r>
          </w:p>
        </w:tc>
        <w:tc>
          <w:tcPr>
            <w:tcW w:w="1995" w:type="dxa"/>
            <w:vMerge w:val="restart"/>
            <w:tcBorders>
              <w:top w:val="nil"/>
              <w:left w:val="single" w:sz="4" w:space="0" w:color="000000"/>
              <w:bottom w:val="single" w:sz="4" w:space="0" w:color="000000"/>
              <w:right w:val="single" w:sz="4" w:space="0" w:color="000000"/>
            </w:tcBorders>
            <w:shd w:val="clear" w:color="auto" w:fill="auto"/>
            <w:hideMark/>
          </w:tcPr>
          <w:p w14:paraId="4378C1C1"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Contraintes additionnelles en phase conception du fait de la proximité d'installations sensibles (installations classées, SEVESO...) et/ou d'infrastructures ou de bâtiments spécifiques (fondations profondes, importants réseaux concessionnaires...)</w:t>
            </w:r>
            <w:r w:rsidRPr="0052232C">
              <w:rPr>
                <w:rFonts w:ascii="Arial" w:eastAsia="Times New Roman" w:hAnsi="Arial" w:cs="Arial"/>
                <w:sz w:val="14"/>
                <w:szCs w:val="14"/>
                <w:lang w:eastAsia="fr-FR"/>
              </w:rPr>
              <w:br/>
              <w:t>- Incidents en phase travaux du fait d'une reconnaissance de terrain insuffisante</w:t>
            </w:r>
          </w:p>
        </w:tc>
        <w:tc>
          <w:tcPr>
            <w:tcW w:w="5508" w:type="dxa"/>
            <w:vMerge w:val="restart"/>
            <w:tcBorders>
              <w:top w:val="nil"/>
              <w:left w:val="single" w:sz="4" w:space="0" w:color="000000"/>
              <w:bottom w:val="single" w:sz="4" w:space="0" w:color="000000"/>
              <w:right w:val="single" w:sz="4" w:space="0" w:color="000000"/>
            </w:tcBorders>
            <w:shd w:val="clear" w:color="auto" w:fill="auto"/>
            <w:hideMark/>
          </w:tcPr>
          <w:p w14:paraId="0AADD9E4"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tunnels du réseau Grand Paris Express creusés à une profondeur moyenne de 30 m afin de tenir compte de l'importante occupation du sous-sol en zone urbaine dense</w:t>
            </w:r>
            <w:r w:rsidRPr="0052232C">
              <w:rPr>
                <w:rFonts w:ascii="Arial" w:eastAsia="Times New Roman" w:hAnsi="Arial" w:cs="Arial"/>
                <w:sz w:val="14"/>
                <w:szCs w:val="14"/>
                <w:lang w:eastAsia="fr-FR"/>
              </w:rPr>
              <w:br/>
              <w:t>- identification des réseaux concessionnaires (avec consultation systématique des entités gestionnaires) et dévoiement préalablement à la réalisation des ouvrages Grand Paris Express (hors réseaux les plus importants)</w:t>
            </w:r>
            <w:r w:rsidRPr="0052232C">
              <w:rPr>
                <w:rFonts w:ascii="Arial" w:eastAsia="Times New Roman" w:hAnsi="Arial" w:cs="Arial"/>
                <w:sz w:val="14"/>
                <w:szCs w:val="14"/>
                <w:lang w:eastAsia="fr-FR"/>
              </w:rPr>
              <w:br/>
              <w:t>- études et diagnostics spécifiques visant à prévenir les dommages causés au bâti en phase travaux et à adapter les méthodes constructives dans les zones identifiées comme sensibles (étude de vulnérabilité du bâti, étude structures...)</w:t>
            </w:r>
            <w:r w:rsidRPr="0052232C">
              <w:rPr>
                <w:rFonts w:ascii="Arial" w:eastAsia="Times New Roman" w:hAnsi="Arial" w:cs="Arial"/>
                <w:sz w:val="14"/>
                <w:szCs w:val="14"/>
                <w:lang w:eastAsia="fr-FR"/>
              </w:rPr>
              <w:br/>
              <w:t>- monitoring continu en phase chantier sur les ouvrages et les bâtiments existants</w:t>
            </w:r>
          </w:p>
        </w:tc>
        <w:tc>
          <w:tcPr>
            <w:tcW w:w="708" w:type="dxa"/>
            <w:vMerge w:val="restart"/>
            <w:tcBorders>
              <w:top w:val="nil"/>
              <w:left w:val="single" w:sz="4" w:space="0" w:color="000000"/>
              <w:bottom w:val="single" w:sz="4" w:space="0" w:color="000000"/>
              <w:right w:val="single" w:sz="4" w:space="0" w:color="000000"/>
            </w:tcBorders>
            <w:shd w:val="clear" w:color="000000" w:fill="EDEBE1"/>
            <w:textDirection w:val="btLr"/>
            <w:vAlign w:val="center"/>
            <w:hideMark/>
          </w:tcPr>
          <w:p w14:paraId="4A8CABF6"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REALISATION</w:t>
            </w:r>
          </w:p>
        </w:tc>
        <w:tc>
          <w:tcPr>
            <w:tcW w:w="2241" w:type="dxa"/>
            <w:vMerge w:val="restart"/>
            <w:tcBorders>
              <w:top w:val="nil"/>
              <w:left w:val="single" w:sz="4" w:space="0" w:color="000000"/>
              <w:bottom w:val="single" w:sz="4" w:space="0" w:color="000000"/>
              <w:right w:val="single" w:sz="4" w:space="0" w:color="000000"/>
            </w:tcBorders>
            <w:shd w:val="clear" w:color="000000" w:fill="EDEBE1"/>
            <w:vAlign w:val="center"/>
            <w:hideMark/>
          </w:tcPr>
          <w:p w14:paraId="11ADD5AF" w14:textId="77777777" w:rsidR="00A13130" w:rsidRPr="0052232C" w:rsidRDefault="00A13130" w:rsidP="00C04D59">
            <w:pPr>
              <w:jc w:val="center"/>
              <w:rPr>
                <w:rFonts w:ascii="Arial" w:eastAsia="Times New Roman" w:hAnsi="Arial" w:cs="Arial"/>
                <w:sz w:val="14"/>
                <w:szCs w:val="14"/>
                <w:lang w:eastAsia="fr-FR"/>
              </w:rPr>
            </w:pPr>
            <w:r w:rsidRPr="0052232C">
              <w:rPr>
                <w:rFonts w:ascii="Arial" w:eastAsia="Times New Roman" w:hAnsi="Arial" w:cs="Arial"/>
                <w:sz w:val="14"/>
                <w:szCs w:val="14"/>
                <w:lang w:eastAsia="fr-FR"/>
              </w:rPr>
              <w:t>Le risque résiduel et son impact sur les coûts du projet sont intégrés dans les provisions pour risques et aléas</w:t>
            </w:r>
          </w:p>
        </w:tc>
        <w:tc>
          <w:tcPr>
            <w:tcW w:w="613" w:type="dxa"/>
            <w:vMerge w:val="restart"/>
            <w:tcBorders>
              <w:top w:val="nil"/>
              <w:left w:val="single" w:sz="4" w:space="0" w:color="000000"/>
              <w:bottom w:val="single" w:sz="4" w:space="0" w:color="000000"/>
              <w:right w:val="single" w:sz="4" w:space="0" w:color="000000"/>
            </w:tcBorders>
            <w:shd w:val="clear" w:color="000000" w:fill="FFBF00"/>
            <w:hideMark/>
          </w:tcPr>
          <w:p w14:paraId="54EB61D4" w14:textId="77777777" w:rsidR="00A13130" w:rsidRPr="0052232C" w:rsidRDefault="00A13130" w:rsidP="00C04D59">
            <w:pPr>
              <w:jc w:val="both"/>
              <w:rPr>
                <w:rFonts w:ascii="Arial" w:eastAsia="Times New Roman" w:hAnsi="Arial" w:cs="Arial"/>
                <w:sz w:val="14"/>
                <w:szCs w:val="14"/>
                <w:lang w:eastAsia="fr-FR"/>
              </w:rPr>
            </w:pPr>
            <w:r w:rsidRPr="0052232C">
              <w:rPr>
                <w:rFonts w:ascii="Arial" w:eastAsia="Times New Roman" w:hAnsi="Arial" w:cs="Arial"/>
                <w:sz w:val="14"/>
                <w:szCs w:val="14"/>
                <w:lang w:eastAsia="fr-FR"/>
              </w:rPr>
              <w:t> </w:t>
            </w:r>
          </w:p>
        </w:tc>
        <w:tc>
          <w:tcPr>
            <w:tcW w:w="632" w:type="dxa"/>
            <w:vMerge w:val="restart"/>
            <w:tcBorders>
              <w:top w:val="nil"/>
              <w:left w:val="single" w:sz="4" w:space="0" w:color="000000"/>
              <w:bottom w:val="single" w:sz="4" w:space="0" w:color="000000"/>
              <w:right w:val="single" w:sz="4" w:space="0" w:color="000000"/>
            </w:tcBorders>
            <w:shd w:val="clear" w:color="000000" w:fill="F2F2F2"/>
            <w:textDirection w:val="btLr"/>
            <w:vAlign w:val="center"/>
            <w:hideMark/>
          </w:tcPr>
          <w:p w14:paraId="6514F840"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Augmentation du coût (et/ou des délais) de travaux</w:t>
            </w:r>
          </w:p>
        </w:tc>
        <w:tc>
          <w:tcPr>
            <w:tcW w:w="610" w:type="dxa"/>
            <w:vMerge w:val="restart"/>
            <w:tcBorders>
              <w:top w:val="nil"/>
              <w:left w:val="single" w:sz="4" w:space="0" w:color="000000"/>
              <w:bottom w:val="single" w:sz="4" w:space="0" w:color="000000"/>
              <w:right w:val="single" w:sz="4" w:space="0" w:color="0000CF"/>
            </w:tcBorders>
            <w:shd w:val="clear" w:color="000000" w:fill="F2F2F2"/>
            <w:vAlign w:val="center"/>
            <w:hideMark/>
          </w:tcPr>
          <w:p w14:paraId="7084A137"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w:t>
            </w:r>
          </w:p>
        </w:tc>
      </w:tr>
      <w:tr w:rsidR="00A13130" w:rsidRPr="0052232C" w14:paraId="487967DD" w14:textId="77777777" w:rsidTr="00A13130">
        <w:trPr>
          <w:trHeight w:val="531"/>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76D45BB9" w14:textId="77777777" w:rsidR="00A13130" w:rsidRPr="0052232C" w:rsidRDefault="00A13130" w:rsidP="00C04D59">
            <w:pPr>
              <w:jc w:val="both"/>
              <w:rPr>
                <w:rFonts w:ascii="Arial" w:eastAsia="Times New Roman" w:hAnsi="Arial" w:cs="Arial"/>
                <w:b/>
                <w:bCs/>
                <w:sz w:val="14"/>
                <w:szCs w:val="14"/>
                <w:lang w:eastAsia="fr-FR"/>
              </w:rPr>
            </w:pPr>
          </w:p>
        </w:tc>
        <w:tc>
          <w:tcPr>
            <w:tcW w:w="1406" w:type="dxa"/>
            <w:vMerge/>
            <w:tcBorders>
              <w:top w:val="nil"/>
              <w:left w:val="single" w:sz="4" w:space="0" w:color="000000"/>
              <w:bottom w:val="single" w:sz="4" w:space="0" w:color="000000"/>
              <w:right w:val="single" w:sz="4" w:space="0" w:color="000000"/>
            </w:tcBorders>
            <w:vAlign w:val="center"/>
            <w:hideMark/>
          </w:tcPr>
          <w:p w14:paraId="4BCFC257" w14:textId="77777777" w:rsidR="00A13130" w:rsidRPr="0052232C" w:rsidRDefault="00A13130" w:rsidP="00C04D59">
            <w:pPr>
              <w:jc w:val="center"/>
              <w:rPr>
                <w:rFonts w:ascii="Arial" w:eastAsia="Times New Roman" w:hAnsi="Arial" w:cs="Arial"/>
                <w:b/>
                <w:bCs/>
                <w:sz w:val="14"/>
                <w:szCs w:val="14"/>
                <w:lang w:eastAsia="fr-FR"/>
              </w:rPr>
            </w:pPr>
          </w:p>
        </w:tc>
        <w:tc>
          <w:tcPr>
            <w:tcW w:w="1995" w:type="dxa"/>
            <w:vMerge/>
            <w:tcBorders>
              <w:top w:val="nil"/>
              <w:left w:val="single" w:sz="4" w:space="0" w:color="000000"/>
              <w:bottom w:val="single" w:sz="4" w:space="0" w:color="000000"/>
              <w:right w:val="single" w:sz="4" w:space="0" w:color="000000"/>
            </w:tcBorders>
            <w:vAlign w:val="center"/>
            <w:hideMark/>
          </w:tcPr>
          <w:p w14:paraId="7C5F6070" w14:textId="77777777" w:rsidR="00A13130" w:rsidRPr="0052232C" w:rsidRDefault="00A13130" w:rsidP="00C04D59">
            <w:pPr>
              <w:rPr>
                <w:rFonts w:ascii="Arial" w:eastAsia="Times New Roman" w:hAnsi="Arial" w:cs="Arial"/>
                <w:sz w:val="14"/>
                <w:szCs w:val="14"/>
                <w:lang w:eastAsia="fr-FR"/>
              </w:rPr>
            </w:pPr>
          </w:p>
        </w:tc>
        <w:tc>
          <w:tcPr>
            <w:tcW w:w="5508" w:type="dxa"/>
            <w:vMerge/>
            <w:tcBorders>
              <w:top w:val="nil"/>
              <w:left w:val="single" w:sz="4" w:space="0" w:color="000000"/>
              <w:bottom w:val="single" w:sz="4" w:space="0" w:color="000000"/>
              <w:right w:val="single" w:sz="4" w:space="0" w:color="000000"/>
            </w:tcBorders>
            <w:vAlign w:val="center"/>
            <w:hideMark/>
          </w:tcPr>
          <w:p w14:paraId="7203AAE9" w14:textId="77777777" w:rsidR="00A13130" w:rsidRPr="0052232C" w:rsidRDefault="00A13130" w:rsidP="00C04D59">
            <w:pPr>
              <w:rPr>
                <w:rFonts w:ascii="Arial" w:eastAsia="Times New Roman" w:hAnsi="Arial" w:cs="Arial"/>
                <w:sz w:val="14"/>
                <w:szCs w:val="14"/>
                <w:lang w:eastAsia="fr-FR"/>
              </w:rPr>
            </w:pPr>
          </w:p>
        </w:tc>
        <w:tc>
          <w:tcPr>
            <w:tcW w:w="708" w:type="dxa"/>
            <w:vMerge/>
            <w:tcBorders>
              <w:top w:val="nil"/>
              <w:left w:val="single" w:sz="4" w:space="0" w:color="000000"/>
              <w:bottom w:val="single" w:sz="4" w:space="0" w:color="000000"/>
              <w:right w:val="single" w:sz="4" w:space="0" w:color="000000"/>
            </w:tcBorders>
            <w:vAlign w:val="center"/>
            <w:hideMark/>
          </w:tcPr>
          <w:p w14:paraId="11C0A129" w14:textId="77777777" w:rsidR="00A13130" w:rsidRPr="0052232C" w:rsidRDefault="00A13130" w:rsidP="00C04D59">
            <w:pPr>
              <w:jc w:val="center"/>
              <w:rPr>
                <w:rFonts w:ascii="Arial" w:eastAsia="Times New Roman" w:hAnsi="Arial" w:cs="Arial"/>
                <w:b/>
                <w:bCs/>
                <w:sz w:val="14"/>
                <w:szCs w:val="14"/>
                <w:lang w:eastAsia="fr-FR"/>
              </w:rPr>
            </w:pPr>
          </w:p>
        </w:tc>
        <w:tc>
          <w:tcPr>
            <w:tcW w:w="2241" w:type="dxa"/>
            <w:vMerge/>
            <w:tcBorders>
              <w:top w:val="nil"/>
              <w:left w:val="single" w:sz="4" w:space="0" w:color="000000"/>
              <w:bottom w:val="single" w:sz="4" w:space="0" w:color="000000"/>
              <w:right w:val="single" w:sz="4" w:space="0" w:color="000000"/>
            </w:tcBorders>
            <w:vAlign w:val="center"/>
            <w:hideMark/>
          </w:tcPr>
          <w:p w14:paraId="25F366C1" w14:textId="77777777" w:rsidR="00A13130" w:rsidRPr="0052232C" w:rsidRDefault="00A13130" w:rsidP="00C04D59">
            <w:pPr>
              <w:jc w:val="center"/>
              <w:rPr>
                <w:rFonts w:ascii="Arial" w:eastAsia="Times New Roman" w:hAnsi="Arial" w:cs="Arial"/>
                <w:sz w:val="14"/>
                <w:szCs w:val="14"/>
                <w:lang w:eastAsia="fr-FR"/>
              </w:rPr>
            </w:pPr>
          </w:p>
        </w:tc>
        <w:tc>
          <w:tcPr>
            <w:tcW w:w="613" w:type="dxa"/>
            <w:vMerge/>
            <w:tcBorders>
              <w:top w:val="nil"/>
              <w:left w:val="single" w:sz="4" w:space="0" w:color="000000"/>
              <w:bottom w:val="single" w:sz="4" w:space="0" w:color="000000"/>
              <w:right w:val="single" w:sz="4" w:space="0" w:color="000000"/>
            </w:tcBorders>
            <w:vAlign w:val="center"/>
            <w:hideMark/>
          </w:tcPr>
          <w:p w14:paraId="05B9D12F" w14:textId="77777777" w:rsidR="00A13130" w:rsidRPr="0052232C" w:rsidRDefault="00A13130" w:rsidP="00C04D59">
            <w:pPr>
              <w:jc w:val="both"/>
              <w:rPr>
                <w:rFonts w:ascii="Arial" w:eastAsia="Times New Roman" w:hAnsi="Arial" w:cs="Arial"/>
                <w:sz w:val="14"/>
                <w:szCs w:val="14"/>
                <w:lang w:eastAsia="fr-FR"/>
              </w:rPr>
            </w:pPr>
          </w:p>
        </w:tc>
        <w:tc>
          <w:tcPr>
            <w:tcW w:w="632" w:type="dxa"/>
            <w:vMerge/>
            <w:tcBorders>
              <w:top w:val="nil"/>
              <w:left w:val="single" w:sz="4" w:space="0" w:color="000000"/>
              <w:bottom w:val="single" w:sz="4" w:space="0" w:color="000000"/>
              <w:right w:val="single" w:sz="4" w:space="0" w:color="000000"/>
            </w:tcBorders>
            <w:vAlign w:val="center"/>
            <w:hideMark/>
          </w:tcPr>
          <w:p w14:paraId="449AAE19" w14:textId="77777777" w:rsidR="00A13130" w:rsidRPr="0052232C" w:rsidRDefault="00A13130" w:rsidP="00C04D59">
            <w:pPr>
              <w:rPr>
                <w:rFonts w:ascii="Arial" w:eastAsia="Times New Roman" w:hAnsi="Arial" w:cs="Arial"/>
                <w:sz w:val="14"/>
                <w:szCs w:val="14"/>
                <w:lang w:eastAsia="fr-FR"/>
              </w:rPr>
            </w:pPr>
          </w:p>
        </w:tc>
        <w:tc>
          <w:tcPr>
            <w:tcW w:w="610" w:type="dxa"/>
            <w:vMerge/>
            <w:tcBorders>
              <w:top w:val="nil"/>
              <w:left w:val="single" w:sz="4" w:space="0" w:color="000000"/>
              <w:bottom w:val="single" w:sz="4" w:space="0" w:color="000000"/>
              <w:right w:val="single" w:sz="4" w:space="0" w:color="0000CF"/>
            </w:tcBorders>
            <w:vAlign w:val="center"/>
            <w:hideMark/>
          </w:tcPr>
          <w:p w14:paraId="7D15CD7E" w14:textId="77777777" w:rsidR="00A13130" w:rsidRPr="0052232C" w:rsidRDefault="00A13130" w:rsidP="00C04D59">
            <w:pPr>
              <w:rPr>
                <w:rFonts w:ascii="Arial" w:eastAsia="Times New Roman" w:hAnsi="Arial" w:cs="Arial"/>
                <w:sz w:val="14"/>
                <w:szCs w:val="14"/>
                <w:lang w:eastAsia="fr-FR"/>
              </w:rPr>
            </w:pPr>
          </w:p>
        </w:tc>
      </w:tr>
      <w:tr w:rsidR="00A13130" w:rsidRPr="0052232C" w14:paraId="12AFDCC2" w14:textId="77777777" w:rsidTr="00A13130">
        <w:trPr>
          <w:trHeight w:val="1549"/>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74926452" w14:textId="77777777" w:rsidR="00A13130" w:rsidRPr="0052232C" w:rsidRDefault="00A13130" w:rsidP="00C04D59">
            <w:pPr>
              <w:jc w:val="both"/>
              <w:rPr>
                <w:rFonts w:ascii="Arial" w:eastAsia="Times New Roman" w:hAnsi="Arial" w:cs="Arial"/>
                <w:b/>
                <w:bCs/>
                <w:sz w:val="14"/>
                <w:szCs w:val="14"/>
                <w:lang w:eastAsia="fr-FR"/>
              </w:rPr>
            </w:pPr>
          </w:p>
        </w:tc>
        <w:tc>
          <w:tcPr>
            <w:tcW w:w="1406" w:type="dxa"/>
            <w:vMerge w:val="restart"/>
            <w:tcBorders>
              <w:top w:val="nil"/>
              <w:left w:val="single" w:sz="4" w:space="0" w:color="000000"/>
              <w:bottom w:val="single" w:sz="4" w:space="0" w:color="000000"/>
              <w:right w:val="single" w:sz="4" w:space="0" w:color="000000"/>
            </w:tcBorders>
            <w:shd w:val="clear" w:color="000000" w:fill="F2F2F2"/>
            <w:vAlign w:val="center"/>
            <w:hideMark/>
          </w:tcPr>
          <w:p w14:paraId="2F1F923B"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Milieu naturel et paysage</w:t>
            </w:r>
          </w:p>
        </w:tc>
        <w:tc>
          <w:tcPr>
            <w:tcW w:w="1995" w:type="dxa"/>
            <w:vMerge w:val="restart"/>
            <w:tcBorders>
              <w:top w:val="nil"/>
              <w:left w:val="single" w:sz="4" w:space="0" w:color="000000"/>
              <w:bottom w:val="single" w:sz="4" w:space="0" w:color="000000"/>
              <w:right w:val="single" w:sz="4" w:space="0" w:color="000000"/>
            </w:tcBorders>
            <w:shd w:val="clear" w:color="auto" w:fill="auto"/>
            <w:hideMark/>
          </w:tcPr>
          <w:p w14:paraId="69399F66"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Modification du cadre de vie, du paysage et des ressources naturelles (qualité de l'eau...)</w:t>
            </w:r>
            <w:r w:rsidRPr="0052232C">
              <w:rPr>
                <w:rFonts w:ascii="Arial" w:eastAsia="Times New Roman" w:hAnsi="Arial" w:cs="Arial"/>
                <w:sz w:val="14"/>
                <w:szCs w:val="14"/>
                <w:lang w:eastAsia="fr-FR"/>
              </w:rPr>
              <w:br/>
              <w:t>- Incidences sur espèces protégées</w:t>
            </w:r>
          </w:p>
        </w:tc>
        <w:tc>
          <w:tcPr>
            <w:tcW w:w="5508" w:type="dxa"/>
            <w:vMerge w:val="restart"/>
            <w:tcBorders>
              <w:top w:val="nil"/>
              <w:left w:val="single" w:sz="4" w:space="0" w:color="000000"/>
              <w:bottom w:val="single" w:sz="4" w:space="0" w:color="000000"/>
              <w:right w:val="single" w:sz="4" w:space="0" w:color="000000"/>
            </w:tcBorders>
            <w:shd w:val="clear" w:color="auto" w:fill="auto"/>
            <w:hideMark/>
          </w:tcPr>
          <w:p w14:paraId="62A4EE35"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réalisation d'un état des lieux préalable dans le cadre de l'évaluation environnementale du projet (évaluation stratégique environnementale en 2010, études d'impact à partir de 2012)</w:t>
            </w:r>
            <w:r w:rsidRPr="0052232C">
              <w:rPr>
                <w:rFonts w:ascii="Arial" w:eastAsia="Times New Roman" w:hAnsi="Arial" w:cs="Arial"/>
                <w:sz w:val="14"/>
                <w:szCs w:val="14"/>
                <w:lang w:eastAsia="fr-FR"/>
              </w:rPr>
              <w:br/>
              <w:t>- inventaires faune / flore complémentaires dans les secteurs identifiés comme sensibles</w:t>
            </w:r>
            <w:r w:rsidRPr="0052232C">
              <w:rPr>
                <w:rFonts w:ascii="Arial" w:eastAsia="Times New Roman" w:hAnsi="Arial" w:cs="Arial"/>
                <w:sz w:val="14"/>
                <w:szCs w:val="14"/>
                <w:lang w:eastAsia="fr-FR"/>
              </w:rPr>
              <w:br/>
              <w:t>- dispositions relevant de l'archéologie préventive</w:t>
            </w:r>
            <w:r w:rsidRPr="0052232C">
              <w:rPr>
                <w:rFonts w:ascii="Arial" w:eastAsia="Times New Roman" w:hAnsi="Arial" w:cs="Arial"/>
                <w:sz w:val="14"/>
                <w:szCs w:val="14"/>
                <w:lang w:eastAsia="fr-FR"/>
              </w:rPr>
              <w:br/>
              <w:t>- prise en compte de mesures d'évitement, de compensation ou de réduction des impacts éventuels dans la conception du projet</w:t>
            </w:r>
          </w:p>
        </w:tc>
        <w:tc>
          <w:tcPr>
            <w:tcW w:w="708" w:type="dxa"/>
            <w:vMerge w:val="restart"/>
            <w:tcBorders>
              <w:top w:val="nil"/>
              <w:left w:val="single" w:sz="4" w:space="0" w:color="000000"/>
              <w:bottom w:val="single" w:sz="4" w:space="0" w:color="000000"/>
              <w:right w:val="single" w:sz="4" w:space="0" w:color="000000"/>
            </w:tcBorders>
            <w:shd w:val="clear" w:color="000000" w:fill="EDEBE1"/>
            <w:textDirection w:val="btLr"/>
            <w:vAlign w:val="center"/>
            <w:hideMark/>
          </w:tcPr>
          <w:p w14:paraId="6C536581"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REALISATION EXPLOITATION</w:t>
            </w:r>
          </w:p>
        </w:tc>
        <w:tc>
          <w:tcPr>
            <w:tcW w:w="2241" w:type="dxa"/>
            <w:vMerge w:val="restart"/>
            <w:tcBorders>
              <w:top w:val="nil"/>
              <w:left w:val="single" w:sz="4" w:space="0" w:color="000000"/>
              <w:bottom w:val="single" w:sz="4" w:space="0" w:color="000000"/>
              <w:right w:val="single" w:sz="4" w:space="0" w:color="000000"/>
            </w:tcBorders>
            <w:shd w:val="clear" w:color="000000" w:fill="EDEBE1"/>
            <w:vAlign w:val="center"/>
            <w:hideMark/>
          </w:tcPr>
          <w:p w14:paraId="566A088A" w14:textId="77777777" w:rsidR="00A13130" w:rsidRPr="0052232C" w:rsidRDefault="00A13130" w:rsidP="00C04D59">
            <w:pPr>
              <w:jc w:val="center"/>
              <w:rPr>
                <w:rFonts w:ascii="Arial" w:eastAsia="Times New Roman" w:hAnsi="Arial" w:cs="Arial"/>
                <w:sz w:val="14"/>
                <w:szCs w:val="14"/>
                <w:lang w:eastAsia="fr-FR"/>
              </w:rPr>
            </w:pPr>
            <w:r w:rsidRPr="0052232C">
              <w:rPr>
                <w:rFonts w:ascii="Arial" w:eastAsia="Times New Roman" w:hAnsi="Arial" w:cs="Arial"/>
                <w:sz w:val="14"/>
                <w:szCs w:val="14"/>
                <w:lang w:eastAsia="fr-FR"/>
              </w:rPr>
              <w:t>Le risque résiduel et son impact sur les coûts du projet sont intégrés dans les provisions pour risques et aléas</w:t>
            </w:r>
          </w:p>
        </w:tc>
        <w:tc>
          <w:tcPr>
            <w:tcW w:w="613" w:type="dxa"/>
            <w:vMerge w:val="restart"/>
            <w:tcBorders>
              <w:top w:val="nil"/>
              <w:left w:val="single" w:sz="4" w:space="0" w:color="000000"/>
              <w:bottom w:val="single" w:sz="4" w:space="0" w:color="000000"/>
              <w:right w:val="single" w:sz="4" w:space="0" w:color="000000"/>
            </w:tcBorders>
            <w:shd w:val="clear" w:color="000000" w:fill="FFBF00"/>
            <w:hideMark/>
          </w:tcPr>
          <w:p w14:paraId="3CD66795" w14:textId="77777777" w:rsidR="00A13130" w:rsidRPr="0052232C" w:rsidRDefault="00A13130" w:rsidP="00C04D59">
            <w:pPr>
              <w:jc w:val="both"/>
              <w:rPr>
                <w:rFonts w:ascii="Arial" w:eastAsia="Times New Roman" w:hAnsi="Arial" w:cs="Arial"/>
                <w:sz w:val="14"/>
                <w:szCs w:val="14"/>
                <w:lang w:eastAsia="fr-FR"/>
              </w:rPr>
            </w:pPr>
            <w:r w:rsidRPr="0052232C">
              <w:rPr>
                <w:rFonts w:ascii="Arial" w:eastAsia="Times New Roman" w:hAnsi="Arial" w:cs="Arial"/>
                <w:sz w:val="14"/>
                <w:szCs w:val="14"/>
                <w:lang w:eastAsia="fr-FR"/>
              </w:rPr>
              <w:t> </w:t>
            </w:r>
          </w:p>
        </w:tc>
        <w:tc>
          <w:tcPr>
            <w:tcW w:w="632" w:type="dxa"/>
            <w:vMerge w:val="restart"/>
            <w:tcBorders>
              <w:top w:val="nil"/>
              <w:left w:val="single" w:sz="4" w:space="0" w:color="000000"/>
              <w:bottom w:val="single" w:sz="4" w:space="0" w:color="000000"/>
              <w:right w:val="single" w:sz="4" w:space="0" w:color="000000"/>
            </w:tcBorders>
            <w:shd w:val="clear" w:color="000000" w:fill="F2F2F2"/>
            <w:textDirection w:val="btLr"/>
            <w:vAlign w:val="center"/>
            <w:hideMark/>
          </w:tcPr>
          <w:p w14:paraId="0850839E"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Augmentation du coût (et/ou des délais) de travaux et des coûts d'exploitation</w:t>
            </w:r>
          </w:p>
        </w:tc>
        <w:tc>
          <w:tcPr>
            <w:tcW w:w="610" w:type="dxa"/>
            <w:vMerge w:val="restart"/>
            <w:tcBorders>
              <w:top w:val="nil"/>
              <w:left w:val="single" w:sz="4" w:space="0" w:color="000000"/>
              <w:bottom w:val="single" w:sz="4" w:space="0" w:color="000000"/>
              <w:right w:val="single" w:sz="4" w:space="0" w:color="0000CF"/>
            </w:tcBorders>
            <w:shd w:val="clear" w:color="000000" w:fill="F2F2F2"/>
            <w:textDirection w:val="btLr"/>
            <w:vAlign w:val="center"/>
            <w:hideMark/>
          </w:tcPr>
          <w:p w14:paraId="13D5F8A0"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Baisse des avantages en externalités (milieux naturels)</w:t>
            </w:r>
          </w:p>
        </w:tc>
      </w:tr>
      <w:tr w:rsidR="00A13130" w:rsidRPr="0052232C" w14:paraId="2FD64DBF" w14:textId="77777777" w:rsidTr="00A13130">
        <w:trPr>
          <w:trHeight w:val="886"/>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7FB4AEA7" w14:textId="77777777" w:rsidR="00A13130" w:rsidRPr="0052232C" w:rsidRDefault="00A13130" w:rsidP="00C04D59">
            <w:pPr>
              <w:jc w:val="both"/>
              <w:rPr>
                <w:rFonts w:ascii="Arial" w:eastAsia="Times New Roman" w:hAnsi="Arial" w:cs="Arial"/>
                <w:b/>
                <w:bCs/>
                <w:sz w:val="14"/>
                <w:szCs w:val="14"/>
                <w:lang w:eastAsia="fr-FR"/>
              </w:rPr>
            </w:pPr>
          </w:p>
        </w:tc>
        <w:tc>
          <w:tcPr>
            <w:tcW w:w="1406" w:type="dxa"/>
            <w:vMerge/>
            <w:tcBorders>
              <w:top w:val="nil"/>
              <w:left w:val="single" w:sz="4" w:space="0" w:color="000000"/>
              <w:bottom w:val="single" w:sz="4" w:space="0" w:color="000000"/>
              <w:right w:val="single" w:sz="4" w:space="0" w:color="000000"/>
            </w:tcBorders>
            <w:vAlign w:val="center"/>
            <w:hideMark/>
          </w:tcPr>
          <w:p w14:paraId="519D3501" w14:textId="77777777" w:rsidR="00A13130" w:rsidRPr="0052232C" w:rsidRDefault="00A13130" w:rsidP="00C04D59">
            <w:pPr>
              <w:jc w:val="center"/>
              <w:rPr>
                <w:rFonts w:ascii="Arial" w:eastAsia="Times New Roman" w:hAnsi="Arial" w:cs="Arial"/>
                <w:b/>
                <w:bCs/>
                <w:sz w:val="14"/>
                <w:szCs w:val="14"/>
                <w:lang w:eastAsia="fr-FR"/>
              </w:rPr>
            </w:pPr>
          </w:p>
        </w:tc>
        <w:tc>
          <w:tcPr>
            <w:tcW w:w="1995" w:type="dxa"/>
            <w:vMerge/>
            <w:tcBorders>
              <w:top w:val="nil"/>
              <w:left w:val="single" w:sz="4" w:space="0" w:color="000000"/>
              <w:bottom w:val="single" w:sz="4" w:space="0" w:color="000000"/>
              <w:right w:val="single" w:sz="4" w:space="0" w:color="000000"/>
            </w:tcBorders>
            <w:vAlign w:val="center"/>
            <w:hideMark/>
          </w:tcPr>
          <w:p w14:paraId="1707366A" w14:textId="77777777" w:rsidR="00A13130" w:rsidRPr="0052232C" w:rsidRDefault="00A13130" w:rsidP="00C04D59">
            <w:pPr>
              <w:rPr>
                <w:rFonts w:ascii="Arial" w:eastAsia="Times New Roman" w:hAnsi="Arial" w:cs="Arial"/>
                <w:sz w:val="14"/>
                <w:szCs w:val="14"/>
                <w:lang w:eastAsia="fr-FR"/>
              </w:rPr>
            </w:pPr>
          </w:p>
        </w:tc>
        <w:tc>
          <w:tcPr>
            <w:tcW w:w="5508" w:type="dxa"/>
            <w:vMerge/>
            <w:tcBorders>
              <w:top w:val="nil"/>
              <w:left w:val="single" w:sz="4" w:space="0" w:color="000000"/>
              <w:bottom w:val="single" w:sz="4" w:space="0" w:color="000000"/>
              <w:right w:val="single" w:sz="4" w:space="0" w:color="000000"/>
            </w:tcBorders>
            <w:vAlign w:val="center"/>
            <w:hideMark/>
          </w:tcPr>
          <w:p w14:paraId="0ABF4C30" w14:textId="77777777" w:rsidR="00A13130" w:rsidRPr="0052232C" w:rsidRDefault="00A13130" w:rsidP="00C04D59">
            <w:pPr>
              <w:rPr>
                <w:rFonts w:ascii="Arial" w:eastAsia="Times New Roman" w:hAnsi="Arial" w:cs="Arial"/>
                <w:sz w:val="14"/>
                <w:szCs w:val="14"/>
                <w:lang w:eastAsia="fr-FR"/>
              </w:rPr>
            </w:pPr>
          </w:p>
        </w:tc>
        <w:tc>
          <w:tcPr>
            <w:tcW w:w="708" w:type="dxa"/>
            <w:vMerge/>
            <w:tcBorders>
              <w:top w:val="nil"/>
              <w:left w:val="single" w:sz="4" w:space="0" w:color="000000"/>
              <w:bottom w:val="single" w:sz="4" w:space="0" w:color="000000"/>
              <w:right w:val="single" w:sz="4" w:space="0" w:color="000000"/>
            </w:tcBorders>
            <w:vAlign w:val="center"/>
            <w:hideMark/>
          </w:tcPr>
          <w:p w14:paraId="67DA9272" w14:textId="77777777" w:rsidR="00A13130" w:rsidRPr="0052232C" w:rsidRDefault="00A13130" w:rsidP="00C04D59">
            <w:pPr>
              <w:jc w:val="center"/>
              <w:rPr>
                <w:rFonts w:ascii="Arial" w:eastAsia="Times New Roman" w:hAnsi="Arial" w:cs="Arial"/>
                <w:b/>
                <w:bCs/>
                <w:sz w:val="14"/>
                <w:szCs w:val="14"/>
                <w:lang w:eastAsia="fr-FR"/>
              </w:rPr>
            </w:pPr>
          </w:p>
        </w:tc>
        <w:tc>
          <w:tcPr>
            <w:tcW w:w="2241" w:type="dxa"/>
            <w:vMerge/>
            <w:tcBorders>
              <w:top w:val="nil"/>
              <w:left w:val="single" w:sz="4" w:space="0" w:color="000000"/>
              <w:bottom w:val="single" w:sz="4" w:space="0" w:color="000000"/>
              <w:right w:val="single" w:sz="4" w:space="0" w:color="000000"/>
            </w:tcBorders>
            <w:vAlign w:val="center"/>
            <w:hideMark/>
          </w:tcPr>
          <w:p w14:paraId="4731046B" w14:textId="77777777" w:rsidR="00A13130" w:rsidRPr="0052232C" w:rsidRDefault="00A13130" w:rsidP="00C04D59">
            <w:pPr>
              <w:jc w:val="center"/>
              <w:rPr>
                <w:rFonts w:ascii="Arial" w:eastAsia="Times New Roman" w:hAnsi="Arial" w:cs="Arial"/>
                <w:sz w:val="14"/>
                <w:szCs w:val="14"/>
                <w:lang w:eastAsia="fr-FR"/>
              </w:rPr>
            </w:pPr>
          </w:p>
        </w:tc>
        <w:tc>
          <w:tcPr>
            <w:tcW w:w="613" w:type="dxa"/>
            <w:vMerge/>
            <w:tcBorders>
              <w:top w:val="nil"/>
              <w:left w:val="single" w:sz="4" w:space="0" w:color="000000"/>
              <w:bottom w:val="single" w:sz="4" w:space="0" w:color="000000"/>
              <w:right w:val="single" w:sz="4" w:space="0" w:color="000000"/>
            </w:tcBorders>
            <w:vAlign w:val="center"/>
            <w:hideMark/>
          </w:tcPr>
          <w:p w14:paraId="3E835104" w14:textId="77777777" w:rsidR="00A13130" w:rsidRPr="0052232C" w:rsidRDefault="00A13130" w:rsidP="00C04D59">
            <w:pPr>
              <w:jc w:val="both"/>
              <w:rPr>
                <w:rFonts w:ascii="Arial" w:eastAsia="Times New Roman" w:hAnsi="Arial" w:cs="Arial"/>
                <w:sz w:val="14"/>
                <w:szCs w:val="14"/>
                <w:lang w:eastAsia="fr-FR"/>
              </w:rPr>
            </w:pPr>
          </w:p>
        </w:tc>
        <w:tc>
          <w:tcPr>
            <w:tcW w:w="632" w:type="dxa"/>
            <w:vMerge/>
            <w:tcBorders>
              <w:top w:val="nil"/>
              <w:left w:val="single" w:sz="4" w:space="0" w:color="000000"/>
              <w:bottom w:val="single" w:sz="4" w:space="0" w:color="000000"/>
              <w:right w:val="single" w:sz="4" w:space="0" w:color="000000"/>
            </w:tcBorders>
            <w:vAlign w:val="center"/>
            <w:hideMark/>
          </w:tcPr>
          <w:p w14:paraId="4EC7DF9E" w14:textId="77777777" w:rsidR="00A13130" w:rsidRPr="0052232C" w:rsidRDefault="00A13130" w:rsidP="00C04D59">
            <w:pPr>
              <w:rPr>
                <w:rFonts w:ascii="Arial" w:eastAsia="Times New Roman" w:hAnsi="Arial" w:cs="Arial"/>
                <w:sz w:val="14"/>
                <w:szCs w:val="14"/>
                <w:lang w:eastAsia="fr-FR"/>
              </w:rPr>
            </w:pPr>
          </w:p>
        </w:tc>
        <w:tc>
          <w:tcPr>
            <w:tcW w:w="610" w:type="dxa"/>
            <w:vMerge/>
            <w:tcBorders>
              <w:top w:val="nil"/>
              <w:left w:val="single" w:sz="4" w:space="0" w:color="000000"/>
              <w:bottom w:val="single" w:sz="4" w:space="0" w:color="000000"/>
              <w:right w:val="single" w:sz="4" w:space="0" w:color="0000CF"/>
            </w:tcBorders>
            <w:vAlign w:val="center"/>
            <w:hideMark/>
          </w:tcPr>
          <w:p w14:paraId="64DA9014" w14:textId="77777777" w:rsidR="00A13130" w:rsidRPr="0052232C" w:rsidRDefault="00A13130" w:rsidP="00C04D59">
            <w:pPr>
              <w:rPr>
                <w:rFonts w:ascii="Arial" w:eastAsia="Times New Roman" w:hAnsi="Arial" w:cs="Arial"/>
                <w:sz w:val="14"/>
                <w:szCs w:val="14"/>
                <w:lang w:eastAsia="fr-FR"/>
              </w:rPr>
            </w:pPr>
          </w:p>
        </w:tc>
      </w:tr>
      <w:tr w:rsidR="00A13130" w:rsidRPr="0052232C" w14:paraId="5A9BCBEA" w14:textId="77777777" w:rsidTr="00A13130">
        <w:trPr>
          <w:trHeight w:val="586"/>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4B71633D" w14:textId="77777777" w:rsidR="00A13130" w:rsidRPr="0052232C" w:rsidRDefault="00A13130" w:rsidP="00C04D59">
            <w:pPr>
              <w:jc w:val="both"/>
              <w:rPr>
                <w:rFonts w:ascii="Arial" w:eastAsia="Times New Roman" w:hAnsi="Arial" w:cs="Arial"/>
                <w:b/>
                <w:bCs/>
                <w:sz w:val="14"/>
                <w:szCs w:val="14"/>
                <w:lang w:eastAsia="fr-FR"/>
              </w:rPr>
            </w:pPr>
          </w:p>
        </w:tc>
        <w:tc>
          <w:tcPr>
            <w:tcW w:w="1406" w:type="dxa"/>
            <w:vMerge/>
            <w:tcBorders>
              <w:top w:val="nil"/>
              <w:left w:val="single" w:sz="4" w:space="0" w:color="000000"/>
              <w:bottom w:val="single" w:sz="4" w:space="0" w:color="000000"/>
              <w:right w:val="single" w:sz="4" w:space="0" w:color="000000"/>
            </w:tcBorders>
            <w:vAlign w:val="center"/>
            <w:hideMark/>
          </w:tcPr>
          <w:p w14:paraId="57F9069B" w14:textId="77777777" w:rsidR="00A13130" w:rsidRPr="0052232C" w:rsidRDefault="00A13130" w:rsidP="00C04D59">
            <w:pPr>
              <w:jc w:val="center"/>
              <w:rPr>
                <w:rFonts w:ascii="Arial" w:eastAsia="Times New Roman" w:hAnsi="Arial" w:cs="Arial"/>
                <w:b/>
                <w:bCs/>
                <w:sz w:val="14"/>
                <w:szCs w:val="14"/>
                <w:lang w:eastAsia="fr-FR"/>
              </w:rPr>
            </w:pPr>
          </w:p>
        </w:tc>
        <w:tc>
          <w:tcPr>
            <w:tcW w:w="1995" w:type="dxa"/>
            <w:vMerge/>
            <w:tcBorders>
              <w:top w:val="nil"/>
              <w:left w:val="single" w:sz="4" w:space="0" w:color="000000"/>
              <w:bottom w:val="single" w:sz="4" w:space="0" w:color="000000"/>
              <w:right w:val="single" w:sz="4" w:space="0" w:color="000000"/>
            </w:tcBorders>
            <w:vAlign w:val="center"/>
            <w:hideMark/>
          </w:tcPr>
          <w:p w14:paraId="077F5449" w14:textId="77777777" w:rsidR="00A13130" w:rsidRPr="0052232C" w:rsidRDefault="00A13130" w:rsidP="00C04D59">
            <w:pPr>
              <w:rPr>
                <w:rFonts w:ascii="Arial" w:eastAsia="Times New Roman" w:hAnsi="Arial" w:cs="Arial"/>
                <w:sz w:val="14"/>
                <w:szCs w:val="14"/>
                <w:lang w:eastAsia="fr-FR"/>
              </w:rPr>
            </w:pPr>
          </w:p>
        </w:tc>
        <w:tc>
          <w:tcPr>
            <w:tcW w:w="5508" w:type="dxa"/>
            <w:vMerge/>
            <w:tcBorders>
              <w:top w:val="nil"/>
              <w:left w:val="single" w:sz="4" w:space="0" w:color="000000"/>
              <w:bottom w:val="single" w:sz="4" w:space="0" w:color="000000"/>
              <w:right w:val="single" w:sz="4" w:space="0" w:color="000000"/>
            </w:tcBorders>
            <w:vAlign w:val="center"/>
            <w:hideMark/>
          </w:tcPr>
          <w:p w14:paraId="3AD11E2E" w14:textId="77777777" w:rsidR="00A13130" w:rsidRPr="0052232C" w:rsidRDefault="00A13130" w:rsidP="00C04D59">
            <w:pPr>
              <w:rPr>
                <w:rFonts w:ascii="Arial" w:eastAsia="Times New Roman" w:hAnsi="Arial" w:cs="Arial"/>
                <w:sz w:val="14"/>
                <w:szCs w:val="14"/>
                <w:lang w:eastAsia="fr-FR"/>
              </w:rPr>
            </w:pPr>
          </w:p>
        </w:tc>
        <w:tc>
          <w:tcPr>
            <w:tcW w:w="708" w:type="dxa"/>
            <w:vMerge/>
            <w:tcBorders>
              <w:top w:val="nil"/>
              <w:left w:val="single" w:sz="4" w:space="0" w:color="000000"/>
              <w:bottom w:val="single" w:sz="4" w:space="0" w:color="000000"/>
              <w:right w:val="single" w:sz="4" w:space="0" w:color="000000"/>
            </w:tcBorders>
            <w:vAlign w:val="center"/>
            <w:hideMark/>
          </w:tcPr>
          <w:p w14:paraId="037FA441" w14:textId="77777777" w:rsidR="00A13130" w:rsidRPr="0052232C" w:rsidRDefault="00A13130" w:rsidP="00C04D59">
            <w:pPr>
              <w:jc w:val="center"/>
              <w:rPr>
                <w:rFonts w:ascii="Arial" w:eastAsia="Times New Roman" w:hAnsi="Arial" w:cs="Arial"/>
                <w:b/>
                <w:bCs/>
                <w:sz w:val="14"/>
                <w:szCs w:val="14"/>
                <w:lang w:eastAsia="fr-FR"/>
              </w:rPr>
            </w:pPr>
          </w:p>
        </w:tc>
        <w:tc>
          <w:tcPr>
            <w:tcW w:w="2241" w:type="dxa"/>
            <w:vMerge/>
            <w:tcBorders>
              <w:top w:val="nil"/>
              <w:left w:val="single" w:sz="4" w:space="0" w:color="000000"/>
              <w:bottom w:val="single" w:sz="4" w:space="0" w:color="000000"/>
              <w:right w:val="single" w:sz="4" w:space="0" w:color="000000"/>
            </w:tcBorders>
            <w:vAlign w:val="center"/>
            <w:hideMark/>
          </w:tcPr>
          <w:p w14:paraId="52CD0769" w14:textId="77777777" w:rsidR="00A13130" w:rsidRPr="0052232C" w:rsidRDefault="00A13130" w:rsidP="00C04D59">
            <w:pPr>
              <w:jc w:val="center"/>
              <w:rPr>
                <w:rFonts w:ascii="Arial" w:eastAsia="Times New Roman" w:hAnsi="Arial" w:cs="Arial"/>
                <w:sz w:val="14"/>
                <w:szCs w:val="14"/>
                <w:lang w:eastAsia="fr-FR"/>
              </w:rPr>
            </w:pPr>
          </w:p>
        </w:tc>
        <w:tc>
          <w:tcPr>
            <w:tcW w:w="613" w:type="dxa"/>
            <w:vMerge/>
            <w:tcBorders>
              <w:top w:val="nil"/>
              <w:left w:val="single" w:sz="4" w:space="0" w:color="000000"/>
              <w:bottom w:val="single" w:sz="4" w:space="0" w:color="000000"/>
              <w:right w:val="single" w:sz="4" w:space="0" w:color="000000"/>
            </w:tcBorders>
            <w:vAlign w:val="center"/>
            <w:hideMark/>
          </w:tcPr>
          <w:p w14:paraId="1EA23105" w14:textId="77777777" w:rsidR="00A13130" w:rsidRPr="0052232C" w:rsidRDefault="00A13130" w:rsidP="00C04D59">
            <w:pPr>
              <w:jc w:val="both"/>
              <w:rPr>
                <w:rFonts w:ascii="Arial" w:eastAsia="Times New Roman" w:hAnsi="Arial" w:cs="Arial"/>
                <w:sz w:val="14"/>
                <w:szCs w:val="14"/>
                <w:lang w:eastAsia="fr-FR"/>
              </w:rPr>
            </w:pPr>
          </w:p>
        </w:tc>
        <w:tc>
          <w:tcPr>
            <w:tcW w:w="632" w:type="dxa"/>
            <w:vMerge/>
            <w:tcBorders>
              <w:top w:val="nil"/>
              <w:left w:val="single" w:sz="4" w:space="0" w:color="000000"/>
              <w:bottom w:val="single" w:sz="4" w:space="0" w:color="000000"/>
              <w:right w:val="single" w:sz="4" w:space="0" w:color="000000"/>
            </w:tcBorders>
            <w:vAlign w:val="center"/>
            <w:hideMark/>
          </w:tcPr>
          <w:p w14:paraId="4F3F598B" w14:textId="77777777" w:rsidR="00A13130" w:rsidRPr="0052232C" w:rsidRDefault="00A13130" w:rsidP="00C04D59">
            <w:pPr>
              <w:rPr>
                <w:rFonts w:ascii="Arial" w:eastAsia="Times New Roman" w:hAnsi="Arial" w:cs="Arial"/>
                <w:sz w:val="14"/>
                <w:szCs w:val="14"/>
                <w:lang w:eastAsia="fr-FR"/>
              </w:rPr>
            </w:pPr>
          </w:p>
        </w:tc>
        <w:tc>
          <w:tcPr>
            <w:tcW w:w="610" w:type="dxa"/>
            <w:vMerge/>
            <w:tcBorders>
              <w:top w:val="nil"/>
              <w:left w:val="single" w:sz="4" w:space="0" w:color="000000"/>
              <w:bottom w:val="single" w:sz="4" w:space="0" w:color="000000"/>
              <w:right w:val="single" w:sz="4" w:space="0" w:color="0000CF"/>
            </w:tcBorders>
            <w:vAlign w:val="center"/>
            <w:hideMark/>
          </w:tcPr>
          <w:p w14:paraId="4C5B0356" w14:textId="77777777" w:rsidR="00A13130" w:rsidRPr="0052232C" w:rsidRDefault="00A13130" w:rsidP="00C04D59">
            <w:pPr>
              <w:rPr>
                <w:rFonts w:ascii="Arial" w:eastAsia="Times New Roman" w:hAnsi="Arial" w:cs="Arial"/>
                <w:sz w:val="14"/>
                <w:szCs w:val="14"/>
                <w:lang w:eastAsia="fr-FR"/>
              </w:rPr>
            </w:pPr>
          </w:p>
        </w:tc>
      </w:tr>
      <w:tr w:rsidR="00A13130" w:rsidRPr="0052232C" w14:paraId="36192826" w14:textId="77777777" w:rsidTr="00A13130">
        <w:trPr>
          <w:trHeight w:val="375"/>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25EAA966" w14:textId="77777777" w:rsidR="00A13130" w:rsidRPr="0052232C" w:rsidRDefault="00A13130" w:rsidP="00C04D59">
            <w:pPr>
              <w:jc w:val="both"/>
              <w:rPr>
                <w:rFonts w:ascii="Arial" w:eastAsia="Times New Roman" w:hAnsi="Arial" w:cs="Arial"/>
                <w:b/>
                <w:bCs/>
                <w:sz w:val="14"/>
                <w:szCs w:val="14"/>
                <w:lang w:eastAsia="fr-FR"/>
              </w:rPr>
            </w:pPr>
          </w:p>
        </w:tc>
        <w:tc>
          <w:tcPr>
            <w:tcW w:w="1406" w:type="dxa"/>
            <w:vMerge w:val="restart"/>
            <w:tcBorders>
              <w:top w:val="nil"/>
              <w:left w:val="single" w:sz="4" w:space="0" w:color="000000"/>
              <w:bottom w:val="single" w:sz="4" w:space="0" w:color="000000"/>
              <w:right w:val="single" w:sz="4" w:space="0" w:color="000000"/>
            </w:tcBorders>
            <w:shd w:val="clear" w:color="000000" w:fill="F2F2F2"/>
            <w:vAlign w:val="center"/>
            <w:hideMark/>
          </w:tcPr>
          <w:p w14:paraId="36717C48"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Bruit et vibrations</w:t>
            </w:r>
          </w:p>
        </w:tc>
        <w:tc>
          <w:tcPr>
            <w:tcW w:w="1995" w:type="dxa"/>
            <w:vMerge w:val="restart"/>
            <w:tcBorders>
              <w:top w:val="nil"/>
              <w:left w:val="single" w:sz="4" w:space="0" w:color="000000"/>
              <w:bottom w:val="single" w:sz="4" w:space="0" w:color="000000"/>
              <w:right w:val="single" w:sz="4" w:space="0" w:color="000000"/>
            </w:tcBorders>
            <w:shd w:val="clear" w:color="auto" w:fill="auto"/>
            <w:hideMark/>
          </w:tcPr>
          <w:p w14:paraId="3AB9A1E9"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Nuisances en phase travaux (bruits de chantier, vibrations)</w:t>
            </w:r>
            <w:r w:rsidRPr="0052232C">
              <w:rPr>
                <w:rFonts w:ascii="Arial" w:eastAsia="Times New Roman" w:hAnsi="Arial" w:cs="Arial"/>
                <w:sz w:val="14"/>
                <w:szCs w:val="14"/>
                <w:lang w:eastAsia="fr-FR"/>
              </w:rPr>
              <w:br/>
              <w:t>- Nuisances en phase d'exploitation (bruit / bruit solidien, vibrations liées à la circulation des trains et à l'exploitation des ouvrages)</w:t>
            </w:r>
          </w:p>
        </w:tc>
        <w:tc>
          <w:tcPr>
            <w:tcW w:w="5508" w:type="dxa"/>
            <w:vMerge w:val="restart"/>
            <w:tcBorders>
              <w:top w:val="nil"/>
              <w:left w:val="single" w:sz="4" w:space="0" w:color="000000"/>
              <w:bottom w:val="single" w:sz="4" w:space="0" w:color="000000"/>
              <w:right w:val="single" w:sz="4" w:space="0" w:color="000000"/>
            </w:tcBorders>
            <w:shd w:val="clear" w:color="auto" w:fill="auto"/>
            <w:hideMark/>
          </w:tcPr>
          <w:p w14:paraId="7E85339E"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modélisations acoustiques et vibratoires pour identifier les secteurs à risques</w:t>
            </w:r>
            <w:r w:rsidRPr="0052232C">
              <w:rPr>
                <w:rFonts w:ascii="Arial" w:eastAsia="Times New Roman" w:hAnsi="Arial" w:cs="Arial"/>
                <w:sz w:val="14"/>
                <w:szCs w:val="14"/>
                <w:lang w:eastAsia="fr-FR"/>
              </w:rPr>
              <w:br/>
              <w:t>- dispositions spécifiques mises en place pour traiter les points sensibles (ex. : grilles acoustiques pour ouvrages de ventilation, pose de voie antivibratoire...)</w:t>
            </w:r>
            <w:r w:rsidRPr="0052232C">
              <w:rPr>
                <w:rFonts w:ascii="Arial" w:eastAsia="Times New Roman" w:hAnsi="Arial" w:cs="Arial"/>
                <w:sz w:val="14"/>
                <w:szCs w:val="14"/>
                <w:lang w:eastAsia="fr-FR"/>
              </w:rPr>
              <w:br/>
              <w:t>- dispositions visant à réduire bruits et vibrations en phase de réalisation (horaires de chantier adaptés à l'environnement urbain, méthodes constructives adaptées le cas échéant...)</w:t>
            </w:r>
            <w:r w:rsidRPr="0052232C">
              <w:rPr>
                <w:rFonts w:ascii="Arial" w:eastAsia="Times New Roman" w:hAnsi="Arial" w:cs="Arial"/>
                <w:sz w:val="14"/>
                <w:szCs w:val="14"/>
                <w:lang w:eastAsia="fr-FR"/>
              </w:rPr>
              <w:br/>
              <w:t>- suivi et mesures du niveau sonore et vibratoire avant les travaux et en phase de réalisation</w:t>
            </w:r>
          </w:p>
        </w:tc>
        <w:tc>
          <w:tcPr>
            <w:tcW w:w="708" w:type="dxa"/>
            <w:vMerge w:val="restart"/>
            <w:tcBorders>
              <w:top w:val="nil"/>
              <w:left w:val="single" w:sz="4" w:space="0" w:color="000000"/>
              <w:bottom w:val="single" w:sz="4" w:space="0" w:color="000000"/>
              <w:right w:val="single" w:sz="4" w:space="0" w:color="000000"/>
            </w:tcBorders>
            <w:shd w:val="clear" w:color="000000" w:fill="EDEBE1"/>
            <w:textDirection w:val="btLr"/>
            <w:vAlign w:val="center"/>
            <w:hideMark/>
          </w:tcPr>
          <w:p w14:paraId="571A3BA5"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REALISATION EXPLOITATION</w:t>
            </w:r>
          </w:p>
        </w:tc>
        <w:tc>
          <w:tcPr>
            <w:tcW w:w="2241" w:type="dxa"/>
            <w:vMerge w:val="restart"/>
            <w:tcBorders>
              <w:top w:val="nil"/>
              <w:left w:val="single" w:sz="4" w:space="0" w:color="000000"/>
              <w:bottom w:val="single" w:sz="4" w:space="0" w:color="000000"/>
              <w:right w:val="single" w:sz="4" w:space="0" w:color="000000"/>
            </w:tcBorders>
            <w:shd w:val="clear" w:color="000000" w:fill="EDEBE1"/>
            <w:vAlign w:val="center"/>
            <w:hideMark/>
          </w:tcPr>
          <w:p w14:paraId="246EFD8A" w14:textId="77777777" w:rsidR="00A13130" w:rsidRPr="0052232C" w:rsidRDefault="00A13130" w:rsidP="00C04D59">
            <w:pPr>
              <w:jc w:val="center"/>
              <w:rPr>
                <w:rFonts w:ascii="Arial" w:eastAsia="Times New Roman" w:hAnsi="Arial" w:cs="Arial"/>
                <w:sz w:val="14"/>
                <w:szCs w:val="14"/>
                <w:lang w:eastAsia="fr-FR"/>
              </w:rPr>
            </w:pPr>
            <w:r w:rsidRPr="0052232C">
              <w:rPr>
                <w:rFonts w:ascii="Arial" w:eastAsia="Times New Roman" w:hAnsi="Arial" w:cs="Arial"/>
                <w:sz w:val="14"/>
                <w:szCs w:val="14"/>
                <w:lang w:eastAsia="fr-FR"/>
              </w:rPr>
              <w:t>Le risque résiduel et son impact sur les coûts du projet sont intégrés dans les provisions pour risques et aléas</w:t>
            </w:r>
          </w:p>
        </w:tc>
        <w:tc>
          <w:tcPr>
            <w:tcW w:w="613" w:type="dxa"/>
            <w:vMerge w:val="restart"/>
            <w:tcBorders>
              <w:top w:val="nil"/>
              <w:left w:val="single" w:sz="4" w:space="0" w:color="000000"/>
              <w:bottom w:val="single" w:sz="4" w:space="0" w:color="000000"/>
              <w:right w:val="single" w:sz="4" w:space="0" w:color="000000"/>
            </w:tcBorders>
            <w:shd w:val="clear" w:color="000000" w:fill="FFFFCC"/>
            <w:hideMark/>
          </w:tcPr>
          <w:p w14:paraId="51014D61" w14:textId="77777777" w:rsidR="00A13130" w:rsidRPr="0052232C" w:rsidRDefault="00A13130" w:rsidP="00C04D59">
            <w:pPr>
              <w:jc w:val="both"/>
              <w:rPr>
                <w:rFonts w:ascii="Arial" w:eastAsia="Times New Roman" w:hAnsi="Arial" w:cs="Arial"/>
                <w:sz w:val="14"/>
                <w:szCs w:val="14"/>
                <w:lang w:eastAsia="fr-FR"/>
              </w:rPr>
            </w:pPr>
            <w:r w:rsidRPr="0052232C">
              <w:rPr>
                <w:rFonts w:ascii="Arial" w:eastAsia="Times New Roman" w:hAnsi="Arial" w:cs="Arial"/>
                <w:sz w:val="14"/>
                <w:szCs w:val="14"/>
                <w:lang w:eastAsia="fr-FR"/>
              </w:rPr>
              <w:t> </w:t>
            </w:r>
          </w:p>
        </w:tc>
        <w:tc>
          <w:tcPr>
            <w:tcW w:w="632" w:type="dxa"/>
            <w:vMerge w:val="restart"/>
            <w:tcBorders>
              <w:top w:val="nil"/>
              <w:left w:val="single" w:sz="4" w:space="0" w:color="000000"/>
              <w:bottom w:val="single" w:sz="4" w:space="0" w:color="000000"/>
              <w:right w:val="single" w:sz="4" w:space="0" w:color="000000"/>
            </w:tcBorders>
            <w:shd w:val="clear" w:color="000000" w:fill="F2F2F2"/>
            <w:textDirection w:val="btLr"/>
            <w:vAlign w:val="center"/>
            <w:hideMark/>
          </w:tcPr>
          <w:p w14:paraId="3A026F8F"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Augmentation du coût (et/ou des délais) de travaux et des coûts d'exploitation</w:t>
            </w:r>
          </w:p>
        </w:tc>
        <w:tc>
          <w:tcPr>
            <w:tcW w:w="610" w:type="dxa"/>
            <w:vMerge w:val="restart"/>
            <w:tcBorders>
              <w:top w:val="nil"/>
              <w:left w:val="single" w:sz="4" w:space="0" w:color="000000"/>
              <w:bottom w:val="single" w:sz="4" w:space="0" w:color="000000"/>
              <w:right w:val="single" w:sz="4" w:space="0" w:color="0000CF"/>
            </w:tcBorders>
            <w:shd w:val="clear" w:color="000000" w:fill="F2F2F2"/>
            <w:textDirection w:val="btLr"/>
            <w:vAlign w:val="center"/>
            <w:hideMark/>
          </w:tcPr>
          <w:p w14:paraId="0A7E9B51"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Baisse des avantages en externalités (bruits...)</w:t>
            </w:r>
          </w:p>
        </w:tc>
      </w:tr>
      <w:tr w:rsidR="00A13130" w:rsidRPr="0052232C" w14:paraId="01F6BC95" w14:textId="77777777" w:rsidTr="00A13130">
        <w:trPr>
          <w:trHeight w:val="375"/>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7E261CB5" w14:textId="77777777" w:rsidR="00A13130" w:rsidRPr="0052232C" w:rsidRDefault="00A13130" w:rsidP="00C04D59">
            <w:pPr>
              <w:jc w:val="both"/>
              <w:rPr>
                <w:rFonts w:ascii="Arial" w:eastAsia="Times New Roman" w:hAnsi="Arial" w:cs="Arial"/>
                <w:b/>
                <w:bCs/>
                <w:sz w:val="14"/>
                <w:szCs w:val="14"/>
                <w:lang w:eastAsia="fr-FR"/>
              </w:rPr>
            </w:pPr>
          </w:p>
        </w:tc>
        <w:tc>
          <w:tcPr>
            <w:tcW w:w="1406" w:type="dxa"/>
            <w:vMerge/>
            <w:tcBorders>
              <w:top w:val="nil"/>
              <w:left w:val="single" w:sz="4" w:space="0" w:color="000000"/>
              <w:bottom w:val="single" w:sz="4" w:space="0" w:color="000000"/>
              <w:right w:val="single" w:sz="4" w:space="0" w:color="000000"/>
            </w:tcBorders>
            <w:vAlign w:val="center"/>
            <w:hideMark/>
          </w:tcPr>
          <w:p w14:paraId="172842F8" w14:textId="77777777" w:rsidR="00A13130" w:rsidRPr="0052232C" w:rsidRDefault="00A13130" w:rsidP="00C04D59">
            <w:pPr>
              <w:jc w:val="center"/>
              <w:rPr>
                <w:rFonts w:ascii="Arial" w:eastAsia="Times New Roman" w:hAnsi="Arial" w:cs="Arial"/>
                <w:b/>
                <w:bCs/>
                <w:sz w:val="14"/>
                <w:szCs w:val="14"/>
                <w:lang w:eastAsia="fr-FR"/>
              </w:rPr>
            </w:pPr>
          </w:p>
        </w:tc>
        <w:tc>
          <w:tcPr>
            <w:tcW w:w="1995" w:type="dxa"/>
            <w:vMerge/>
            <w:tcBorders>
              <w:top w:val="nil"/>
              <w:left w:val="single" w:sz="4" w:space="0" w:color="000000"/>
              <w:bottom w:val="single" w:sz="4" w:space="0" w:color="000000"/>
              <w:right w:val="single" w:sz="4" w:space="0" w:color="000000"/>
            </w:tcBorders>
            <w:vAlign w:val="center"/>
            <w:hideMark/>
          </w:tcPr>
          <w:p w14:paraId="7E9DD744" w14:textId="77777777" w:rsidR="00A13130" w:rsidRPr="0052232C" w:rsidRDefault="00A13130" w:rsidP="00C04D59">
            <w:pPr>
              <w:rPr>
                <w:rFonts w:ascii="Arial" w:eastAsia="Times New Roman" w:hAnsi="Arial" w:cs="Arial"/>
                <w:sz w:val="14"/>
                <w:szCs w:val="14"/>
                <w:lang w:eastAsia="fr-FR"/>
              </w:rPr>
            </w:pPr>
          </w:p>
        </w:tc>
        <w:tc>
          <w:tcPr>
            <w:tcW w:w="5508" w:type="dxa"/>
            <w:vMerge/>
            <w:tcBorders>
              <w:top w:val="nil"/>
              <w:left w:val="single" w:sz="4" w:space="0" w:color="000000"/>
              <w:bottom w:val="single" w:sz="4" w:space="0" w:color="000000"/>
              <w:right w:val="single" w:sz="4" w:space="0" w:color="000000"/>
            </w:tcBorders>
            <w:vAlign w:val="center"/>
            <w:hideMark/>
          </w:tcPr>
          <w:p w14:paraId="08584E3B" w14:textId="77777777" w:rsidR="00A13130" w:rsidRPr="0052232C" w:rsidRDefault="00A13130" w:rsidP="00C04D59">
            <w:pPr>
              <w:rPr>
                <w:rFonts w:ascii="Arial" w:eastAsia="Times New Roman" w:hAnsi="Arial" w:cs="Arial"/>
                <w:sz w:val="14"/>
                <w:szCs w:val="14"/>
                <w:lang w:eastAsia="fr-FR"/>
              </w:rPr>
            </w:pPr>
          </w:p>
        </w:tc>
        <w:tc>
          <w:tcPr>
            <w:tcW w:w="708" w:type="dxa"/>
            <w:vMerge/>
            <w:tcBorders>
              <w:top w:val="nil"/>
              <w:left w:val="single" w:sz="4" w:space="0" w:color="000000"/>
              <w:bottom w:val="single" w:sz="4" w:space="0" w:color="000000"/>
              <w:right w:val="single" w:sz="4" w:space="0" w:color="000000"/>
            </w:tcBorders>
            <w:vAlign w:val="center"/>
            <w:hideMark/>
          </w:tcPr>
          <w:p w14:paraId="3EBDF118" w14:textId="77777777" w:rsidR="00A13130" w:rsidRPr="0052232C" w:rsidRDefault="00A13130" w:rsidP="00C04D59">
            <w:pPr>
              <w:jc w:val="center"/>
              <w:rPr>
                <w:rFonts w:ascii="Arial" w:eastAsia="Times New Roman" w:hAnsi="Arial" w:cs="Arial"/>
                <w:b/>
                <w:bCs/>
                <w:sz w:val="14"/>
                <w:szCs w:val="14"/>
                <w:lang w:eastAsia="fr-FR"/>
              </w:rPr>
            </w:pPr>
          </w:p>
        </w:tc>
        <w:tc>
          <w:tcPr>
            <w:tcW w:w="2241" w:type="dxa"/>
            <w:vMerge/>
            <w:tcBorders>
              <w:top w:val="nil"/>
              <w:left w:val="single" w:sz="4" w:space="0" w:color="000000"/>
              <w:bottom w:val="single" w:sz="4" w:space="0" w:color="000000"/>
              <w:right w:val="single" w:sz="4" w:space="0" w:color="000000"/>
            </w:tcBorders>
            <w:vAlign w:val="center"/>
            <w:hideMark/>
          </w:tcPr>
          <w:p w14:paraId="17D70062" w14:textId="77777777" w:rsidR="00A13130" w:rsidRPr="0052232C" w:rsidRDefault="00A13130" w:rsidP="00C04D59">
            <w:pPr>
              <w:jc w:val="center"/>
              <w:rPr>
                <w:rFonts w:ascii="Arial" w:eastAsia="Times New Roman" w:hAnsi="Arial" w:cs="Arial"/>
                <w:sz w:val="14"/>
                <w:szCs w:val="14"/>
                <w:lang w:eastAsia="fr-FR"/>
              </w:rPr>
            </w:pPr>
          </w:p>
        </w:tc>
        <w:tc>
          <w:tcPr>
            <w:tcW w:w="613" w:type="dxa"/>
            <w:vMerge/>
            <w:tcBorders>
              <w:top w:val="nil"/>
              <w:left w:val="single" w:sz="4" w:space="0" w:color="000000"/>
              <w:bottom w:val="single" w:sz="4" w:space="0" w:color="000000"/>
              <w:right w:val="single" w:sz="4" w:space="0" w:color="000000"/>
            </w:tcBorders>
            <w:vAlign w:val="center"/>
            <w:hideMark/>
          </w:tcPr>
          <w:p w14:paraId="2E368133" w14:textId="77777777" w:rsidR="00A13130" w:rsidRPr="0052232C" w:rsidRDefault="00A13130" w:rsidP="00C04D59">
            <w:pPr>
              <w:jc w:val="both"/>
              <w:rPr>
                <w:rFonts w:ascii="Arial" w:eastAsia="Times New Roman" w:hAnsi="Arial" w:cs="Arial"/>
                <w:sz w:val="14"/>
                <w:szCs w:val="14"/>
                <w:lang w:eastAsia="fr-FR"/>
              </w:rPr>
            </w:pPr>
          </w:p>
        </w:tc>
        <w:tc>
          <w:tcPr>
            <w:tcW w:w="632" w:type="dxa"/>
            <w:vMerge/>
            <w:tcBorders>
              <w:top w:val="nil"/>
              <w:left w:val="single" w:sz="4" w:space="0" w:color="000000"/>
              <w:bottom w:val="single" w:sz="4" w:space="0" w:color="000000"/>
              <w:right w:val="single" w:sz="4" w:space="0" w:color="000000"/>
            </w:tcBorders>
            <w:vAlign w:val="center"/>
            <w:hideMark/>
          </w:tcPr>
          <w:p w14:paraId="7C0753F2" w14:textId="77777777" w:rsidR="00A13130" w:rsidRPr="0052232C" w:rsidRDefault="00A13130" w:rsidP="00C04D59">
            <w:pPr>
              <w:rPr>
                <w:rFonts w:ascii="Arial" w:eastAsia="Times New Roman" w:hAnsi="Arial" w:cs="Arial"/>
                <w:sz w:val="14"/>
                <w:szCs w:val="14"/>
                <w:lang w:eastAsia="fr-FR"/>
              </w:rPr>
            </w:pPr>
          </w:p>
        </w:tc>
        <w:tc>
          <w:tcPr>
            <w:tcW w:w="610" w:type="dxa"/>
            <w:vMerge/>
            <w:tcBorders>
              <w:top w:val="nil"/>
              <w:left w:val="single" w:sz="4" w:space="0" w:color="000000"/>
              <w:bottom w:val="single" w:sz="4" w:space="0" w:color="000000"/>
              <w:right w:val="single" w:sz="4" w:space="0" w:color="0000CF"/>
            </w:tcBorders>
            <w:vAlign w:val="center"/>
            <w:hideMark/>
          </w:tcPr>
          <w:p w14:paraId="402C63A0" w14:textId="77777777" w:rsidR="00A13130" w:rsidRPr="0052232C" w:rsidRDefault="00A13130" w:rsidP="00C04D59">
            <w:pPr>
              <w:rPr>
                <w:rFonts w:ascii="Arial" w:eastAsia="Times New Roman" w:hAnsi="Arial" w:cs="Arial"/>
                <w:sz w:val="14"/>
                <w:szCs w:val="14"/>
                <w:lang w:eastAsia="fr-FR"/>
              </w:rPr>
            </w:pPr>
          </w:p>
        </w:tc>
      </w:tr>
      <w:tr w:rsidR="00A13130" w:rsidRPr="0052232C" w14:paraId="1E769D70" w14:textId="77777777" w:rsidTr="00A13130">
        <w:trPr>
          <w:trHeight w:val="1063"/>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71AD503B" w14:textId="77777777" w:rsidR="00A13130" w:rsidRPr="0052232C" w:rsidRDefault="00A13130" w:rsidP="00C04D59">
            <w:pPr>
              <w:jc w:val="both"/>
              <w:rPr>
                <w:rFonts w:ascii="Arial" w:eastAsia="Times New Roman" w:hAnsi="Arial" w:cs="Arial"/>
                <w:b/>
                <w:bCs/>
                <w:sz w:val="14"/>
                <w:szCs w:val="14"/>
                <w:lang w:eastAsia="fr-FR"/>
              </w:rPr>
            </w:pPr>
          </w:p>
        </w:tc>
        <w:tc>
          <w:tcPr>
            <w:tcW w:w="1406" w:type="dxa"/>
            <w:vMerge w:val="restart"/>
            <w:tcBorders>
              <w:top w:val="nil"/>
              <w:left w:val="single" w:sz="4" w:space="0" w:color="000000"/>
              <w:bottom w:val="single" w:sz="4" w:space="0" w:color="000000"/>
              <w:right w:val="single" w:sz="4" w:space="0" w:color="000000"/>
            </w:tcBorders>
            <w:shd w:val="clear" w:color="000000" w:fill="F2F2F2"/>
            <w:vAlign w:val="center"/>
            <w:hideMark/>
          </w:tcPr>
          <w:p w14:paraId="20EBD8CE"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Modalités d'exécution des travaux / Gestion des déblais et des pollutions</w:t>
            </w:r>
          </w:p>
        </w:tc>
        <w:tc>
          <w:tcPr>
            <w:tcW w:w="1995" w:type="dxa"/>
            <w:vMerge w:val="restart"/>
            <w:tcBorders>
              <w:top w:val="nil"/>
              <w:left w:val="single" w:sz="4" w:space="0" w:color="000000"/>
              <w:bottom w:val="single" w:sz="4" w:space="0" w:color="000000"/>
              <w:right w:val="single" w:sz="4" w:space="0" w:color="000000"/>
            </w:tcBorders>
            <w:shd w:val="clear" w:color="auto" w:fill="auto"/>
            <w:hideMark/>
          </w:tcPr>
          <w:p w14:paraId="12E91A80"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Contraintes liées à la gestion des déblais : itinéraires et modalités d'évacuation, traitement des terres polluées, stockage des volumes excavés</w:t>
            </w:r>
            <w:r w:rsidRPr="0052232C">
              <w:rPr>
                <w:rFonts w:ascii="Arial" w:eastAsia="Times New Roman" w:hAnsi="Arial" w:cs="Arial"/>
                <w:sz w:val="14"/>
                <w:szCs w:val="14"/>
                <w:lang w:eastAsia="fr-FR"/>
              </w:rPr>
              <w:br/>
              <w:t>- Contraintes liées au déroulement des travaux et de la phase chantier : mesures à mettre en place pour prévenir et/ou réduire les impacts sur l’environnement et pour intervenir en cas d’incident ou d’accident</w:t>
            </w:r>
          </w:p>
        </w:tc>
        <w:tc>
          <w:tcPr>
            <w:tcW w:w="5508" w:type="dxa"/>
            <w:vMerge w:val="restart"/>
            <w:tcBorders>
              <w:top w:val="nil"/>
              <w:left w:val="single" w:sz="4" w:space="0" w:color="000000"/>
              <w:bottom w:val="single" w:sz="4" w:space="0" w:color="000000"/>
              <w:right w:val="single" w:sz="4" w:space="0" w:color="000000"/>
            </w:tcBorders>
            <w:shd w:val="clear" w:color="auto" w:fill="auto"/>
            <w:hideMark/>
          </w:tcPr>
          <w:p w14:paraId="13AA54CE"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 réalisation d'un schéma directeur d'évacuation des déblais par la Société du Grand Paris dès la phase d'études préliminaires, permettant d'anticiper les problématiques de gestion, de stockage et de traitement des terres excavées</w:t>
            </w:r>
            <w:r w:rsidRPr="0052232C">
              <w:rPr>
                <w:rFonts w:ascii="Arial" w:eastAsia="Times New Roman" w:hAnsi="Arial" w:cs="Arial"/>
                <w:sz w:val="14"/>
                <w:szCs w:val="14"/>
                <w:lang w:eastAsia="fr-FR"/>
              </w:rPr>
              <w:br/>
              <w:t>- application rigoureuse de la démarche normalisée en matière de sites et de sols pollués : études techniques spécifiques (historique</w:t>
            </w:r>
            <w:r w:rsidRPr="0052232C">
              <w:rPr>
                <w:rFonts w:ascii="Arial" w:eastAsia="Times New Roman" w:hAnsi="Arial" w:cs="Arial"/>
                <w:sz w:val="14"/>
                <w:szCs w:val="14"/>
                <w:lang w:eastAsia="fr-FR"/>
              </w:rPr>
              <w:br/>
              <w:t>/ diagnostic, caractérisation et quantification de la pollution, évaluation quantifiée des risques sanitaires, réalisation d'un plan de gestion des terres polluées pour la phase travaux)</w:t>
            </w:r>
            <w:r w:rsidRPr="0052232C">
              <w:rPr>
                <w:rFonts w:ascii="Arial" w:eastAsia="Times New Roman" w:hAnsi="Arial" w:cs="Arial"/>
                <w:sz w:val="14"/>
                <w:szCs w:val="14"/>
                <w:lang w:eastAsia="fr-FR"/>
              </w:rPr>
              <w:br/>
              <w:t>- mise en œuvre en phase travaux de schémas opérationnels de gestion des déchets établis par les entreprises réalisatrices, sur la base du schéma directeur d’évacuation des déblais établi par la Société du Grand Paris</w:t>
            </w:r>
            <w:r w:rsidRPr="0052232C">
              <w:rPr>
                <w:rFonts w:ascii="Arial" w:eastAsia="Times New Roman" w:hAnsi="Arial" w:cs="Arial"/>
                <w:sz w:val="14"/>
                <w:szCs w:val="14"/>
                <w:lang w:eastAsia="fr-FR"/>
              </w:rPr>
              <w:br/>
              <w:t>-  mise en œuvre de plans d’assurance environnement (PAE) établis pendant la phase de préparation des chantiers par les titulaires des marchés de travaux, pour prendre en compte l’organisation et les contraintes du chantier</w:t>
            </w:r>
          </w:p>
        </w:tc>
        <w:tc>
          <w:tcPr>
            <w:tcW w:w="708" w:type="dxa"/>
            <w:vMerge w:val="restart"/>
            <w:tcBorders>
              <w:top w:val="nil"/>
              <w:left w:val="single" w:sz="4" w:space="0" w:color="000000"/>
              <w:bottom w:val="single" w:sz="4" w:space="0" w:color="000000"/>
              <w:right w:val="single" w:sz="4" w:space="0" w:color="000000"/>
            </w:tcBorders>
            <w:shd w:val="clear" w:color="000000" w:fill="EDEBE1"/>
            <w:textDirection w:val="btLr"/>
            <w:vAlign w:val="center"/>
            <w:hideMark/>
          </w:tcPr>
          <w:p w14:paraId="08840E13" w14:textId="77777777" w:rsidR="00A13130" w:rsidRPr="0052232C" w:rsidRDefault="00A13130" w:rsidP="00C04D59">
            <w:pPr>
              <w:jc w:val="center"/>
              <w:rPr>
                <w:rFonts w:ascii="Arial" w:eastAsia="Times New Roman" w:hAnsi="Arial" w:cs="Arial"/>
                <w:b/>
                <w:bCs/>
                <w:sz w:val="14"/>
                <w:szCs w:val="14"/>
                <w:lang w:eastAsia="fr-FR"/>
              </w:rPr>
            </w:pPr>
            <w:r w:rsidRPr="0052232C">
              <w:rPr>
                <w:rFonts w:ascii="Arial" w:eastAsia="Times New Roman" w:hAnsi="Arial" w:cs="Arial"/>
                <w:b/>
                <w:bCs/>
                <w:sz w:val="14"/>
                <w:szCs w:val="14"/>
                <w:lang w:eastAsia="fr-FR"/>
              </w:rPr>
              <w:t>REALISATION</w:t>
            </w:r>
          </w:p>
        </w:tc>
        <w:tc>
          <w:tcPr>
            <w:tcW w:w="2241" w:type="dxa"/>
            <w:vMerge w:val="restart"/>
            <w:tcBorders>
              <w:top w:val="nil"/>
              <w:left w:val="single" w:sz="4" w:space="0" w:color="000000"/>
              <w:bottom w:val="single" w:sz="4" w:space="0" w:color="000000"/>
              <w:right w:val="single" w:sz="4" w:space="0" w:color="000000"/>
            </w:tcBorders>
            <w:shd w:val="clear" w:color="000000" w:fill="EDEBE1"/>
            <w:vAlign w:val="center"/>
            <w:hideMark/>
          </w:tcPr>
          <w:p w14:paraId="4D1C9AF6" w14:textId="77777777" w:rsidR="00A13130" w:rsidRPr="0052232C" w:rsidRDefault="00A13130" w:rsidP="00C04D59">
            <w:pPr>
              <w:jc w:val="center"/>
              <w:rPr>
                <w:rFonts w:ascii="Arial" w:eastAsia="Times New Roman" w:hAnsi="Arial" w:cs="Arial"/>
                <w:sz w:val="14"/>
                <w:szCs w:val="14"/>
                <w:lang w:eastAsia="fr-FR"/>
              </w:rPr>
            </w:pPr>
            <w:r w:rsidRPr="0052232C">
              <w:rPr>
                <w:rFonts w:ascii="Arial" w:eastAsia="Times New Roman" w:hAnsi="Arial" w:cs="Arial"/>
                <w:sz w:val="14"/>
                <w:szCs w:val="14"/>
                <w:lang w:eastAsia="fr-FR"/>
              </w:rPr>
              <w:t>Le risque résiduel et son impact sur les coûts du projet sont intégrés dans les provisions pour risques et aléas</w:t>
            </w:r>
          </w:p>
        </w:tc>
        <w:tc>
          <w:tcPr>
            <w:tcW w:w="613" w:type="dxa"/>
            <w:vMerge w:val="restart"/>
            <w:tcBorders>
              <w:top w:val="nil"/>
              <w:left w:val="single" w:sz="4" w:space="0" w:color="000000"/>
              <w:bottom w:val="single" w:sz="4" w:space="0" w:color="000000"/>
              <w:right w:val="single" w:sz="4" w:space="0" w:color="000000"/>
            </w:tcBorders>
            <w:shd w:val="clear" w:color="000000" w:fill="FFBF00"/>
            <w:hideMark/>
          </w:tcPr>
          <w:p w14:paraId="5D71A1B6" w14:textId="77777777" w:rsidR="00A13130" w:rsidRPr="0052232C" w:rsidRDefault="00A13130" w:rsidP="00C04D59">
            <w:pPr>
              <w:jc w:val="both"/>
              <w:rPr>
                <w:rFonts w:ascii="Arial" w:eastAsia="Times New Roman" w:hAnsi="Arial" w:cs="Arial"/>
                <w:sz w:val="14"/>
                <w:szCs w:val="14"/>
                <w:lang w:eastAsia="fr-FR"/>
              </w:rPr>
            </w:pPr>
            <w:r w:rsidRPr="0052232C">
              <w:rPr>
                <w:rFonts w:ascii="Arial" w:eastAsia="Times New Roman" w:hAnsi="Arial" w:cs="Arial"/>
                <w:sz w:val="14"/>
                <w:szCs w:val="14"/>
                <w:lang w:eastAsia="fr-FR"/>
              </w:rPr>
              <w:t> </w:t>
            </w:r>
          </w:p>
        </w:tc>
        <w:tc>
          <w:tcPr>
            <w:tcW w:w="632" w:type="dxa"/>
            <w:vMerge w:val="restart"/>
            <w:tcBorders>
              <w:top w:val="nil"/>
              <w:left w:val="single" w:sz="4" w:space="0" w:color="000000"/>
              <w:bottom w:val="single" w:sz="4" w:space="0" w:color="000000"/>
              <w:right w:val="single" w:sz="4" w:space="0" w:color="000000"/>
            </w:tcBorders>
            <w:shd w:val="clear" w:color="000000" w:fill="F2F2F2"/>
            <w:textDirection w:val="btLr"/>
            <w:vAlign w:val="center"/>
            <w:hideMark/>
          </w:tcPr>
          <w:p w14:paraId="6B55B4DB"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Augmentation du coût (et/ou des délais) de travaux</w:t>
            </w:r>
          </w:p>
        </w:tc>
        <w:tc>
          <w:tcPr>
            <w:tcW w:w="610" w:type="dxa"/>
            <w:vMerge w:val="restart"/>
            <w:tcBorders>
              <w:top w:val="nil"/>
              <w:left w:val="single" w:sz="4" w:space="0" w:color="000000"/>
              <w:bottom w:val="single" w:sz="4" w:space="0" w:color="000000"/>
              <w:right w:val="single" w:sz="4" w:space="0" w:color="0000CF"/>
            </w:tcBorders>
            <w:shd w:val="clear" w:color="000000" w:fill="F2F2F2"/>
            <w:textDirection w:val="btLr"/>
            <w:vAlign w:val="center"/>
            <w:hideMark/>
          </w:tcPr>
          <w:p w14:paraId="52082B6C" w14:textId="77777777" w:rsidR="00A13130" w:rsidRPr="0052232C" w:rsidRDefault="00A13130" w:rsidP="00C04D59">
            <w:pPr>
              <w:rPr>
                <w:rFonts w:ascii="Arial" w:eastAsia="Times New Roman" w:hAnsi="Arial" w:cs="Arial"/>
                <w:sz w:val="14"/>
                <w:szCs w:val="14"/>
                <w:lang w:eastAsia="fr-FR"/>
              </w:rPr>
            </w:pPr>
            <w:r w:rsidRPr="0052232C">
              <w:rPr>
                <w:rFonts w:ascii="Arial" w:eastAsia="Times New Roman" w:hAnsi="Arial" w:cs="Arial"/>
                <w:sz w:val="14"/>
                <w:szCs w:val="14"/>
                <w:lang w:eastAsia="fr-FR"/>
              </w:rPr>
              <w:t>Baisse des avantages en externalités (pollution)</w:t>
            </w:r>
          </w:p>
        </w:tc>
      </w:tr>
      <w:tr w:rsidR="00A13130" w:rsidRPr="0052232C" w14:paraId="14D14504" w14:textId="77777777" w:rsidTr="00A13130">
        <w:trPr>
          <w:trHeight w:val="358"/>
          <w:jc w:val="center"/>
        </w:trPr>
        <w:tc>
          <w:tcPr>
            <w:tcW w:w="584" w:type="dxa"/>
            <w:vMerge/>
            <w:tcBorders>
              <w:top w:val="single" w:sz="4" w:space="0" w:color="000000"/>
              <w:left w:val="single" w:sz="4" w:space="0" w:color="000000"/>
              <w:bottom w:val="single" w:sz="4" w:space="0" w:color="000000"/>
              <w:right w:val="single" w:sz="4" w:space="0" w:color="000000"/>
            </w:tcBorders>
            <w:vAlign w:val="center"/>
            <w:hideMark/>
          </w:tcPr>
          <w:p w14:paraId="478284F0" w14:textId="77777777" w:rsidR="00A13130" w:rsidRPr="0052232C" w:rsidRDefault="00A13130" w:rsidP="00C04D59">
            <w:pPr>
              <w:jc w:val="both"/>
              <w:rPr>
                <w:rFonts w:ascii="Arial" w:eastAsia="Times New Roman" w:hAnsi="Arial" w:cs="Arial"/>
                <w:b/>
                <w:bCs/>
                <w:sz w:val="14"/>
                <w:szCs w:val="14"/>
                <w:lang w:eastAsia="fr-FR"/>
              </w:rPr>
            </w:pPr>
          </w:p>
        </w:tc>
        <w:tc>
          <w:tcPr>
            <w:tcW w:w="1406" w:type="dxa"/>
            <w:vMerge/>
            <w:tcBorders>
              <w:top w:val="nil"/>
              <w:left w:val="single" w:sz="4" w:space="0" w:color="000000"/>
              <w:bottom w:val="single" w:sz="4" w:space="0" w:color="000000"/>
              <w:right w:val="single" w:sz="4" w:space="0" w:color="000000"/>
            </w:tcBorders>
            <w:vAlign w:val="center"/>
            <w:hideMark/>
          </w:tcPr>
          <w:p w14:paraId="7532CE51" w14:textId="77777777" w:rsidR="00A13130" w:rsidRPr="0052232C" w:rsidRDefault="00A13130" w:rsidP="00C04D59">
            <w:pPr>
              <w:jc w:val="both"/>
              <w:rPr>
                <w:rFonts w:ascii="Arial" w:eastAsia="Times New Roman" w:hAnsi="Arial" w:cs="Arial"/>
                <w:b/>
                <w:bCs/>
                <w:sz w:val="14"/>
                <w:szCs w:val="14"/>
                <w:lang w:eastAsia="fr-FR"/>
              </w:rPr>
            </w:pPr>
          </w:p>
        </w:tc>
        <w:tc>
          <w:tcPr>
            <w:tcW w:w="1995" w:type="dxa"/>
            <w:vMerge/>
            <w:tcBorders>
              <w:top w:val="nil"/>
              <w:left w:val="single" w:sz="4" w:space="0" w:color="000000"/>
              <w:bottom w:val="single" w:sz="4" w:space="0" w:color="000000"/>
              <w:right w:val="single" w:sz="4" w:space="0" w:color="000000"/>
            </w:tcBorders>
            <w:vAlign w:val="center"/>
            <w:hideMark/>
          </w:tcPr>
          <w:p w14:paraId="3921DF2E" w14:textId="77777777" w:rsidR="00A13130" w:rsidRPr="0052232C" w:rsidRDefault="00A13130" w:rsidP="00C04D59">
            <w:pPr>
              <w:rPr>
                <w:rFonts w:ascii="Arial" w:eastAsia="Times New Roman" w:hAnsi="Arial" w:cs="Arial"/>
                <w:color w:val="000000"/>
                <w:sz w:val="14"/>
                <w:szCs w:val="14"/>
                <w:lang w:eastAsia="fr-FR"/>
              </w:rPr>
            </w:pPr>
          </w:p>
        </w:tc>
        <w:tc>
          <w:tcPr>
            <w:tcW w:w="5508" w:type="dxa"/>
            <w:vMerge/>
            <w:tcBorders>
              <w:top w:val="nil"/>
              <w:left w:val="single" w:sz="4" w:space="0" w:color="000000"/>
              <w:bottom w:val="single" w:sz="4" w:space="0" w:color="000000"/>
              <w:right w:val="single" w:sz="4" w:space="0" w:color="000000"/>
            </w:tcBorders>
            <w:vAlign w:val="center"/>
            <w:hideMark/>
          </w:tcPr>
          <w:p w14:paraId="637BB4F6" w14:textId="77777777" w:rsidR="00A13130" w:rsidRPr="0052232C" w:rsidRDefault="00A13130" w:rsidP="00C04D59">
            <w:pPr>
              <w:rPr>
                <w:rFonts w:ascii="Arial" w:eastAsia="Times New Roman" w:hAnsi="Arial" w:cs="Arial"/>
                <w:color w:val="000000"/>
                <w:sz w:val="14"/>
                <w:szCs w:val="14"/>
                <w:lang w:eastAsia="fr-FR"/>
              </w:rPr>
            </w:pPr>
          </w:p>
        </w:tc>
        <w:tc>
          <w:tcPr>
            <w:tcW w:w="708" w:type="dxa"/>
            <w:vMerge/>
            <w:tcBorders>
              <w:top w:val="nil"/>
              <w:left w:val="single" w:sz="4" w:space="0" w:color="000000"/>
              <w:bottom w:val="single" w:sz="4" w:space="0" w:color="000000"/>
              <w:right w:val="single" w:sz="4" w:space="0" w:color="000000"/>
            </w:tcBorders>
            <w:vAlign w:val="center"/>
            <w:hideMark/>
          </w:tcPr>
          <w:p w14:paraId="1BDA25A0" w14:textId="77777777" w:rsidR="00A13130" w:rsidRPr="0052232C" w:rsidRDefault="00A13130" w:rsidP="00C04D59">
            <w:pPr>
              <w:jc w:val="both"/>
              <w:rPr>
                <w:rFonts w:ascii="Arial" w:eastAsia="Times New Roman" w:hAnsi="Arial" w:cs="Arial"/>
                <w:b/>
                <w:bCs/>
                <w:sz w:val="14"/>
                <w:szCs w:val="14"/>
                <w:lang w:eastAsia="fr-FR"/>
              </w:rPr>
            </w:pPr>
          </w:p>
        </w:tc>
        <w:tc>
          <w:tcPr>
            <w:tcW w:w="2241" w:type="dxa"/>
            <w:vMerge/>
            <w:tcBorders>
              <w:top w:val="nil"/>
              <w:left w:val="single" w:sz="4" w:space="0" w:color="000000"/>
              <w:bottom w:val="single" w:sz="4" w:space="0" w:color="000000"/>
              <w:right w:val="single" w:sz="4" w:space="0" w:color="000000"/>
            </w:tcBorders>
            <w:vAlign w:val="center"/>
            <w:hideMark/>
          </w:tcPr>
          <w:p w14:paraId="1AE21FF4" w14:textId="77777777" w:rsidR="00A13130" w:rsidRPr="0052232C" w:rsidRDefault="00A13130" w:rsidP="00C04D59">
            <w:pPr>
              <w:jc w:val="both"/>
              <w:rPr>
                <w:rFonts w:ascii="Arial" w:eastAsia="Times New Roman" w:hAnsi="Arial" w:cs="Arial"/>
                <w:sz w:val="14"/>
                <w:szCs w:val="14"/>
                <w:lang w:eastAsia="fr-FR"/>
              </w:rPr>
            </w:pPr>
          </w:p>
        </w:tc>
        <w:tc>
          <w:tcPr>
            <w:tcW w:w="613" w:type="dxa"/>
            <w:vMerge/>
            <w:tcBorders>
              <w:top w:val="nil"/>
              <w:left w:val="single" w:sz="4" w:space="0" w:color="000000"/>
              <w:bottom w:val="single" w:sz="4" w:space="0" w:color="000000"/>
              <w:right w:val="single" w:sz="4" w:space="0" w:color="000000"/>
            </w:tcBorders>
            <w:vAlign w:val="center"/>
            <w:hideMark/>
          </w:tcPr>
          <w:p w14:paraId="6FF08949" w14:textId="77777777" w:rsidR="00A13130" w:rsidRPr="0052232C" w:rsidRDefault="00A13130" w:rsidP="00C04D59">
            <w:pPr>
              <w:jc w:val="both"/>
              <w:rPr>
                <w:rFonts w:ascii="Arial" w:eastAsia="Times New Roman" w:hAnsi="Arial" w:cs="Arial"/>
                <w:color w:val="000000"/>
                <w:sz w:val="14"/>
                <w:szCs w:val="14"/>
                <w:lang w:eastAsia="fr-FR"/>
              </w:rPr>
            </w:pPr>
          </w:p>
        </w:tc>
        <w:tc>
          <w:tcPr>
            <w:tcW w:w="632" w:type="dxa"/>
            <w:vMerge/>
            <w:tcBorders>
              <w:top w:val="nil"/>
              <w:left w:val="single" w:sz="4" w:space="0" w:color="000000"/>
              <w:bottom w:val="single" w:sz="4" w:space="0" w:color="000000"/>
              <w:right w:val="single" w:sz="4" w:space="0" w:color="000000"/>
            </w:tcBorders>
            <w:vAlign w:val="center"/>
            <w:hideMark/>
          </w:tcPr>
          <w:p w14:paraId="79CFB7D1" w14:textId="77777777" w:rsidR="00A13130" w:rsidRPr="0052232C" w:rsidRDefault="00A13130" w:rsidP="00C04D59">
            <w:pPr>
              <w:jc w:val="both"/>
              <w:rPr>
                <w:rFonts w:ascii="Arial" w:eastAsia="Times New Roman" w:hAnsi="Arial" w:cs="Arial"/>
                <w:sz w:val="14"/>
                <w:szCs w:val="14"/>
                <w:lang w:eastAsia="fr-FR"/>
              </w:rPr>
            </w:pPr>
          </w:p>
        </w:tc>
        <w:tc>
          <w:tcPr>
            <w:tcW w:w="610" w:type="dxa"/>
            <w:vMerge/>
            <w:tcBorders>
              <w:top w:val="nil"/>
              <w:left w:val="single" w:sz="4" w:space="0" w:color="000000"/>
              <w:bottom w:val="single" w:sz="4" w:space="0" w:color="000000"/>
              <w:right w:val="single" w:sz="4" w:space="0" w:color="0000CF"/>
            </w:tcBorders>
            <w:vAlign w:val="center"/>
            <w:hideMark/>
          </w:tcPr>
          <w:p w14:paraId="30CBC855" w14:textId="77777777" w:rsidR="00A13130" w:rsidRPr="0052232C" w:rsidRDefault="00A13130" w:rsidP="00C04D59">
            <w:pPr>
              <w:jc w:val="both"/>
              <w:rPr>
                <w:rFonts w:ascii="Arial" w:eastAsia="Times New Roman" w:hAnsi="Arial" w:cs="Arial"/>
                <w:sz w:val="14"/>
                <w:szCs w:val="14"/>
                <w:lang w:eastAsia="fr-FR"/>
              </w:rPr>
            </w:pPr>
          </w:p>
        </w:tc>
      </w:tr>
    </w:tbl>
    <w:p w14:paraId="5590B81C" w14:textId="77777777" w:rsidR="005649FD" w:rsidRDefault="005649FD" w:rsidP="004C4CA3">
      <w:pPr>
        <w:jc w:val="both"/>
      </w:pPr>
    </w:p>
    <w:p w14:paraId="2BF3E104" w14:textId="77777777" w:rsidR="005649FD" w:rsidRDefault="005649FD" w:rsidP="004C4CA3">
      <w:pPr>
        <w:jc w:val="both"/>
      </w:pPr>
    </w:p>
    <w:p w14:paraId="460C1DEF" w14:textId="77777777" w:rsidR="005649FD" w:rsidRDefault="005649FD" w:rsidP="004C4CA3">
      <w:pPr>
        <w:jc w:val="both"/>
      </w:pPr>
    </w:p>
    <w:p w14:paraId="59E53E9A" w14:textId="77777777" w:rsidR="005649FD" w:rsidRDefault="005649FD" w:rsidP="004C4CA3">
      <w:pPr>
        <w:jc w:val="both"/>
        <w:sectPr w:rsidR="005649FD" w:rsidSect="00A13130">
          <w:pgSz w:w="23818" w:h="16838" w:orient="landscape"/>
          <w:pgMar w:top="1418" w:right="1418" w:bottom="1418" w:left="1418" w:header="709" w:footer="709" w:gutter="0"/>
          <w:cols w:space="708"/>
          <w:docGrid w:linePitch="272"/>
        </w:sectPr>
      </w:pPr>
    </w:p>
    <w:p w14:paraId="010B006F" w14:textId="11E19067" w:rsidR="003B5AAB" w:rsidRDefault="003B5AAB">
      <w:pPr>
        <w:rPr>
          <w:rFonts w:eastAsia="Times New Roman"/>
          <w:b/>
          <w:bCs/>
          <w:color w:val="931638"/>
          <w:sz w:val="26"/>
          <w:szCs w:val="26"/>
        </w:rPr>
      </w:pPr>
    </w:p>
    <w:p w14:paraId="122651AE" w14:textId="63182AEB" w:rsidR="003B5AAB" w:rsidRDefault="003B5AAB">
      <w:pPr>
        <w:rPr>
          <w:rFonts w:eastAsia="Times New Roman"/>
          <w:b/>
          <w:bCs/>
          <w:color w:val="931638"/>
          <w:sz w:val="26"/>
          <w:szCs w:val="26"/>
        </w:rPr>
      </w:pPr>
      <w:r>
        <w:br w:type="page"/>
      </w:r>
    </w:p>
    <w:p w14:paraId="313367BE" w14:textId="77777777" w:rsidR="00532B54" w:rsidRDefault="00532B54" w:rsidP="00651FF1">
      <w:pPr>
        <w:pStyle w:val="Titre2"/>
        <w:numPr>
          <w:ilvl w:val="0"/>
          <w:numId w:val="0"/>
        </w:numPr>
        <w:pBdr>
          <w:bottom w:val="single" w:sz="12" w:space="21" w:color="931638"/>
        </w:pBdr>
        <w:jc w:val="both"/>
        <w:sectPr w:rsidR="00532B54" w:rsidSect="00822CCC">
          <w:footerReference w:type="default" r:id="rId72"/>
          <w:pgSz w:w="23818" w:h="16838" w:orient="landscape"/>
          <w:pgMar w:top="1418" w:right="1701" w:bottom="1418" w:left="1701" w:header="709" w:footer="709" w:gutter="0"/>
          <w:cols w:space="708"/>
        </w:sectPr>
      </w:pPr>
    </w:p>
    <w:p w14:paraId="45E02441" w14:textId="3A23815F" w:rsidR="00336DD8" w:rsidRDefault="00532B54" w:rsidP="00CD1DD8">
      <w:r>
        <w:rPr>
          <w:noProof/>
        </w:rPr>
        <w:lastRenderedPageBreak/>
        <w:drawing>
          <wp:anchor distT="0" distB="0" distL="114300" distR="114300" simplePos="0" relativeHeight="251670016" behindDoc="0" locked="0" layoutInCell="1" allowOverlap="1" wp14:anchorId="42814F36" wp14:editId="48F5206F">
            <wp:simplePos x="0" y="0"/>
            <wp:positionH relativeFrom="page">
              <wp:align>left</wp:align>
            </wp:positionH>
            <wp:positionV relativeFrom="paragraph">
              <wp:posOffset>-891994</wp:posOffset>
            </wp:positionV>
            <wp:extent cx="15106650" cy="10673160"/>
            <wp:effectExtent l="0" t="0" r="0" b="0"/>
            <wp:wrapNone/>
            <wp:docPr id="28" name="Image 2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iapositive20.JPG"/>
                    <pic:cNvPicPr/>
                  </pic:nvPicPr>
                  <pic:blipFill>
                    <a:blip r:embed="rId73"/>
                    <a:stretch>
                      <a:fillRect/>
                    </a:stretch>
                  </pic:blipFill>
                  <pic:spPr>
                    <a:xfrm>
                      <a:off x="0" y="0"/>
                      <a:ext cx="15106650" cy="10673160"/>
                    </a:xfrm>
                    <a:prstGeom prst="rect">
                      <a:avLst/>
                    </a:prstGeom>
                  </pic:spPr>
                </pic:pic>
              </a:graphicData>
            </a:graphic>
            <wp14:sizeRelH relativeFrom="margin">
              <wp14:pctWidth>0</wp14:pctWidth>
            </wp14:sizeRelH>
            <wp14:sizeRelV relativeFrom="margin">
              <wp14:pctHeight>0</wp14:pctHeight>
            </wp14:sizeRelV>
          </wp:anchor>
        </w:drawing>
      </w:r>
    </w:p>
    <w:sectPr w:rsidR="00336DD8" w:rsidSect="00822CCC">
      <w:headerReference w:type="default" r:id="rId74"/>
      <w:pgSz w:w="23818" w:h="16838" w:orient="landscape"/>
      <w:pgMar w:top="1418" w:right="1701" w:bottom="1418" w:left="170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A68AC1" w14:textId="77777777" w:rsidR="00E76396" w:rsidRDefault="00E76396">
      <w:r>
        <w:separator/>
      </w:r>
    </w:p>
  </w:endnote>
  <w:endnote w:type="continuationSeparator" w:id="0">
    <w:p w14:paraId="5CA2346D" w14:textId="77777777" w:rsidR="00E76396" w:rsidRDefault="00E76396">
      <w:r>
        <w:continuationSeparator/>
      </w:r>
    </w:p>
  </w:endnote>
  <w:endnote w:type="continuationNotice" w:id="1">
    <w:p w14:paraId="10D82838" w14:textId="77777777" w:rsidR="00E76396" w:rsidRDefault="00E763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altName w:val="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iberation Serif">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Webdings">
    <w:panose1 w:val="05030102010509060703"/>
    <w:charset w:val="02"/>
    <w:family w:val="roman"/>
    <w:pitch w:val="variable"/>
    <w:sig w:usb0="00000000" w:usb1="10000000" w:usb2="00000000" w:usb3="00000000" w:csb0="80000000" w:csb1="00000000"/>
  </w:font>
  <w:font w:name="Zapf Dingbats">
    <w:panose1 w:val="00000000000000000000"/>
    <w:charset w:val="02"/>
    <w:family w:val="decorative"/>
    <w:notTrueType/>
    <w:pitch w:val="variable"/>
    <w:sig w:usb0="00000000" w:usb1="10000000" w:usb2="00000000" w:usb3="00000000" w:csb0="80000000" w:csb1="00000000"/>
  </w:font>
  <w:font w:name="Lucida Grande">
    <w:altName w:val="MS Mincho"/>
    <w:charset w:val="00"/>
    <w:family w:val="auto"/>
    <w:pitch w:val="variable"/>
    <w:sig w:usb0="00000000" w:usb1="5000A1FF" w:usb2="00000000" w:usb3="00000000" w:csb0="000001BF" w:csb1="00000000"/>
  </w:font>
  <w:font w:name="Comic Sans MS">
    <w:panose1 w:val="030F0702030302020204"/>
    <w:charset w:val="00"/>
    <w:family w:val="script"/>
    <w:pitch w:val="variable"/>
    <w:sig w:usb0="00000287" w:usb1="00000013" w:usb2="00000000" w:usb3="00000000" w:csb0="0000009F" w:csb1="00000000"/>
  </w:font>
  <w:font w:name="MS PGothic">
    <w:panose1 w:val="020B0600070205080204"/>
    <w:charset w:val="80"/>
    <w:family w:val="swiss"/>
    <w:pitch w:val="variable"/>
    <w:sig w:usb0="E00002FF" w:usb1="6AC7FDFB" w:usb2="08000012" w:usb3="00000000" w:csb0="0002009F" w:csb1="00000000"/>
  </w:font>
  <w:font w:name="Gotham">
    <w:altName w:val="Calibri"/>
    <w:panose1 w:val="00000000000000000000"/>
    <w:charset w:val="00"/>
    <w:family w:val="swiss"/>
    <w:notTrueType/>
    <w:pitch w:val="default"/>
    <w:sig w:usb0="00000003" w:usb1="00000000" w:usb2="00000000" w:usb3="00000000" w:csb0="00000001" w:csb1="00000000"/>
  </w:font>
  <w:font w:name="Swis721 Cn BT">
    <w:charset w:val="00"/>
    <w:family w:val="swiss"/>
    <w:pitch w:val="variable"/>
    <w:sig w:usb0="00000087" w:usb1="00000000" w:usb2="00000000" w:usb3="00000000" w:csb0="0000001B" w:csb1="00000000"/>
  </w:font>
  <w:font w:name="NSimSun">
    <w:panose1 w:val="02010609030101010101"/>
    <w:charset w:val="86"/>
    <w:family w:val="modern"/>
    <w:pitch w:val="fixed"/>
    <w:sig w:usb0="00000283" w:usb1="288F0000" w:usb2="00000016" w:usb3="00000000" w:csb0="00040001" w:csb1="00000000"/>
  </w:font>
  <w:font w:name="TheSansLight-Plain">
    <w:altName w:val="Times New Roman"/>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CBF38" w14:textId="77777777" w:rsidR="00B71BAF" w:rsidRDefault="00B71BAF" w:rsidP="00A73E8C">
    <w:pPr>
      <w:pStyle w:val="Pieddepage"/>
      <w:tabs>
        <w:tab w:val="clear" w:pos="-851"/>
        <w:tab w:val="clear" w:pos="-284"/>
        <w:tab w:val="center" w:pos="-709"/>
        <w:tab w:val="left" w:pos="0"/>
      </w:tabs>
      <w:ind w:left="0"/>
      <w:rPr>
        <w:rStyle w:val="Numrodepage"/>
        <w:i w:val="0"/>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649F6B" w14:textId="2F8EDDD6" w:rsidR="00B71BAF" w:rsidRPr="00DD5472" w:rsidRDefault="00B71BAF" w:rsidP="00CA7253">
    <w:pPr>
      <w:pStyle w:val="Pieddepage"/>
      <w:tabs>
        <w:tab w:val="clear" w:pos="-851"/>
        <w:tab w:val="clear" w:pos="-284"/>
        <w:tab w:val="center" w:pos="-709"/>
        <w:tab w:val="left" w:pos="0"/>
      </w:tabs>
      <w:ind w:left="-851"/>
      <w:rPr>
        <w:rStyle w:val="Numrodepage"/>
        <w:b/>
        <w:noProof/>
        <w:sz w:val="24"/>
        <w:szCs w:val="20"/>
        <w:lang w:val="x-none" w:eastAsia="x-non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98D8B" w14:textId="2374D45E" w:rsidR="00B71BAF" w:rsidRPr="000E0E7A" w:rsidRDefault="00B71BAF" w:rsidP="000E0E7A">
    <w:pPr>
      <w:pStyle w:val="Pieddepage"/>
      <w:rPr>
        <w:rStyle w:val="Numrodepage"/>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C217B" w14:textId="3162CE2F" w:rsidR="00B71BAF" w:rsidRDefault="00B71BAF">
    <w:pPr>
      <w:pStyle w:val="Pieddepage"/>
      <w:jc w:val="right"/>
    </w:pPr>
  </w:p>
  <w:sdt>
    <w:sdtPr>
      <w:id w:val="783549837"/>
      <w:docPartObj>
        <w:docPartGallery w:val="Page Numbers (Bottom of Page)"/>
        <w:docPartUnique/>
      </w:docPartObj>
    </w:sdtPr>
    <w:sdtEndPr>
      <w:rPr>
        <w:rStyle w:val="Numrodepage"/>
        <w:b/>
        <w:noProof/>
        <w:sz w:val="24"/>
        <w:szCs w:val="20"/>
        <w:lang w:val="x-none" w:eastAsia="x-none"/>
      </w:rPr>
    </w:sdtEndPr>
    <w:sdtContent>
      <w:p w14:paraId="2A00CD58" w14:textId="7EFE2094" w:rsidR="00B71BAF" w:rsidRPr="00DD5472" w:rsidRDefault="00E76396" w:rsidP="00CA7253">
        <w:pPr>
          <w:pStyle w:val="Pieddepage"/>
          <w:tabs>
            <w:tab w:val="clear" w:pos="-851"/>
            <w:tab w:val="clear" w:pos="-284"/>
            <w:tab w:val="center" w:pos="-709"/>
            <w:tab w:val="left" w:pos="0"/>
          </w:tabs>
          <w:ind w:left="-851"/>
          <w:rPr>
            <w:rStyle w:val="Numrodepage"/>
            <w:b/>
            <w:noProof/>
            <w:sz w:val="24"/>
            <w:szCs w:val="20"/>
            <w:lang w:val="x-none" w:eastAsia="x-none"/>
          </w:rPr>
        </w:pP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4DB34" w14:textId="44365217" w:rsidR="00B71BAF" w:rsidRPr="000E0E7A" w:rsidRDefault="00B71BAF" w:rsidP="000E0E7A">
    <w:pPr>
      <w:pStyle w:val="Pieddepage"/>
      <w:rPr>
        <w:rStyle w:val="Numrodepage"/>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AA711" w14:textId="545B97F5" w:rsidR="00B71BAF" w:rsidRPr="000E0E7A" w:rsidRDefault="00B71BAF" w:rsidP="000E0E7A">
    <w:pPr>
      <w:pStyle w:val="Pieddepage"/>
      <w:rPr>
        <w:rStyle w:val="Numrodepage"/>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EBC94E" w14:textId="384A7E90" w:rsidR="00B71BAF" w:rsidRPr="000E0E7A" w:rsidRDefault="00B71BAF" w:rsidP="000E0E7A">
    <w:pPr>
      <w:pStyle w:val="Pieddepage"/>
      <w:rPr>
        <w:rStyle w:val="Numrodepage"/>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3986913"/>
      <w:docPartObj>
        <w:docPartGallery w:val="Page Numbers (Bottom of Page)"/>
        <w:docPartUnique/>
      </w:docPartObj>
    </w:sdtPr>
    <w:sdtEndPr>
      <w:rPr>
        <w:rStyle w:val="Numrodepage"/>
        <w:b/>
        <w:noProof/>
        <w:sz w:val="24"/>
        <w:szCs w:val="20"/>
        <w:lang w:val="x-none" w:eastAsia="x-none"/>
      </w:rPr>
    </w:sdtEndPr>
    <w:sdtContent>
      <w:p w14:paraId="5DC8FA5B" w14:textId="0500883A" w:rsidR="00B71BAF" w:rsidRPr="00DD5472" w:rsidRDefault="00E76396" w:rsidP="00CA7253">
        <w:pPr>
          <w:pStyle w:val="Pieddepage"/>
          <w:tabs>
            <w:tab w:val="clear" w:pos="-851"/>
            <w:tab w:val="clear" w:pos="-284"/>
            <w:tab w:val="center" w:pos="-709"/>
            <w:tab w:val="left" w:pos="0"/>
          </w:tabs>
          <w:ind w:left="-851"/>
          <w:rPr>
            <w:rStyle w:val="Numrodepage"/>
            <w:b/>
            <w:noProof/>
            <w:sz w:val="24"/>
            <w:szCs w:val="20"/>
            <w:lang w:val="x-none" w:eastAsia="x-none"/>
          </w:rPr>
        </w:pP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5677168"/>
      <w:docPartObj>
        <w:docPartGallery w:val="Page Numbers (Bottom of Page)"/>
        <w:docPartUnique/>
      </w:docPartObj>
    </w:sdtPr>
    <w:sdtEndPr/>
    <w:sdtContent>
      <w:p w14:paraId="3539B041" w14:textId="1EAE846E" w:rsidR="00B71BAF" w:rsidRDefault="00B71BAF">
        <w:pPr>
          <w:pStyle w:val="Explorateurdedocuments"/>
          <w:ind w:left="-864"/>
        </w:pPr>
        <w:r>
          <w:rPr>
            <w:noProof/>
          </w:rPr>
          <mc:AlternateContent>
            <mc:Choice Requires="wpg">
              <w:drawing>
                <wp:inline distT="0" distB="0" distL="0" distR="0" wp14:anchorId="20609B07" wp14:editId="2A86DFDA">
                  <wp:extent cx="548640" cy="237490"/>
                  <wp:effectExtent l="9525" t="9525" r="13335" b="10160"/>
                  <wp:docPr id="25" name="Groupe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 cy="237490"/>
                            <a:chOff x="614" y="660"/>
                            <a:chExt cx="864" cy="374"/>
                          </a:xfrm>
                        </wpg:grpSpPr>
                        <wps:wsp>
                          <wps:cNvPr id="26" name="AutoShape 52"/>
                          <wps:cNvSpPr>
                            <a:spLocks noChangeArrowheads="1"/>
                          </wps:cNvSpPr>
                          <wps:spPr bwMode="auto">
                            <a:xfrm rot="-5400000">
                              <a:off x="859" y="415"/>
                              <a:ext cx="374" cy="864"/>
                            </a:xfrm>
                            <a:prstGeom prst="roundRect">
                              <a:avLst>
                                <a:gd name="adj" fmla="val 16667"/>
                              </a:avLst>
                            </a:prstGeom>
                            <a:solidFill>
                              <a:srgbClr val="FFFFFF"/>
                            </a:solidFill>
                            <a:ln w="9525">
                              <a:solidFill>
                                <a:srgbClr val="E4BE84"/>
                              </a:solidFill>
                              <a:round/>
                              <a:headEnd/>
                              <a:tailEnd/>
                            </a:ln>
                          </wps:spPr>
                          <wps:bodyPr rot="0" vert="horz" wrap="square" lIns="91440" tIns="45720" rIns="91440" bIns="45720" anchor="t" anchorCtr="0" upright="1">
                            <a:noAutofit/>
                          </wps:bodyPr>
                        </wps:wsp>
                        <wps:wsp>
                          <wps:cNvPr id="27" name="AutoShape 53"/>
                          <wps:cNvSpPr>
                            <a:spLocks noChangeArrowheads="1"/>
                          </wps:cNvSpPr>
                          <wps:spPr bwMode="auto">
                            <a:xfrm rot="-5400000">
                              <a:off x="898" y="451"/>
                              <a:ext cx="296" cy="792"/>
                            </a:xfrm>
                            <a:prstGeom prst="roundRect">
                              <a:avLst>
                                <a:gd name="adj" fmla="val 16667"/>
                              </a:avLst>
                            </a:prstGeom>
                            <a:solidFill>
                              <a:srgbClr val="E4BE84"/>
                            </a:solidFill>
                            <a:ln w="9525">
                              <a:solidFill>
                                <a:srgbClr val="E4BE84"/>
                              </a:solidFill>
                              <a:round/>
                              <a:headEnd/>
                              <a:tailEnd/>
                            </a:ln>
                          </wps:spPr>
                          <wps:bodyPr rot="0" vert="horz" wrap="square" lIns="91440" tIns="45720" rIns="91440" bIns="45720" anchor="t" anchorCtr="0" upright="1">
                            <a:noAutofit/>
                          </wps:bodyPr>
                        </wps:wsp>
                        <wps:wsp>
                          <wps:cNvPr id="29" name="Text Box 54"/>
                          <wps:cNvSpPr txBox="1">
                            <a:spLocks noChangeArrowheads="1"/>
                          </wps:cNvSpPr>
                          <wps:spPr bwMode="auto">
                            <a:xfrm>
                              <a:off x="732" y="716"/>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14B11" w14:textId="77777777" w:rsidR="00B71BAF" w:rsidRDefault="00B71BAF">
                                <w:pPr>
                                  <w:jc w:val="right"/>
                                </w:pPr>
                                <w:r>
                                  <w:fldChar w:fldCharType="begin"/>
                                </w:r>
                                <w:r>
                                  <w:instrText>PAGE    \* MERGEFORMAT</w:instrText>
                                </w:r>
                                <w:r>
                                  <w:fldChar w:fldCharType="separate"/>
                                </w:r>
                                <w:r>
                                  <w:rPr>
                                    <w:b/>
                                    <w:bCs/>
                                    <w:color w:val="FFFFFF" w:themeColor="background1"/>
                                  </w:rPr>
                                  <w:t>2</w:t>
                                </w:r>
                                <w:r>
                                  <w:rPr>
                                    <w:b/>
                                    <w:bCs/>
                                    <w:color w:val="FFFFFF" w:themeColor="background1"/>
                                  </w:rPr>
                                  <w:fldChar w:fldCharType="end"/>
                                </w:r>
                              </w:p>
                            </w:txbxContent>
                          </wps:txbx>
                          <wps:bodyPr rot="0" vert="horz" wrap="square" lIns="0" tIns="0" rIns="0" bIns="0" anchor="t" anchorCtr="0" upright="1">
                            <a:noAutofit/>
                          </wps:bodyPr>
                        </wps:wsp>
                      </wpg:wgp>
                    </a:graphicData>
                  </a:graphic>
                </wp:inline>
              </w:drawing>
            </mc:Choice>
            <mc:Fallback>
              <w:pict>
                <v:group w14:anchorId="20609B07" id="Groupe 25" o:spid="_x0000_s1033" style="width:43.2pt;height:18.7pt;mso-position-horizontal-relative:char;mso-position-vertical-relative:line"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eiGUwMAAMsKAAAOAAAAZHJzL2Uyb0RvYy54bWzsVttunDAQfa/Uf7D8nrAQYHdR2CiXTVQp&#10;baMm/QAvmEsLNrW9gfTrOx5gL2laqWkU9aE8INvjGWbOHB9zfNLVFbnnSpdSxNQ9nFDCRSLTUuQx&#10;/Xx3eTCjRBsmUlZJwWP6wDU9Wbx9c9w2EfdkIauUKwJBhI7aJqaFMU3kODopeM30oWy4AGMmVc0M&#10;TFXupIq1EL2uHG8yCZ1WqrRRMuFaw+pFb6QLjJ9lPDEfs0xzQ6qYQm4G3wrfK/t2FscsyhVrijIZ&#10;0mDPyKJmpYCPbkJdMMPIWpU/harLREktM3OYyNqRWVYmHGuAatzJo2qulFw3WEsetXmzgQmgfYTT&#10;s8MmH+5vFCnTmHoBJYLV0CP8LCewAOi0TR7BpivV3DY3qi8Rhtcy+arB7Dy223nebyar9r1MISBb&#10;G4nodJmqbQiom3TYhIdNE3hnSAKLgT8LfWhVAibvaOrPhyYlBXTSeoWuTwkYw3BjWQ6+4Nk7gp9N&#10;3mFR/0lMc0jL1gRk01s89d/heVuwhmObtIVqxDMc8TyF8nEPCbweUtw34ql7MImQ5wUTOT9VSrYF&#10;Zymk5WIVNl8I3DvYiYZWPI0uURI4fhD4E/sg6APYs2COsPku9pVFI+AWK0TborcLGosapc0VlzWx&#10;g5gCHUX6Cc4UxmX319ogIdKBOCz9QklWV3CC7llF3DAMp0PEYTM0ZIxpPbWsyvSyrCqcqHx1XikC&#10;rjG9xGdw3ttWCdLGdB4APX8fYumfLWdjRXshsA6olEUW5qVIcWxYWfVjyLISyO0e6p4xK5k+AOwI&#10;MPATRA8gKaT6TkkLAhJT/W3NFKekeiegdXPXtzQ2OPGDqQcTtWtZ7VqYSCBUTA0l/fDc9Cq1blSZ&#10;F/AlF8sV0rIpK41tlKVCn9UwAVK/FrunT7D7yPZrj6zQ4ldi9xwuGhAFP8Ajs2W3N4dzaLVkOsfD&#10;t5GELRNfn92/puZ/dv8T7Aap7O/CO6uSZ7IjASrJDrmJ6WB9PJcvSnOrTINqT4885PXUDe3h2vI6&#10;tHKOd+RsNsjkeLuOCjvyek+wrW5sqW8jCmkVGINb1dtZeFoHTbfqhnP+h5K4kcONFMKgl0EYvKAE&#10;4nUPf0xY6/B3Z3/Jducomdt/0MUPAAAA//8DAFBLAwQUAAYACAAAACEA1/+zf9wAAAADAQAADwAA&#10;AGRycy9kb3ducmV2LnhtbEyPQWvCQBCF74X+h2UKvdVNqrWSZiMibU8iVAvibcyOSTA7G7JrEv+9&#10;q5f2MvB4j/e+SeeDqUVHrassK4hHEQji3OqKCwW/26+XGQjnkTXWlknBhRzMs8eHFBNte/6hbuML&#10;EUrYJaig9L5JpHR5SQbdyDbEwTva1qAPsi2kbrEP5aaWr1E0lQYrDgslNrQsKT9tzkbBd4/9Yhx/&#10;dqvTcXnZb9/Wu1VMSj0/DYsPEJ4G/xeGG35AhywwHeyZtRO1gvCIv9/gzaYTEAcF4/cJyCyV/9mz&#10;KwAAAP//AwBQSwECLQAUAAYACAAAACEAtoM4kv4AAADhAQAAEwAAAAAAAAAAAAAAAAAAAAAAW0Nv&#10;bnRlbnRfVHlwZXNdLnhtbFBLAQItABQABgAIAAAAIQA4/SH/1gAAAJQBAAALAAAAAAAAAAAAAAAA&#10;AC8BAABfcmVscy8ucmVsc1BLAQItABQABgAIAAAAIQCzEeiGUwMAAMsKAAAOAAAAAAAAAAAAAAAA&#10;AC4CAABkcnMvZTJvRG9jLnhtbFBLAQItABQABgAIAAAAIQDX/7N/3AAAAAMBAAAPAAAAAAAAAAAA&#10;AAAAAK0FAABkcnMvZG93bnJldi54bWxQSwUGAAAAAAQABADzAAAAtgYAAAAA&#10;">
                  <v:roundrect id="AutoShape 52" o:spid="_x0000_s1034" style="position:absolute;left:859;top:415;width:374;height:864;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dg5xAAAANsAAAAPAAAAZHJzL2Rvd25yZXYueG1sRI9Ba4NA&#10;FITvhfyH5QVykbjWQxDrJoSAkEMh1PbQ48N9UYn7VtyNmvz6bqHQ4zAz3zDFYTG9mGh0nWUFr3EC&#10;gri2uuNGwddnuc1AOI+ssbdMCh7k4LBfvRSYazvzB02Vb0SAsMtRQev9kEvp6pYMutgOxMG72tGg&#10;D3JspB5xDnDTyzRJdtJgx2GhxYFOLdW36m4U6PSRyehS9s+ovEz3b1+9z2Wl1Ga9HN9AeFr8f/iv&#10;fdYK0h38fgk/QO5/AAAA//8DAFBLAQItABQABgAIAAAAIQDb4fbL7gAAAIUBAAATAAAAAAAAAAAA&#10;AAAAAAAAAABbQ29udGVudF9UeXBlc10ueG1sUEsBAi0AFAAGAAgAAAAhAFr0LFu/AAAAFQEAAAsA&#10;AAAAAAAAAAAAAAAAHwEAAF9yZWxzLy5yZWxzUEsBAi0AFAAGAAgAAAAhALuJ2DnEAAAA2wAAAA8A&#10;AAAAAAAAAAAAAAAABwIAAGRycy9kb3ducmV2LnhtbFBLBQYAAAAAAwADALcAAAD4AgAAAAA=&#10;" strokecolor="#e4be84"/>
                  <v:roundrect id="AutoShape 53" o:spid="_x0000_s1035" style="position:absolute;left:898;top:451;width:296;height:79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3QxAAAANsAAAAPAAAAZHJzL2Rvd25yZXYueG1sRI9PawIx&#10;FMTvhX6H8Aq9FM0qWGVrFBEK3op/kD0+N8/NtpuXJYm6+umNIPQ4zMxvmOm8s404kw+1YwWDfgaC&#10;uHS65krBbvvdm4AIEVlj45gUXCnAfPb6MsVcuwuv6byJlUgQDjkqMDG2uZShNGQx9F1LnLyj8xZj&#10;kr6S2uMlwW0jh1n2KS3WnBYMtrQ0VP5tTlbBTyGL5ag4jNeLzN+Og/2NPsyvUu9v3eILRKQu/oef&#10;7ZVWMBzD40v6AXJ2BwAA//8DAFBLAQItABQABgAIAAAAIQDb4fbL7gAAAIUBAAATAAAAAAAAAAAA&#10;AAAAAAAAAABbQ29udGVudF9UeXBlc10ueG1sUEsBAi0AFAAGAAgAAAAhAFr0LFu/AAAAFQEAAAsA&#10;AAAAAAAAAAAAAAAAHwEAAF9yZWxzLy5yZWxzUEsBAi0AFAAGAAgAAAAhAONNXdDEAAAA2wAAAA8A&#10;AAAAAAAAAAAAAAAABwIAAGRycy9kb3ducmV2LnhtbFBLBQYAAAAAAwADALcAAAD4AgAAAAA=&#10;" fillcolor="#e4be84" strokecolor="#e4be84"/>
                  <v:shapetype id="_x0000_t202" coordsize="21600,21600" o:spt="202" path="m,l,21600r21600,l21600,xe">
                    <v:stroke joinstyle="miter"/>
                    <v:path gradientshapeok="t" o:connecttype="rect"/>
                  </v:shapetype>
                  <v:shape id="Text Box 54" o:spid="_x0000_s1036" type="#_x0000_t202" style="position:absolute;left:732;top:716;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61D14B11" w14:textId="77777777" w:rsidR="00B71BAF" w:rsidRDefault="00B71BAF">
                          <w:pPr>
                            <w:jc w:val="right"/>
                          </w:pPr>
                          <w:r>
                            <w:fldChar w:fldCharType="begin"/>
                          </w:r>
                          <w:r>
                            <w:instrText>PAGE    \* MERGEFORMAT</w:instrText>
                          </w:r>
                          <w:r>
                            <w:fldChar w:fldCharType="separate"/>
                          </w:r>
                          <w:r>
                            <w:rPr>
                              <w:b/>
                              <w:bCs/>
                              <w:color w:val="FFFFFF" w:themeColor="background1"/>
                            </w:rPr>
                            <w:t>2</w:t>
                          </w:r>
                          <w:r>
                            <w:rPr>
                              <w:b/>
                              <w:bCs/>
                              <w:color w:val="FFFFFF" w:themeColor="background1"/>
                            </w:rPr>
                            <w:fldChar w:fldCharType="end"/>
                          </w:r>
                        </w:p>
                      </w:txbxContent>
                    </v:textbox>
                  </v:shape>
                  <w10:anchorlock/>
                </v:group>
              </w:pict>
            </mc:Fallback>
          </mc:AlternateContent>
        </w:r>
      </w:p>
    </w:sdtContent>
  </w:sdt>
  <w:p w14:paraId="473875E0" w14:textId="63D5E936" w:rsidR="00B71BAF" w:rsidRPr="000E0E7A" w:rsidRDefault="00B71BAF" w:rsidP="000E0E7A">
    <w:pPr>
      <w:pStyle w:val="Pieddepage"/>
      <w:rPr>
        <w:rStyle w:val="Numrodepag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77F8B3" w14:textId="77777777" w:rsidR="00E76396" w:rsidRDefault="00E76396">
      <w:r>
        <w:separator/>
      </w:r>
    </w:p>
  </w:footnote>
  <w:footnote w:type="continuationSeparator" w:id="0">
    <w:p w14:paraId="363BA369" w14:textId="77777777" w:rsidR="00E76396" w:rsidRDefault="00E76396">
      <w:r>
        <w:continuationSeparator/>
      </w:r>
    </w:p>
  </w:footnote>
  <w:footnote w:type="continuationNotice" w:id="1">
    <w:p w14:paraId="6ADFBC99" w14:textId="77777777" w:rsidR="00E76396" w:rsidRDefault="00E76396"/>
  </w:footnote>
  <w:footnote w:id="2">
    <w:p w14:paraId="1A24147D" w14:textId="77777777" w:rsidR="00B71BAF" w:rsidRPr="00EE3FDC" w:rsidRDefault="00B71BAF" w:rsidP="00032D56">
      <w:pPr>
        <w:pStyle w:val="Notedebasdepage"/>
        <w:jc w:val="both"/>
        <w:rPr>
          <w:szCs w:val="18"/>
        </w:rPr>
      </w:pPr>
      <w:r>
        <w:rPr>
          <w:rStyle w:val="Appelnotedebasdep"/>
        </w:rPr>
        <w:footnoteRef/>
      </w:r>
      <w:r>
        <w:t xml:space="preserve"> Voir P.-H.Bono, Q.David, R.Desborde , L. Py  (2019) Les métros et l’attractivité internationale des villes</w:t>
      </w:r>
      <w:r w:rsidRPr="00EE3FDC">
        <w:rPr>
          <w:szCs w:val="18"/>
        </w:rPr>
        <w:t xml:space="preserve">, Le Grand Paris Express, les enjeux économiques et urbains,  Chapitre 4 </w:t>
      </w:r>
    </w:p>
  </w:footnote>
  <w:footnote w:id="3">
    <w:p w14:paraId="7532ADF0" w14:textId="11F1373E"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La littérature sur cette question est maintenant abondante ; voir par exemple O. Åslund, J. Östh,  et Y. Zenou (2010). </w:t>
      </w:r>
      <w:r w:rsidRPr="00EE3FDC">
        <w:rPr>
          <w:szCs w:val="18"/>
          <w:lang w:val="en-US"/>
        </w:rPr>
        <w:t xml:space="preserve">How important is access to jobs? Old question - improved answer. </w:t>
      </w:r>
      <w:r w:rsidRPr="00EE3FDC">
        <w:rPr>
          <w:szCs w:val="18"/>
        </w:rPr>
        <w:t xml:space="preserve">Journal of Economic Geography, 10(3), 389-422.Voir H. Jayet et El Mehdi Aboulkacem (2019) Le Grand Paris Express et le marché du travail, Le Grand Paris Express, les enjeux économiques et urbains, Chapitre 5 </w:t>
      </w:r>
    </w:p>
  </w:footnote>
  <w:footnote w:id="4">
    <w:p w14:paraId="3447C8AC" w14:textId="546FC025"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Voir E. Wasmer et G. Chapelle (2019) Le rôle de la politique des transports dans la résorption des écarts spatiaux d’emploi et de loyers, Le Grand Paris Express, les enjeux économiques et urbains, chapitre 6</w:t>
      </w:r>
    </w:p>
  </w:footnote>
  <w:footnote w:id="5">
    <w:p w14:paraId="150223C8" w14:textId="198B9064" w:rsidR="00B71BAF" w:rsidRDefault="00B71BAF">
      <w:pPr>
        <w:pStyle w:val="Notedebasdepage"/>
      </w:pPr>
      <w:r>
        <w:rPr>
          <w:rStyle w:val="Appelnotedebasdep"/>
        </w:rPr>
        <w:footnoteRef/>
      </w:r>
      <w:r>
        <w:t xml:space="preserve"> D. Bureau et al., </w:t>
      </w:r>
      <w:r w:rsidRPr="00563A0B">
        <w:t>Le Grand Paris Express - Les sept clés du succès</w:t>
      </w:r>
      <w:r>
        <w:t>, Economica, 2019</w:t>
      </w:r>
    </w:p>
  </w:footnote>
  <w:footnote w:id="6">
    <w:p w14:paraId="40EA4B52" w14:textId="6A7121E1"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P.-P. Combes , L. Gobillon et M. Lafourcade (2019) L’impact des variations de densité et d’accessibilité sur la productivité du travail et les salaires, Le Grand Paris Express, les </w:t>
      </w:r>
      <w:r>
        <w:rPr>
          <w:szCs w:val="18"/>
        </w:rPr>
        <w:t>enjeux économiques et urbains, c</w:t>
      </w:r>
      <w:r w:rsidRPr="00EE3FDC">
        <w:rPr>
          <w:szCs w:val="18"/>
        </w:rPr>
        <w:t>hapitre 15</w:t>
      </w:r>
    </w:p>
  </w:footnote>
  <w:footnote w:id="7">
    <w:p w14:paraId="45734A88" w14:textId="3A6C6855" w:rsidR="00B71BAF" w:rsidRDefault="00B71BAF" w:rsidP="00A02036">
      <w:pPr>
        <w:pStyle w:val="Notedebasdepage"/>
        <w:jc w:val="both"/>
      </w:pPr>
      <w:r>
        <w:rPr>
          <w:rStyle w:val="Appelnotedebasdep"/>
        </w:rPr>
        <w:footnoteRef/>
      </w:r>
      <w:r>
        <w:t xml:space="preserve"> En effet la réalisation d’une infrastructure de transport en commun en anneau a tendance à favoriser un développement moins étalé de l’agglomération et une moindre utilisation des véhicules particuliers, ce qui va appeler quelques décennies plus tard d’autres réalisations de transport en commun elles même porteuses de réduction de la tendance à l’étalement urbain ; à l’inverse, laisser continuer l’étalement urbain entraîne pour les décideurs publics la nécessité de réaliser des voies routières porteuses elles-mêmes d’une intensification à terme de l’étalement urbain.</w:t>
      </w:r>
    </w:p>
  </w:footnote>
  <w:footnote w:id="8">
    <w:p w14:paraId="5320DEBB" w14:textId="7C2B8A8D"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D. Rodrik (2017). Peut-on faire confiance aux </w:t>
      </w:r>
      <w:r w:rsidRPr="00C85D1F">
        <w:rPr>
          <w:szCs w:val="18"/>
        </w:rPr>
        <w:t xml:space="preserve">économistes ? </w:t>
      </w:r>
      <w:r w:rsidRPr="00EE3FDC">
        <w:rPr>
          <w:szCs w:val="18"/>
        </w:rPr>
        <w:t>: Réussites et échecs de la science économique. De Boeck Supérieur.</w:t>
      </w:r>
    </w:p>
  </w:footnote>
  <w:footnote w:id="9">
    <w:p w14:paraId="1B081DCC" w14:textId="79211CE0" w:rsidR="00B71BAF" w:rsidRPr="00EE3FDC" w:rsidRDefault="00B71BAF" w:rsidP="009B3EEC">
      <w:pPr>
        <w:pStyle w:val="Notedebasdepage"/>
        <w:jc w:val="both"/>
        <w:rPr>
          <w:szCs w:val="18"/>
        </w:rPr>
      </w:pPr>
      <w:r w:rsidRPr="00EE3FDC">
        <w:rPr>
          <w:rStyle w:val="Appelnotedebasdep"/>
          <w:szCs w:val="18"/>
        </w:rPr>
        <w:footnoteRef/>
      </w:r>
      <w:r w:rsidRPr="00EE3FDC">
        <w:rPr>
          <w:szCs w:val="18"/>
        </w:rPr>
        <w:t xml:space="preserve"> </w:t>
      </w:r>
      <w:r>
        <w:rPr>
          <w:szCs w:val="18"/>
        </w:rPr>
        <w:t xml:space="preserve">H. </w:t>
      </w:r>
      <w:r w:rsidRPr="00EE3FDC">
        <w:rPr>
          <w:szCs w:val="18"/>
        </w:rPr>
        <w:t>Duchâteau</w:t>
      </w:r>
      <w:r>
        <w:rPr>
          <w:szCs w:val="18"/>
        </w:rPr>
        <w:t xml:space="preserve"> et</w:t>
      </w:r>
      <w:r w:rsidRPr="00EE3FDC">
        <w:rPr>
          <w:szCs w:val="18"/>
        </w:rPr>
        <w:t xml:space="preserve"> </w:t>
      </w:r>
      <w:r>
        <w:rPr>
          <w:szCs w:val="18"/>
        </w:rPr>
        <w:t>M.</w:t>
      </w:r>
      <w:r w:rsidRPr="00EE3FDC">
        <w:rPr>
          <w:szCs w:val="18"/>
        </w:rPr>
        <w:t xml:space="preserve"> Gaudry</w:t>
      </w:r>
      <w:r>
        <w:rPr>
          <w:szCs w:val="18"/>
        </w:rPr>
        <w:t xml:space="preserve"> </w:t>
      </w:r>
      <w:r w:rsidRPr="00EE3FDC">
        <w:rPr>
          <w:szCs w:val="18"/>
        </w:rPr>
        <w:t>(2014). État de l’art et préconisations pratiques d’amélioration des modèles de trafic utilisés récemment pour produire les prévisions des effets du projet du Grand Paris Express.</w:t>
      </w:r>
    </w:p>
  </w:footnote>
  <w:footnote w:id="10">
    <w:p w14:paraId="378729C4" w14:textId="1E77CB32" w:rsidR="00B71BAF" w:rsidRDefault="00B71BAF">
      <w:pPr>
        <w:pStyle w:val="Notedebasdepage"/>
      </w:pPr>
      <w:r>
        <w:rPr>
          <w:rStyle w:val="Appelnotedebasdep"/>
        </w:rPr>
        <w:footnoteRef/>
      </w:r>
      <w:r>
        <w:t xml:space="preserve"> </w:t>
      </w:r>
      <w:r w:rsidRPr="008072BC">
        <w:t>D. Bureau et al., Le Grand Paris Express - Les sept clés du succès, Economica, 2019</w:t>
      </w:r>
      <w:r>
        <w:t>, chapitres 6 et 7</w:t>
      </w:r>
    </w:p>
  </w:footnote>
  <w:footnote w:id="11">
    <w:p w14:paraId="3733332F"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Dossier du maître d’ouvrage pour le débat public sur le réseau de transport public du Grand Paris (2010), pp. 52-57.</w:t>
      </w:r>
    </w:p>
  </w:footnote>
  <w:footnote w:id="12">
    <w:p w14:paraId="423F7428"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Dossier du maître d’ouvrage pour le débat public sur le réseau de transport public du Grand Paris (2010), p. 52.</w:t>
      </w:r>
    </w:p>
  </w:footnote>
  <w:footnote w:id="13">
    <w:p w14:paraId="60B989D8" w14:textId="77777777" w:rsidR="00B71BAF" w:rsidRPr="00AC7DBF" w:rsidRDefault="00B71BAF" w:rsidP="00A13130">
      <w:pPr>
        <w:pStyle w:val="Notedebasdepage"/>
        <w:rPr>
          <w:color w:val="FF0000"/>
        </w:rPr>
      </w:pPr>
      <w:r w:rsidRPr="000C142F">
        <w:rPr>
          <w:rStyle w:val="Appelnotedebasdep"/>
        </w:rPr>
        <w:footnoteRef/>
      </w:r>
      <w:r w:rsidRPr="000C142F">
        <w:t xml:space="preserve"> Voir aussi la section 1</w:t>
      </w:r>
      <w:r>
        <w:t xml:space="preserve"> </w:t>
      </w:r>
      <w:r w:rsidRPr="000C142F">
        <w:t xml:space="preserve">du </w:t>
      </w:r>
      <w:r w:rsidRPr="00211292">
        <w:t>chapitre 1.</w:t>
      </w:r>
    </w:p>
  </w:footnote>
  <w:footnote w:id="14">
    <w:p w14:paraId="2A9BB297" w14:textId="0F6E293A" w:rsidR="00B71BAF" w:rsidRPr="00AA698C" w:rsidRDefault="00B71BAF">
      <w:pPr>
        <w:pStyle w:val="Notedebasdepage"/>
      </w:pPr>
      <w:r w:rsidRPr="00AA698C">
        <w:rPr>
          <w:rStyle w:val="Appelnotedebasdep"/>
        </w:rPr>
        <w:footnoteRef/>
      </w:r>
      <w:r w:rsidRPr="00AA698C">
        <w:t xml:space="preserve"> La notion de tiers-lieu a été introduite en 1989 par le sociologue américain Ray Oldenburg.</w:t>
      </w:r>
    </w:p>
  </w:footnote>
  <w:footnote w:id="15">
    <w:p w14:paraId="2C1B00C9" w14:textId="772E000A" w:rsidR="00B71BAF" w:rsidRPr="00AA698C" w:rsidRDefault="00B71BAF">
      <w:pPr>
        <w:pStyle w:val="Notedebasdepage"/>
      </w:pPr>
      <w:r w:rsidRPr="00AA698C">
        <w:rPr>
          <w:rStyle w:val="Appelnotedebasdep"/>
        </w:rPr>
        <w:footnoteRef/>
      </w:r>
      <w:r w:rsidRPr="00AA698C">
        <w:t xml:space="preserve"> Selon les résultats tirés des enquêtes globales transports (EGT 2001 et 2018) de la Région Île-de-France. Sources : Omnil, STIF devenu Île-de-France Mobilités et DRIEA.</w:t>
      </w:r>
    </w:p>
  </w:footnote>
  <w:footnote w:id="16">
    <w:p w14:paraId="029B60E7" w14:textId="3DBE9AF5" w:rsidR="00B71BAF" w:rsidRPr="00AA698C" w:rsidRDefault="00B71BAF">
      <w:pPr>
        <w:pStyle w:val="Notedebasdepage"/>
      </w:pPr>
      <w:r w:rsidRPr="00AA698C">
        <w:rPr>
          <w:rStyle w:val="Appelnotedebasdep"/>
        </w:rPr>
        <w:footnoteRef/>
      </w:r>
      <w:r w:rsidRPr="00AA698C">
        <w:t xml:space="preserve"> « Externalités des télécentres », Caisse des Dépôts, mars 2014, p. 54.</w:t>
      </w:r>
    </w:p>
  </w:footnote>
  <w:footnote w:id="17">
    <w:p w14:paraId="4483C376" w14:textId="2990493D" w:rsidR="00B71BAF" w:rsidRPr="00A13130" w:rsidRDefault="00B71BAF">
      <w:pPr>
        <w:pStyle w:val="Notedebasdepage"/>
        <w:rPr>
          <w:color w:val="FF0000"/>
          <w:lang w:val="en-US"/>
        </w:rPr>
      </w:pPr>
      <w:r w:rsidRPr="00AA698C">
        <w:rPr>
          <w:rStyle w:val="Appelnotedebasdep"/>
        </w:rPr>
        <w:footnoteRef/>
      </w:r>
      <w:r w:rsidRPr="00A13130">
        <w:rPr>
          <w:lang w:val="en-US"/>
        </w:rPr>
        <w:t xml:space="preserve"> Cf. notamment : « Does telework weaken urban stucture-travel relationships ? », The Journal of Transportation and Land Use. Vol. 10 N) 2, 2017, pp. 187-2010.</w:t>
      </w:r>
    </w:p>
  </w:footnote>
  <w:footnote w:id="18">
    <w:p w14:paraId="6A5997CB" w14:textId="3F1D6490" w:rsidR="00B71BAF" w:rsidRPr="007B5D89" w:rsidRDefault="00B71BAF">
      <w:pPr>
        <w:pStyle w:val="Notedebasdepage"/>
      </w:pPr>
      <w:r w:rsidRPr="007B5D89">
        <w:rPr>
          <w:rStyle w:val="Appelnotedebasdep"/>
        </w:rPr>
        <w:footnoteRef/>
      </w:r>
      <w:r w:rsidRPr="007B5D89">
        <w:t xml:space="preserve"> Sans les trottinettes. En 2018, les trottinettes électriques étaient encore marginales et les autres trottinettes étaient majoritairement utilisées par des enfants de 14 ans et moins, notamment en lien avec l’école. Source : « EGT H2020-Île-de-France Mobilités-Omnil-DRIEA/Résultats partiels 2018 », 24 septembre 2019.</w:t>
      </w:r>
    </w:p>
  </w:footnote>
  <w:footnote w:id="19">
    <w:p w14:paraId="7759E0E4" w14:textId="0B96512F" w:rsidR="00B71BAF" w:rsidRDefault="00B71BAF">
      <w:pPr>
        <w:pStyle w:val="Notedebasdepage"/>
      </w:pPr>
      <w:r w:rsidRPr="007B5D89">
        <w:rPr>
          <w:rStyle w:val="Appelnotedebasdep"/>
        </w:rPr>
        <w:footnoteRef/>
      </w:r>
      <w:r w:rsidRPr="007B5D89">
        <w:t xml:space="preserve"> Y compris la marche.</w:t>
      </w:r>
    </w:p>
  </w:footnote>
  <w:footnote w:id="20">
    <w:p w14:paraId="022E48C3" w14:textId="62231677" w:rsidR="00B71BAF" w:rsidRPr="007B5D89" w:rsidRDefault="00B71BAF">
      <w:pPr>
        <w:pStyle w:val="Notedebasdepage"/>
      </w:pPr>
      <w:r w:rsidRPr="007B5D89">
        <w:rPr>
          <w:rStyle w:val="Appelnotedebasdep"/>
        </w:rPr>
        <w:footnoteRef/>
      </w:r>
      <w:r w:rsidRPr="007B5D89">
        <w:t xml:space="preserve"> Données de 2010.</w:t>
      </w:r>
    </w:p>
  </w:footnote>
  <w:footnote w:id="21">
    <w:p w14:paraId="74491104" w14:textId="6BE1B0C7" w:rsidR="00B71BAF" w:rsidRDefault="00B71BAF">
      <w:pPr>
        <w:pStyle w:val="Notedebasdepage"/>
      </w:pPr>
      <w:r w:rsidRPr="007B5D89">
        <w:rPr>
          <w:rStyle w:val="Appelnotedebasdep"/>
        </w:rPr>
        <w:footnoteRef/>
      </w:r>
      <w:r w:rsidRPr="007B5D89">
        <w:t xml:space="preserve"> Ce chiffre, qui ne concerne que l’accès à un transport en commun considéré comme mode principal, s’ajoute aux 84</w:t>
      </w:r>
      <w:r>
        <w:t> </w:t>
      </w:r>
      <w:r w:rsidRPr="007B5D89">
        <w:t xml:space="preserve">0000 déplacements effectués à vélo, en mode principal, en 2018. Source : EGT H2020-Île-de-France Mobilités-Omnil-DRIEA, op. cit. </w:t>
      </w:r>
    </w:p>
  </w:footnote>
  <w:footnote w:id="22">
    <w:p w14:paraId="00A94CDC" w14:textId="77777777" w:rsidR="00B71BAF" w:rsidRPr="007B5D89" w:rsidRDefault="00B71BAF" w:rsidP="00543C2B">
      <w:pPr>
        <w:pStyle w:val="Notedebasdepage"/>
        <w:jc w:val="both"/>
        <w:rPr>
          <w:i w:val="0"/>
        </w:rPr>
      </w:pPr>
      <w:r w:rsidRPr="007B5D89">
        <w:rPr>
          <w:rStyle w:val="Appelnotedebasdep"/>
        </w:rPr>
        <w:footnoteRef/>
      </w:r>
      <w:r w:rsidRPr="007B5D89">
        <w:t xml:space="preserve"> « Études de trafic du Grand Paris Express : quels enseignements ? », Direction régionale et interdépartementale de l’Équipement et de l’Aménagement d’Île-de-France (DRIEA), Paris, août 2012, 64 pages.</w:t>
      </w:r>
    </w:p>
  </w:footnote>
  <w:footnote w:id="23">
    <w:p w14:paraId="79F65016" w14:textId="77777777" w:rsidR="00B71BAF" w:rsidRPr="007B5D89" w:rsidRDefault="00B71BAF" w:rsidP="00543C2B">
      <w:pPr>
        <w:pStyle w:val="Notedebasdepage"/>
        <w:jc w:val="both"/>
        <w:rPr>
          <w:i w:val="0"/>
        </w:rPr>
      </w:pPr>
      <w:r w:rsidRPr="007B5D89">
        <w:rPr>
          <w:rStyle w:val="Appelnotedebasdep"/>
        </w:rPr>
        <w:footnoteRef/>
      </w:r>
      <w:r w:rsidRPr="007B5D89">
        <w:t xml:space="preserve"> Données ajustées à l’année 2005, mais en conservant le partage modal de 2001.</w:t>
      </w:r>
    </w:p>
  </w:footnote>
  <w:footnote w:id="24">
    <w:p w14:paraId="796B56B9" w14:textId="26EBAD2D" w:rsidR="00B71BAF" w:rsidRPr="009D7C24" w:rsidRDefault="00B71BAF" w:rsidP="00543C2B">
      <w:pPr>
        <w:pStyle w:val="Notedebasdepage"/>
        <w:jc w:val="both"/>
        <w:rPr>
          <w:color w:val="FF0000"/>
        </w:rPr>
      </w:pPr>
      <w:r w:rsidRPr="007B5D89">
        <w:rPr>
          <w:rStyle w:val="Appelnotedebasdep"/>
        </w:rPr>
        <w:footnoteRef/>
      </w:r>
      <w:r w:rsidRPr="007B5D89">
        <w:t xml:space="preserve"> L’enquête globale transport (EGT) est une enquête réalisée par la DRIEA et Île-de-France mobilité sur les déplacements des Franciliens, permettant de connaître les modes utilisés, les motifs de déplacement, les distances parcourues, etc. 18 000 ménages ont été enquêtés en 2010 avec 43</w:t>
      </w:r>
      <w:r>
        <w:t> </w:t>
      </w:r>
      <w:r w:rsidRPr="007B5D89">
        <w:t>000 Franciliens interrogés et plus de 140</w:t>
      </w:r>
      <w:r>
        <w:t> </w:t>
      </w:r>
      <w:r w:rsidRPr="007B5D89">
        <w:t>000 déplacements décrits.</w:t>
      </w:r>
    </w:p>
  </w:footnote>
  <w:footnote w:id="25">
    <w:p w14:paraId="25EAF0D1" w14:textId="77777777" w:rsidR="00B71BAF" w:rsidRPr="007B5D89" w:rsidRDefault="00B71BAF" w:rsidP="00543C2B">
      <w:pPr>
        <w:pStyle w:val="Notedebasdepage"/>
        <w:jc w:val="both"/>
      </w:pPr>
      <w:r w:rsidRPr="007B5D89">
        <w:rPr>
          <w:rStyle w:val="Appelnotedebasdep"/>
        </w:rPr>
        <w:footnoteRef/>
      </w:r>
      <w:r w:rsidRPr="007B5D89">
        <w:t xml:space="preserve"> Estimé entre 2,3 et 2,4 millions par la DRIEA, op. cit., pp. 9 et 13.</w:t>
      </w:r>
    </w:p>
  </w:footnote>
  <w:footnote w:id="26">
    <w:p w14:paraId="41255446" w14:textId="77777777" w:rsidR="00B71BAF" w:rsidRPr="007B5D89" w:rsidRDefault="00B71BAF" w:rsidP="00543C2B">
      <w:pPr>
        <w:pStyle w:val="Notedebasdepage"/>
        <w:jc w:val="both"/>
        <w:rPr>
          <w:i w:val="0"/>
        </w:rPr>
      </w:pPr>
      <w:r w:rsidRPr="007B5D89">
        <w:rPr>
          <w:rStyle w:val="Appelnotedebasdep"/>
        </w:rPr>
        <w:footnoteRef/>
      </w:r>
      <w:r w:rsidRPr="007B5D89">
        <w:t xml:space="preserve"> Pour un jour ouvrable de base (JOB)</w:t>
      </w:r>
    </w:p>
  </w:footnote>
  <w:footnote w:id="27">
    <w:p w14:paraId="6BFD44B7" w14:textId="77777777" w:rsidR="00B71BAF" w:rsidRPr="009C1FDF" w:rsidRDefault="00B71BAF" w:rsidP="00005CE8">
      <w:pPr>
        <w:pStyle w:val="Notedebasdepage"/>
        <w:jc w:val="both"/>
        <w:rPr>
          <w:color w:val="FF0000"/>
        </w:rPr>
      </w:pPr>
      <w:r w:rsidRPr="007B5D89">
        <w:rPr>
          <w:rStyle w:val="Appelnotedebasdep"/>
        </w:rPr>
        <w:footnoteRef/>
      </w:r>
      <w:r w:rsidRPr="007B5D89">
        <w:t xml:space="preserve"> Source : « La nouvelle enquête globale transport », présentation des premiers résultats 2018, Assises de la mobilité en Île-de-France, 24 septembre 2019.</w:t>
      </w:r>
    </w:p>
  </w:footnote>
  <w:footnote w:id="28">
    <w:p w14:paraId="501ECCCF" w14:textId="77777777" w:rsidR="00B71BAF" w:rsidRPr="007B5D89" w:rsidRDefault="00B71BAF" w:rsidP="00543C2B">
      <w:pPr>
        <w:pStyle w:val="Notedebasdepage"/>
        <w:jc w:val="both"/>
        <w:rPr>
          <w:i w:val="0"/>
        </w:rPr>
      </w:pPr>
      <w:r w:rsidRPr="007B5D89">
        <w:rPr>
          <w:rStyle w:val="Appelnotedebasdep"/>
        </w:rPr>
        <w:footnoteRef/>
      </w:r>
      <w:r w:rsidRPr="007B5D89">
        <w:t xml:space="preserve"> Par rapport à 2001</w:t>
      </w:r>
    </w:p>
  </w:footnote>
  <w:footnote w:id="29">
    <w:p w14:paraId="48A3F0B3" w14:textId="77777777" w:rsidR="00B71BAF" w:rsidRPr="007B5D89" w:rsidRDefault="00B71BAF" w:rsidP="00267347">
      <w:pPr>
        <w:pStyle w:val="Notedebasdepage"/>
        <w:jc w:val="both"/>
        <w:rPr>
          <w:i w:val="0"/>
          <w:szCs w:val="18"/>
        </w:rPr>
      </w:pPr>
      <w:r w:rsidRPr="007B5D89">
        <w:rPr>
          <w:rStyle w:val="Appelnotedebasdep"/>
          <w:szCs w:val="18"/>
        </w:rPr>
        <w:footnoteRef/>
      </w:r>
      <w:r w:rsidRPr="007B5D89">
        <w:rPr>
          <w:szCs w:val="18"/>
        </w:rPr>
        <w:t xml:space="preserve"> Rapport </w:t>
      </w:r>
      <w:r w:rsidRPr="007B5D89">
        <w:rPr>
          <w:rFonts w:eastAsia="Calibri"/>
          <w:szCs w:val="18"/>
        </w:rPr>
        <w:t>d’Hugues Duchâteau et Marc Gaudry, Mission d’appui scientifique à la Société du Grand Paris pour l’utilisation des modèles de transport, Première partie (Étape 1) – Stratec (Bruxelles) et Oikometra (Montréal), 94 p., décembre 2014.</w:t>
      </w:r>
    </w:p>
  </w:footnote>
  <w:footnote w:id="30">
    <w:p w14:paraId="67C4DFFC" w14:textId="77777777" w:rsidR="00B71BAF" w:rsidRDefault="00B71BAF" w:rsidP="007F3664">
      <w:pPr>
        <w:pStyle w:val="Notedebasdepage"/>
      </w:pPr>
      <w:r>
        <w:rPr>
          <w:rStyle w:val="Appelnotedebasdep"/>
        </w:rPr>
        <w:footnoteRef/>
      </w:r>
      <w:r>
        <w:t xml:space="preserve"> </w:t>
      </w:r>
      <w:r w:rsidRPr="007735FB">
        <w:rPr>
          <w:rFonts w:eastAsia="Calibri"/>
          <w:iCs/>
          <w:szCs w:val="20"/>
        </w:rPr>
        <w:t>Hugues Duchâteau et Marc Gaudry, Mission d’appui scientifique à la Société du Grand Paris pour l’utilisation des modèles de transport, Première partie (Étape 1) – Stratec (Bruxelles) et Oikometra (Montréal), 94 p., décembre 2014</w:t>
      </w:r>
    </w:p>
  </w:footnote>
  <w:footnote w:id="31">
    <w:p w14:paraId="5455D227" w14:textId="07C721A4" w:rsidR="00B71BAF" w:rsidRPr="007B5D89" w:rsidRDefault="00B71BAF" w:rsidP="00267347">
      <w:pPr>
        <w:pStyle w:val="Notedebasdepage"/>
        <w:jc w:val="both"/>
        <w:rPr>
          <w:i w:val="0"/>
          <w:szCs w:val="18"/>
        </w:rPr>
      </w:pPr>
      <w:r w:rsidRPr="007B5D89">
        <w:rPr>
          <w:rStyle w:val="Appelnotedebasdep"/>
          <w:szCs w:val="18"/>
        </w:rPr>
        <w:footnoteRef/>
      </w:r>
      <w:r w:rsidRPr="007B5D89">
        <w:rPr>
          <w:szCs w:val="18"/>
        </w:rPr>
        <w:t xml:space="preserve"> </w:t>
      </w:r>
      <w:r w:rsidRPr="007F174E">
        <w:rPr>
          <w:color w:val="00B050"/>
          <w:szCs w:val="18"/>
        </w:rPr>
        <w:t>Le passage à la version 3.1 de MODUS a permis de bénéficier d'une description des réseaux de transport en commun, et en particulier de bus, fortement améliorée et complétée grâce à une refonte de la description du réseau qui se base désormais sur le recueil de données GTFS édité par IDFM (voir l’encadré sur MODUS-3)</w:t>
      </w:r>
    </w:p>
  </w:footnote>
  <w:footnote w:id="32">
    <w:p w14:paraId="627104CA" w14:textId="162DEC7C" w:rsidR="00B71BAF" w:rsidRPr="008C6F0F" w:rsidRDefault="00B71BAF" w:rsidP="008C6F0F">
      <w:pPr>
        <w:pStyle w:val="Notedebasdepage"/>
        <w:rPr>
          <w:rStyle w:val="Appelnotedebasdep"/>
        </w:rPr>
      </w:pPr>
      <w:r w:rsidRPr="008C6F0F">
        <w:rPr>
          <w:rStyle w:val="Appelnotedebasdep"/>
        </w:rPr>
        <w:footnoteRef/>
      </w:r>
      <w:r w:rsidRPr="008C6F0F">
        <w:t xml:space="preserve"> « Rapport au Commissaire Général à l’Investissement », Contre-expertise de l’évaluation socio-économique du Projet de ligne 17 Nord du « Grand </w:t>
      </w:r>
      <w:r>
        <w:t>P</w:t>
      </w:r>
      <w:r w:rsidRPr="008C6F0F">
        <w:t>aris Express », 17 décembre 2015, pp. 11 et 12.</w:t>
      </w:r>
      <w:r w:rsidRPr="008C6F0F">
        <w:rPr>
          <w:rStyle w:val="Appelnotedebasdep"/>
        </w:rPr>
        <w:t xml:space="preserve"> </w:t>
      </w:r>
    </w:p>
  </w:footnote>
  <w:footnote w:id="33">
    <w:p w14:paraId="5B61E63D" w14:textId="77777777" w:rsidR="00B71BAF" w:rsidRPr="00AB193A" w:rsidRDefault="00B71BAF" w:rsidP="0080135A">
      <w:pPr>
        <w:pStyle w:val="Notedebasdepage"/>
        <w:rPr>
          <w:color w:val="FF0000"/>
        </w:rPr>
      </w:pPr>
      <w:r w:rsidRPr="008C6F0F">
        <w:rPr>
          <w:rStyle w:val="Appelnotedebasdep"/>
        </w:rPr>
        <w:footnoteRef/>
      </w:r>
      <w:r w:rsidRPr="008C6F0F">
        <w:t xml:space="preserve"> On notera que si l’on fait la somme des trafics quotidiens estimés à l’horizon 2030 et indiqués ci-dessus pour chaque ligne 14 à 18 du réseau du GPE, on trouve un total (près de 3 millions) supérieur aux 2,87 millions indiqués plus haut (section 2.2). Ceci s’explique par le fait que certains voyageurs empruntent, au cours d’un même déplacement, plusieurs lignes du GPE. Or, ces voyageurs ne sont comptés qu’une fois dans les 2,87 millions de l’estimation globale du réseau.</w:t>
      </w:r>
    </w:p>
  </w:footnote>
  <w:footnote w:id="34">
    <w:p w14:paraId="0EA2E350"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Extraits du dossier du 6 mars 2013 préparé par le service de presse de Matignon, relatif au Nouveau Grand Paris</w:t>
      </w:r>
    </w:p>
  </w:footnote>
  <w:footnote w:id="35">
    <w:p w14:paraId="19F736AD"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Délégué général du Conseil économique pour le Développement durable (CEDD), Président de l’Autorité de la statistique publique</w:t>
      </w:r>
    </w:p>
  </w:footnote>
  <w:footnote w:id="36">
    <w:p w14:paraId="3BF950AE" w14:textId="42E6F150"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Voir M. de Lapparent (2019) La sensibilité à l’accessibilité de la localisation des emplois et des résidents, Le Grand Paris Express, les enjeux économiques et urbains, chapitre 13</w:t>
      </w:r>
    </w:p>
  </w:footnote>
  <w:footnote w:id="37">
    <w:p w14:paraId="141372DD" w14:textId="603D6EA5" w:rsidR="00B71BAF" w:rsidRDefault="00B71BAF">
      <w:pPr>
        <w:pStyle w:val="Notedebasdepage"/>
      </w:pPr>
      <w:r>
        <w:rPr>
          <w:rStyle w:val="Appelnotedebasdep"/>
        </w:rPr>
        <w:footnoteRef/>
      </w:r>
      <w:r>
        <w:t xml:space="preserve"> </w:t>
      </w:r>
      <w:r w:rsidRPr="00A243A0">
        <w:rPr>
          <w:color w:val="00B050"/>
        </w:rPr>
        <w:t>Cet encadré a été rédigé par Mme Nathalie Picard, BETA, Université de Strasbourg, et THEMA, CY Cergy Paris Université</w:t>
      </w:r>
    </w:p>
  </w:footnote>
  <w:footnote w:id="38">
    <w:p w14:paraId="7001E234" w14:textId="77777777" w:rsidR="00B71BAF" w:rsidRPr="00A243A0" w:rsidRDefault="00B71BAF" w:rsidP="00E11F05">
      <w:pPr>
        <w:pStyle w:val="Notedebasdepage"/>
        <w:rPr>
          <w:color w:val="00B050"/>
          <w:lang w:val="en-US"/>
        </w:rPr>
      </w:pPr>
      <w:r w:rsidRPr="00A243A0">
        <w:rPr>
          <w:rStyle w:val="Appelnotedebasdep"/>
          <w:lang w:val="en-US"/>
        </w:rPr>
        <w:footnoteRef/>
      </w:r>
      <w:r w:rsidRPr="00A243A0">
        <w:rPr>
          <w:lang w:val="en-US"/>
        </w:rPr>
        <w:t xml:space="preserve"> </w:t>
      </w:r>
      <w:r w:rsidRPr="00A243A0">
        <w:rPr>
          <w:color w:val="00B050"/>
          <w:lang w:val="en-US"/>
        </w:rPr>
        <w:t>voir Turci Pennec, Toulemon, Bringe, Baggio, Morand (2015), Agent-based microsimulation of population dynamics, in Integrated transport and land use modeling for sustainable cities, Bierlaire et al, Ch. 7.</w:t>
      </w:r>
    </w:p>
  </w:footnote>
  <w:footnote w:id="39">
    <w:p w14:paraId="0B37F7F3" w14:textId="77777777" w:rsidR="00B71BAF" w:rsidRPr="005B5C7D" w:rsidRDefault="00B71BAF" w:rsidP="00E11F05">
      <w:pPr>
        <w:pStyle w:val="Notedebasdepage"/>
        <w:rPr>
          <w:lang w:val="en-US"/>
        </w:rPr>
      </w:pPr>
      <w:r w:rsidRPr="00A243A0">
        <w:rPr>
          <w:rStyle w:val="Appelnotedebasdep"/>
          <w:lang w:val="en-US"/>
        </w:rPr>
        <w:footnoteRef/>
      </w:r>
      <w:r w:rsidRPr="00A243A0">
        <w:rPr>
          <w:lang w:val="en-US"/>
        </w:rPr>
        <w:t xml:space="preserve"> </w:t>
      </w:r>
      <w:r w:rsidRPr="00A243A0">
        <w:rPr>
          <w:color w:val="00B050"/>
          <w:lang w:val="en-US"/>
        </w:rPr>
        <w:t>voir Antoniou et Picard (2015) Urban sustainability and individual/household well-being, in Quality of Life in Cities - Equity, Sustainable Development and Happiness from a Policy Perspective, A. Michelangeli Ed., Ch. 5, Routledge.</w:t>
      </w:r>
    </w:p>
  </w:footnote>
  <w:footnote w:id="40">
    <w:p w14:paraId="66990823"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H. Jayet, H. Hadj Salem, M. Kilani, Q. David et El Mehdi Aboulkacem (2017) Modélisation macroéconomique de la région Île-de-France, Août 2017</w:t>
      </w:r>
    </w:p>
  </w:footnote>
  <w:footnote w:id="41">
    <w:p w14:paraId="17DA1A42" w14:textId="35EFDF25"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T. Mayer et C. Trévien, Transports Publics Urbains et Attractivité Internationale, rapport pour la Société du Grand Paris, 12 avril 2012 ; voir également T. Mayer and C. Trévien (2015). </w:t>
      </w:r>
      <w:r w:rsidRPr="00EE3FDC">
        <w:rPr>
          <w:szCs w:val="18"/>
          <w:lang w:val="en-US"/>
        </w:rPr>
        <w:t xml:space="preserve">The impacts of urban public transportation. Evidence from the Paris metropolitan area. </w:t>
      </w:r>
      <w:r w:rsidRPr="00EE3FDC">
        <w:rPr>
          <w:szCs w:val="18"/>
        </w:rPr>
        <w:t>Working Paper INSEE.</w:t>
      </w:r>
    </w:p>
  </w:footnote>
  <w:footnote w:id="42">
    <w:p w14:paraId="252E0CE7" w14:textId="7AD4E552"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E. Wasmer, P.-H. Bono, Q. David, R. Desbordes et L. Py (2017) Impact du Grand Paris Express sur la localisation des investissements directs étrangers, LIEEP Sciences PO Paris</w:t>
      </w:r>
    </w:p>
  </w:footnote>
  <w:footnote w:id="43">
    <w:p w14:paraId="72B1B2DC"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Un emploi francilien sur six dépend d’un groupe étranger, INSEE A la Page n° 412, novembre 2013</w:t>
      </w:r>
    </w:p>
  </w:footnote>
  <w:footnote w:id="44">
    <w:p w14:paraId="2627A3ED" w14:textId="5143B0F2"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En utilisant l’élasticité de 10 à 20% proposé dans le rapport du LIEPP, on peut considérer qu’en tout un montant de 40</w:t>
      </w:r>
      <w:r>
        <w:rPr>
          <w:szCs w:val="18"/>
        </w:rPr>
        <w:t> </w:t>
      </w:r>
      <w:r w:rsidRPr="00EE3FDC">
        <w:rPr>
          <w:szCs w:val="18"/>
        </w:rPr>
        <w:t>000 à 80</w:t>
      </w:r>
      <w:r>
        <w:rPr>
          <w:szCs w:val="18"/>
        </w:rPr>
        <w:t> </w:t>
      </w:r>
      <w:r w:rsidRPr="00EE3FDC">
        <w:rPr>
          <w:szCs w:val="18"/>
        </w:rPr>
        <w:t xml:space="preserve">000 emplois « de base » est en cause d’ici à 2030 du fait de la qualité de l’attractivité de la région, ce qui peut représenter beaucoup plus avec les emplois présentiels ou métropolitains induits. </w:t>
      </w:r>
    </w:p>
  </w:footnote>
  <w:footnote w:id="45">
    <w:p w14:paraId="59C87444"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Etude effectuée par le NESTA de Londres et Accenture</w:t>
      </w:r>
    </w:p>
  </w:footnote>
  <w:footnote w:id="46">
    <w:p w14:paraId="7A21453E"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KPMG (2018) Global Cities Investment Monitor</w:t>
      </w:r>
    </w:p>
  </w:footnote>
  <w:footnote w:id="47">
    <w:p w14:paraId="696A54FB"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Jayet et al., cité page 41</w:t>
      </w:r>
    </w:p>
  </w:footnote>
  <w:footnote w:id="48">
    <w:p w14:paraId="2F4B0BF5"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Rapport de E. Wasmer, G. Chapelle, P.-H. Bono, F. Oswald et C. Urvoy., 17 avril 2017 Impact du Grand Paris Express sur le marché du travail et le marché du logement</w:t>
      </w:r>
    </w:p>
  </w:footnote>
  <w:footnote w:id="49">
    <w:p w14:paraId="1F309EA5" w14:textId="1B4714EA" w:rsidR="00B71BAF" w:rsidRPr="00EE3FDC" w:rsidRDefault="00B71BAF" w:rsidP="00BA3CA2">
      <w:pPr>
        <w:pStyle w:val="Notedebasdepage"/>
        <w:jc w:val="both"/>
        <w:rPr>
          <w:szCs w:val="18"/>
        </w:rPr>
      </w:pPr>
      <w:r w:rsidRPr="00EE3FDC">
        <w:rPr>
          <w:rStyle w:val="Appelnotedebasdep"/>
          <w:szCs w:val="18"/>
        </w:rPr>
        <w:footnoteRef/>
      </w:r>
      <w:r w:rsidRPr="00EE3FDC">
        <w:rPr>
          <w:szCs w:val="18"/>
        </w:rPr>
        <w:t xml:space="preserve"> Le gradient des prix fonciers est la vitesse à laquelle ces prix diminuent en fonction de la distance au centre-ville</w:t>
      </w:r>
      <w:r>
        <w:rPr>
          <w:szCs w:val="18"/>
        </w:rPr>
        <w:t> ; s’il diminue, cela signifie une baisse relative des prix du centre-ville par rapport à la couronne.</w:t>
      </w:r>
    </w:p>
  </w:footnote>
  <w:footnote w:id="50">
    <w:p w14:paraId="14AA8DE1" w14:textId="77777777" w:rsidR="00B71BAF" w:rsidRPr="00EE3FDC" w:rsidRDefault="00B71BAF" w:rsidP="00032D56">
      <w:pPr>
        <w:pStyle w:val="Notedebasdepage"/>
        <w:jc w:val="both"/>
        <w:rPr>
          <w:szCs w:val="18"/>
          <w:lang w:val="en-US"/>
        </w:rPr>
      </w:pPr>
      <w:r w:rsidRPr="00EE3FDC">
        <w:rPr>
          <w:rStyle w:val="Appelnotedebasdep"/>
          <w:szCs w:val="18"/>
        </w:rPr>
        <w:footnoteRef/>
      </w:r>
      <w:r w:rsidRPr="00EE3FDC">
        <w:rPr>
          <w:szCs w:val="18"/>
          <w:lang w:val="en-US"/>
        </w:rPr>
        <w:t xml:space="preserve"> Rapport cité, pages 68 et 69</w:t>
      </w:r>
    </w:p>
  </w:footnote>
  <w:footnote w:id="51">
    <w:p w14:paraId="6E11A09D" w14:textId="761062B6" w:rsidR="00B71BAF" w:rsidRPr="00EE3FDC" w:rsidRDefault="00B71BAF" w:rsidP="00032D56">
      <w:pPr>
        <w:pStyle w:val="Notedebasdepage"/>
        <w:jc w:val="both"/>
        <w:rPr>
          <w:szCs w:val="18"/>
          <w:lang w:val="en-US"/>
        </w:rPr>
      </w:pPr>
      <w:r w:rsidRPr="00EE3FDC">
        <w:rPr>
          <w:rStyle w:val="Appelnotedebasdep"/>
          <w:szCs w:val="18"/>
        </w:rPr>
        <w:footnoteRef/>
      </w:r>
      <w:r w:rsidRPr="00EE3FDC">
        <w:rPr>
          <w:szCs w:val="18"/>
          <w:lang w:val="en-US"/>
        </w:rPr>
        <w:t xml:space="preserve"> R. E. Saks (2008) « Job creation and housing construction: Constraints on metropolitan area employment growth », Journal of Urban Economics, 64(1): 178-195</w:t>
      </w:r>
    </w:p>
  </w:footnote>
  <w:footnote w:id="52">
    <w:p w14:paraId="354BA9DC" w14:textId="2C5A60A4" w:rsidR="00B71BAF" w:rsidRPr="00EE3FDC" w:rsidRDefault="00B71BAF" w:rsidP="00032D56">
      <w:pPr>
        <w:pStyle w:val="Notedebasdepage"/>
        <w:jc w:val="both"/>
        <w:rPr>
          <w:szCs w:val="18"/>
          <w:lang w:val="en-US"/>
        </w:rPr>
      </w:pPr>
      <w:r w:rsidRPr="00EE3FDC">
        <w:rPr>
          <w:rStyle w:val="Appelnotedebasdep"/>
          <w:szCs w:val="18"/>
        </w:rPr>
        <w:footnoteRef/>
      </w:r>
      <w:r w:rsidRPr="00EE3FDC">
        <w:rPr>
          <w:szCs w:val="18"/>
          <w:lang w:val="en-US"/>
        </w:rPr>
        <w:t xml:space="preserve"> J. Mercenier, F. Di Comite and al. (2016). RHOMOLO-v2 Model Description: A spatial computable general equilibrium model for EU regions and sectors. </w:t>
      </w:r>
      <w:r w:rsidRPr="00EE3FDC">
        <w:rPr>
          <w:szCs w:val="18"/>
        </w:rPr>
        <w:t xml:space="preserve">Joint Research Centre ; voir également la présentation de ce modèle et le commentaire de S. Proost and J. F.Thisse, J. F. (2017). </w:t>
      </w:r>
      <w:r w:rsidRPr="00EE3FDC">
        <w:rPr>
          <w:szCs w:val="18"/>
          <w:lang w:val="en-US"/>
        </w:rPr>
        <w:t xml:space="preserve">Regional Disparities and Efficient Transport Policies. Economics without Borders </w:t>
      </w:r>
    </w:p>
  </w:footnote>
  <w:footnote w:id="53">
    <w:p w14:paraId="32C03C75" w14:textId="1BCB0307" w:rsidR="00B71BAF" w:rsidRPr="00EE3FDC" w:rsidRDefault="00B71BAF" w:rsidP="00032D56">
      <w:pPr>
        <w:pStyle w:val="Notedebasdepage"/>
        <w:jc w:val="both"/>
        <w:rPr>
          <w:szCs w:val="18"/>
          <w:lang w:val="en-US"/>
        </w:rPr>
      </w:pPr>
      <w:r w:rsidRPr="00EE3FDC">
        <w:rPr>
          <w:rStyle w:val="Appelnotedebasdep"/>
          <w:szCs w:val="18"/>
        </w:rPr>
        <w:footnoteRef/>
      </w:r>
      <w:r w:rsidRPr="00EE3FDC">
        <w:rPr>
          <w:szCs w:val="18"/>
          <w:lang w:val="en-US"/>
        </w:rPr>
        <w:t xml:space="preserve"> P. M. Romer (1990). Endogenous technological change. Journal of political Economy, 98(5, Part 2); P. Aghion and P. Howitt (1992). A model of growth through creative destruction. Econometrica, 60, 323-351; G. M. Grossman and E. Helpman (1993). Innovation and growth in the global economy. MIT press; P. Krugman (1991). Increasing returns and economic geography. Journal of political economy, 99(3), 483-499; A. Dixit and J. Stiglitz (1977). Monopolistic competition and optimum product diversity. The American Economic Review, 67(3), 297-308.</w:t>
      </w:r>
    </w:p>
  </w:footnote>
  <w:footnote w:id="54">
    <w:p w14:paraId="13DC1EB0"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Cf présentation faite par M. F. Di Comite, un des auteurs du modèle, lors du colloque organisé par la Société du Grand Paris le 9 décembre 2016</w:t>
      </w:r>
    </w:p>
  </w:footnote>
  <w:footnote w:id="55">
    <w:p w14:paraId="7E91F2AB"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rPr>
        <w:t xml:space="preserve"> id</w:t>
      </w:r>
    </w:p>
  </w:footnote>
  <w:footnote w:id="56">
    <w:p w14:paraId="401774D2" w14:textId="77777777" w:rsidR="00B71BAF" w:rsidRPr="00EE3FDC" w:rsidRDefault="00B71BAF" w:rsidP="00032D56">
      <w:pPr>
        <w:pStyle w:val="Notedebasdepage"/>
        <w:jc w:val="both"/>
        <w:rPr>
          <w:szCs w:val="18"/>
          <w:lang w:val="en-US"/>
        </w:rPr>
      </w:pPr>
      <w:r w:rsidRPr="00EE3FDC">
        <w:rPr>
          <w:rStyle w:val="Appelnotedebasdep"/>
          <w:szCs w:val="18"/>
        </w:rPr>
        <w:footnoteRef/>
      </w:r>
      <w:r w:rsidRPr="00EE3FDC">
        <w:rPr>
          <w:szCs w:val="18"/>
        </w:rPr>
        <w:t xml:space="preserve"> Un premier modèle de cette nature avait été établi pour la France en 1971, découpant le territoire national en 3 grandes zones, la région parisienne, l’Est et l’Ouest ; voir R. Courbis, J.-C. Prager, et M. Quelennec (1973). Analyse régionale et planification nationale : le projet de modèle" Regina" d'analyse interdépendante. </w:t>
      </w:r>
      <w:r w:rsidRPr="00EE3FDC">
        <w:rPr>
          <w:szCs w:val="18"/>
          <w:lang w:val="en-US"/>
        </w:rPr>
        <w:t>INSEE, Imprimerie Nationale</w:t>
      </w:r>
    </w:p>
  </w:footnote>
  <w:footnote w:id="57">
    <w:p w14:paraId="5EE968F0" w14:textId="77777777" w:rsidR="00B71BAF" w:rsidRPr="00EE3FDC" w:rsidRDefault="00B71BAF" w:rsidP="00032D56">
      <w:pPr>
        <w:pStyle w:val="Notedebasdepage"/>
        <w:jc w:val="both"/>
        <w:rPr>
          <w:szCs w:val="18"/>
        </w:rPr>
      </w:pPr>
      <w:r w:rsidRPr="00EE3FDC">
        <w:rPr>
          <w:rStyle w:val="Appelnotedebasdep"/>
          <w:szCs w:val="18"/>
        </w:rPr>
        <w:footnoteRef/>
      </w:r>
      <w:r w:rsidRPr="00EE3FDC">
        <w:rPr>
          <w:szCs w:val="18"/>
          <w:lang w:val="en-US"/>
        </w:rPr>
        <w:t xml:space="preserve"> M. Bosredon, D. Simmonds and al. (2009): Transport/Economic/Land-Use Model of Scotland: Land-use modelling with DELTA. </w:t>
      </w:r>
      <w:r w:rsidRPr="00EE3FDC">
        <w:rPr>
          <w:szCs w:val="18"/>
        </w:rPr>
        <w:t>Paper presented to CUPUM, Hong Kong.</w:t>
      </w:r>
    </w:p>
  </w:footnote>
  <w:footnote w:id="58">
    <w:p w14:paraId="776683E8" w14:textId="0322A2F0" w:rsidR="00B71BAF" w:rsidRDefault="00B71BAF">
      <w:pPr>
        <w:pStyle w:val="Notedebasdepage"/>
      </w:pPr>
      <w:r>
        <w:rPr>
          <w:rStyle w:val="Appelnotedebasdep"/>
        </w:rPr>
        <w:footnoteRef/>
      </w:r>
      <w:r>
        <w:t xml:space="preserve"> Voir le rapport de Matthieu de Lapparent, Analyse comparative des résultats des modèles LUTI dans le cadre de l’évaluation des effets spatialisés du projet de métro automatique du Grand Paris, 2017</w:t>
      </w:r>
    </w:p>
  </w:footnote>
  <w:footnote w:id="59">
    <w:p w14:paraId="3B6BB86C" w14:textId="79AB23CC" w:rsidR="00B71BAF" w:rsidRPr="00EE3FDC" w:rsidRDefault="00B71BAF" w:rsidP="00150A72">
      <w:pPr>
        <w:pStyle w:val="Notedebasdepage"/>
        <w:jc w:val="both"/>
        <w:rPr>
          <w:szCs w:val="18"/>
        </w:rPr>
      </w:pPr>
      <w:r w:rsidRPr="00EE3FDC">
        <w:rPr>
          <w:rStyle w:val="Appelnotedebasdep"/>
          <w:szCs w:val="18"/>
        </w:rPr>
        <w:footnoteRef/>
      </w:r>
      <w:r w:rsidRPr="00EE3FDC">
        <w:rPr>
          <w:szCs w:val="18"/>
        </w:rPr>
        <w:t xml:space="preserve"> Comme le conseil scientifique de la Société du Grand Paris l’a souligné </w:t>
      </w:r>
      <w:r>
        <w:rPr>
          <w:szCs w:val="18"/>
        </w:rPr>
        <w:t>dans ses avis</w:t>
      </w:r>
      <w:r w:rsidRPr="00EE3FDC">
        <w:rPr>
          <w:szCs w:val="18"/>
        </w:rPr>
        <w:t>, les résultats de modélisation s’accompagne</w:t>
      </w:r>
      <w:r>
        <w:rPr>
          <w:szCs w:val="18"/>
        </w:rPr>
        <w:t>nt</w:t>
      </w:r>
      <w:r w:rsidRPr="00EE3FDC">
        <w:rPr>
          <w:szCs w:val="18"/>
        </w:rPr>
        <w:t xml:space="preserve"> d’une sous-estimation des trafics induits</w:t>
      </w:r>
      <w:r>
        <w:rPr>
          <w:szCs w:val="18"/>
        </w:rPr>
        <w:t xml:space="preserve"> et la valeur des bénéfices des usagers également</w:t>
      </w:r>
      <w:r w:rsidRPr="00EE3FDC">
        <w:rPr>
          <w:szCs w:val="18"/>
        </w:rPr>
        <w:t xml:space="preserve">. </w:t>
      </w:r>
    </w:p>
  </w:footnote>
  <w:footnote w:id="60">
    <w:p w14:paraId="37F0824E" w14:textId="77777777" w:rsidR="00B71BAF" w:rsidRDefault="00B71BAF" w:rsidP="00FC20EC">
      <w:pPr>
        <w:pStyle w:val="Notedebasdepage"/>
      </w:pPr>
      <w:r w:rsidRPr="000F5160">
        <w:rPr>
          <w:rStyle w:val="Appelnotedebasdep"/>
          <w:color w:val="00B050"/>
        </w:rPr>
        <w:footnoteRef/>
      </w:r>
      <w:r w:rsidRPr="000F5160">
        <w:rPr>
          <w:color w:val="00B050"/>
        </w:rPr>
        <w:t xml:space="preserve"> I4CE est une association d’intérêt général, à but non lucratif, fondée par la Caisse des Dépôts et l’Agence Française de Développement. Le « Panorama des financements climat 2019 » est visé explicitement dans la SNBC.</w:t>
      </w:r>
    </w:p>
  </w:footnote>
  <w:footnote w:id="61">
    <w:p w14:paraId="0FC6E365" w14:textId="5AA7CBF1" w:rsidR="00B71BAF" w:rsidRDefault="00B71BAF" w:rsidP="00082018">
      <w:pPr>
        <w:pStyle w:val="Notedebasdepage"/>
      </w:pPr>
      <w:r>
        <w:rPr>
          <w:rStyle w:val="Appelnotedebasdep"/>
        </w:rPr>
        <w:footnoteRef/>
      </w:r>
      <w:r>
        <w:t xml:space="preserve"> Marc Gaudry : Sur le transfert modal induit par le schéma d’ensemble, voire par une ligne, du GPE :</w:t>
      </w:r>
      <w:r w:rsidRPr="001F7148">
        <w:t xml:space="preserve"> </w:t>
      </w:r>
      <w:r>
        <w:t>quelques spécificités connues de modèles en vigueur en Île-de-France, février 2021</w:t>
      </w:r>
    </w:p>
    <w:p w14:paraId="4227C2CB" w14:textId="77777777" w:rsidR="00B71BAF" w:rsidRDefault="00B71BAF" w:rsidP="00082018">
      <w:pPr>
        <w:pStyle w:val="Notedebasdepage"/>
      </w:pPr>
    </w:p>
    <w:p w14:paraId="74909A7A" w14:textId="77437617" w:rsidR="00B71BAF" w:rsidRDefault="00B71BAF" w:rsidP="00082018">
      <w:pPr>
        <w:pStyle w:val="Notedebasdepage"/>
      </w:pPr>
    </w:p>
  </w:footnote>
  <w:footnote w:id="62">
    <w:p w14:paraId="78F5A661" w14:textId="77777777" w:rsidR="00B71BAF" w:rsidRPr="007B23FE" w:rsidRDefault="00B71BAF" w:rsidP="000F5160">
      <w:pPr>
        <w:pStyle w:val="Notedebasdepage"/>
        <w:rPr>
          <w:szCs w:val="18"/>
          <w:lang w:val="fr-BE"/>
        </w:rPr>
      </w:pPr>
      <w:r w:rsidRPr="000F5160">
        <w:rPr>
          <w:rStyle w:val="Appelnotedebasdep"/>
          <w:color w:val="00B050"/>
          <w:szCs w:val="18"/>
        </w:rPr>
        <w:footnoteRef/>
      </w:r>
      <w:r w:rsidRPr="000F5160">
        <w:rPr>
          <w:color w:val="00B050"/>
          <w:szCs w:val="18"/>
        </w:rPr>
        <w:t xml:space="preserve"> </w:t>
      </w:r>
      <w:hyperlink r:id="rId1" w:anchor="ges" w:history="1">
        <w:r w:rsidRPr="000F5160">
          <w:rPr>
            <w:rStyle w:val="Lienhypertexte"/>
            <w:color w:val="00B050"/>
            <w:szCs w:val="18"/>
          </w:rPr>
          <w:t>https://www.airparif.asso.fr/etat-air/air-et-climat-bilan-emissions#ges</w:t>
        </w:r>
      </w:hyperlink>
      <w:r w:rsidRPr="000F5160">
        <w:rPr>
          <w:color w:val="00B050"/>
          <w:szCs w:val="18"/>
        </w:rPr>
        <w:t xml:space="preserve"> </w:t>
      </w:r>
    </w:p>
  </w:footnote>
  <w:footnote w:id="63">
    <w:p w14:paraId="02FCD473" w14:textId="77777777" w:rsidR="00B71BAF" w:rsidRPr="000F5160" w:rsidRDefault="00B71BAF" w:rsidP="000F5160">
      <w:pPr>
        <w:pStyle w:val="Notedebasdepage"/>
        <w:rPr>
          <w:color w:val="00B050"/>
        </w:rPr>
      </w:pPr>
      <w:r w:rsidRPr="000F5160">
        <w:rPr>
          <w:rStyle w:val="Appelnotedebasdep"/>
          <w:color w:val="00B050"/>
        </w:rPr>
        <w:footnoteRef/>
      </w:r>
      <w:r w:rsidRPr="000F5160">
        <w:rPr>
          <w:color w:val="00B050"/>
        </w:rPr>
        <w:t xml:space="preserve"> Dominique Bureau, Bilan carbone et évaluation socio-économique du Grand Paris Express, Points de repères, avril 2020</w:t>
      </w:r>
    </w:p>
    <w:p w14:paraId="386EE0F9" w14:textId="77777777" w:rsidR="00B71BAF" w:rsidRDefault="00B71BAF" w:rsidP="000F5160">
      <w:pPr>
        <w:pStyle w:val="Notedebasdepage"/>
      </w:pPr>
    </w:p>
    <w:p w14:paraId="10B975D9" w14:textId="77777777" w:rsidR="00B71BAF" w:rsidRDefault="00B71BAF" w:rsidP="000F5160">
      <w:pPr>
        <w:pStyle w:val="Notedebasdepage"/>
      </w:pPr>
    </w:p>
  </w:footnote>
  <w:footnote w:id="64">
    <w:p w14:paraId="01889C94" w14:textId="34A90353" w:rsidR="00B71BAF" w:rsidRDefault="00B71BAF" w:rsidP="00F4047B">
      <w:pPr>
        <w:pStyle w:val="Notedebasdepage"/>
        <w:jc w:val="both"/>
      </w:pPr>
      <w:r>
        <w:rPr>
          <w:rStyle w:val="Appelnotedebasdep"/>
        </w:rPr>
        <w:footnoteRef/>
      </w:r>
      <w:r>
        <w:t xml:space="preserve"> Voir J. Le Gallo et al. (2019) Les effets de la densité sur les coûts des infrastructures et des services publics, Le Grand Paris Express, les enjeux économiques et urbains, Economica, chapitre 13</w:t>
      </w:r>
    </w:p>
  </w:footnote>
  <w:footnote w:id="65">
    <w:p w14:paraId="135E8E06" w14:textId="77777777" w:rsidR="00B71BAF" w:rsidRPr="00EE3FDC" w:rsidRDefault="00B71BAF" w:rsidP="00150A72">
      <w:pPr>
        <w:pStyle w:val="Notedebasdepage"/>
        <w:jc w:val="both"/>
        <w:rPr>
          <w:szCs w:val="18"/>
        </w:rPr>
      </w:pPr>
      <w:r w:rsidRPr="00EE3FDC">
        <w:rPr>
          <w:rStyle w:val="Appelnotedebasdep1"/>
          <w:rFonts w:cs="Cambria"/>
          <w:szCs w:val="18"/>
        </w:rPr>
        <w:footnoteRef/>
      </w:r>
      <w:r w:rsidRPr="00EE3FDC">
        <w:rPr>
          <w:szCs w:val="18"/>
        </w:rPr>
        <w:t xml:space="preserve"> Il convient de rappeler (voir titre 5.1 ci-avant) que l’option a été prise de ne faire démarrer les bénéfices correspondant à ces effets économiques élargis qu’à partir de 2030, d’une manière graduelle, et non pas au fur et à mesure de la relocalisation de l’emploi et de la population à partir de la mise en service du premier tronçon. Il a également été décidé de ne pas intégrer de phénomène d’anticipation des agents économiques sur la réalisation du réseau, qui pourrait même laisser envisager l’apparition de bénéfices socio-économiques avant la mise en service du premier tronçon. Cette prudence conduit donc à une sous-estimation des bénéfices économiques élargis. Les études en cours permettront de vérifier ces deux hypothèses et amèneront peut-être à corriger à la hausse les effets économiques élargis.</w:t>
      </w:r>
    </w:p>
  </w:footnote>
  <w:footnote w:id="66">
    <w:p w14:paraId="2D7B4649" w14:textId="77777777" w:rsidR="00B71BAF" w:rsidRDefault="00B71BAF" w:rsidP="00150A72">
      <w:pPr>
        <w:pStyle w:val="Notedebasdepage"/>
      </w:pPr>
      <w:r>
        <w:rPr>
          <w:rStyle w:val="Appelnotedebasdep"/>
        </w:rPr>
        <w:footnoteRef/>
      </w:r>
      <w:r>
        <w:t xml:space="preserve"> Les résultats de travaux récents permettent de poser les jalons d’un progrès significatif dans ce sens.</w:t>
      </w:r>
    </w:p>
  </w:footnote>
  <w:footnote w:id="67">
    <w:p w14:paraId="6B24EAC2" w14:textId="77777777" w:rsidR="00B71BAF" w:rsidRPr="00EE3FDC" w:rsidRDefault="00B71BAF" w:rsidP="00150A72">
      <w:pPr>
        <w:pStyle w:val="Notedebasdepage"/>
        <w:jc w:val="both"/>
        <w:rPr>
          <w:szCs w:val="18"/>
        </w:rPr>
      </w:pPr>
      <w:r w:rsidRPr="00EE3FDC">
        <w:rPr>
          <w:rStyle w:val="Appelnotedebasdep"/>
          <w:szCs w:val="18"/>
        </w:rPr>
        <w:footnoteRef/>
      </w:r>
      <w:r w:rsidRPr="00EE3FDC">
        <w:rPr>
          <w:szCs w:val="18"/>
        </w:rPr>
        <w:t xml:space="preserve"> Ces éléments sont tirés d’un article de F. Gilli et J.-C. Prager dans la revue Variances n°47, mai 2013.</w:t>
      </w:r>
    </w:p>
  </w:footnote>
  <w:footnote w:id="68">
    <w:p w14:paraId="1DD1566D" w14:textId="77777777" w:rsidR="00B71BAF" w:rsidRPr="00EE3FDC" w:rsidRDefault="00B71BAF" w:rsidP="00A92F98">
      <w:pPr>
        <w:pStyle w:val="Notedebasdepage"/>
        <w:jc w:val="both"/>
        <w:rPr>
          <w:szCs w:val="18"/>
        </w:rPr>
      </w:pPr>
      <w:r w:rsidRPr="00EE3FDC">
        <w:rPr>
          <w:rStyle w:val="Appelnotedebasdep"/>
          <w:szCs w:val="18"/>
        </w:rPr>
        <w:footnoteRef/>
      </w:r>
      <w:r w:rsidRPr="00EE3FDC">
        <w:rPr>
          <w:szCs w:val="18"/>
        </w:rPr>
        <w:t xml:space="preserve"> Voir D. Bureau et al. (2019) Le Grand Paris Express, les sept clés du succès, Economica, chapitre 5</w:t>
      </w:r>
    </w:p>
  </w:footnote>
  <w:footnote w:id="69">
    <w:p w14:paraId="024F0732" w14:textId="6D0AFE36" w:rsidR="00B71BAF" w:rsidRPr="00EE3FDC" w:rsidRDefault="00B71BAF" w:rsidP="00150A72">
      <w:pPr>
        <w:pStyle w:val="Notedebasdepage"/>
        <w:jc w:val="both"/>
        <w:rPr>
          <w:szCs w:val="18"/>
        </w:rPr>
      </w:pPr>
      <w:r w:rsidRPr="00EE3FDC">
        <w:rPr>
          <w:rStyle w:val="Appelnotedebasdep"/>
          <w:szCs w:val="18"/>
        </w:rPr>
        <w:footnoteRef/>
      </w:r>
      <w:r w:rsidRPr="00EE3FDC">
        <w:rPr>
          <w:szCs w:val="18"/>
        </w:rPr>
        <w:t xml:space="preserve"> DARES Analyses 2013-007 - Les dépenses en faveur de l’emploi et du marché du travail en 2010 ; P. Cahuc, et S. Carcillo, S. (2012). « Les conséquences des allégements généraux de cotisations patronales sur les bas salaires ». Revue française d’économie, 27(2), 19-61 ; M. Zemmour, « Les dépenses socio-fiscales ayant trait à la protection sociale : état des lieux », LIEPP Policy Paper n°2, décembre 2013, pages 66 et suivantes.</w:t>
      </w:r>
    </w:p>
  </w:footnote>
  <w:footnote w:id="70">
    <w:p w14:paraId="223FC4E6" w14:textId="5EF94023" w:rsidR="00B71BAF" w:rsidRDefault="00B71BAF" w:rsidP="00522318">
      <w:pPr>
        <w:pStyle w:val="Notedebasdepage"/>
        <w:jc w:val="both"/>
      </w:pPr>
      <w:r>
        <w:rPr>
          <w:rStyle w:val="Appelnotedebasdep"/>
        </w:rPr>
        <w:footnoteRef/>
      </w:r>
      <w:r>
        <w:t xml:space="preserve"> Si on avait retenu le chiffre de 19 000 euros, la valorisation des emplois induits par la mise en service du GPE aurait été de près de 40 milliards d’euros au lieu de 20,71 retenus ici . </w:t>
      </w:r>
    </w:p>
  </w:footnote>
  <w:footnote w:id="71">
    <w:p w14:paraId="5282AB0B" w14:textId="77777777" w:rsidR="00B71BAF" w:rsidRPr="00EE3FDC" w:rsidRDefault="00B71BAF" w:rsidP="00522318">
      <w:pPr>
        <w:pStyle w:val="Notedebasdepage"/>
        <w:jc w:val="both"/>
        <w:rPr>
          <w:szCs w:val="18"/>
        </w:rPr>
      </w:pPr>
      <w:r w:rsidRPr="00EE3FDC">
        <w:rPr>
          <w:rStyle w:val="Appelnotedebasdep1"/>
          <w:rFonts w:cs="Cambria"/>
          <w:szCs w:val="18"/>
        </w:rPr>
        <w:footnoteRef/>
      </w:r>
      <w:r w:rsidRPr="00EE3FDC">
        <w:rPr>
          <w:szCs w:val="18"/>
        </w:rPr>
        <w:t xml:space="preserve"> Cet effet contra cyclique n’a pas été quantifié dans le bilan coûts avantages en raison des débats encore existants sur l’appréciation des bénéfices économiques d’un soutien de l’activité par des investissements publics en période de maîtrise des déficits budgétaires.</w:t>
      </w:r>
      <w:r w:rsidRPr="00EE3FDC">
        <w:rPr>
          <w:i w:val="0"/>
          <w:szCs w:val="18"/>
        </w:rPr>
        <w:t xml:space="preserve"> </w:t>
      </w:r>
    </w:p>
  </w:footnote>
  <w:footnote w:id="72">
    <w:p w14:paraId="4183F987" w14:textId="74451D80" w:rsidR="00B71BAF" w:rsidRDefault="00B71BAF" w:rsidP="00522318">
      <w:pPr>
        <w:pStyle w:val="Notedebasdepage"/>
        <w:jc w:val="both"/>
      </w:pPr>
      <w:r>
        <w:rPr>
          <w:rStyle w:val="Appelnotedebasdep"/>
        </w:rPr>
        <w:footnoteRef/>
      </w:r>
      <w:r>
        <w:t xml:space="preserve"> Il faut souligner que cette question de la valorisation des emplois de chantier soulève des questions théoriques non négligeables, comme l’a indiqué le rapport </w:t>
      </w:r>
      <w:r w:rsidRPr="00EA1E33">
        <w:t xml:space="preserve">de contre-expertise du </w:t>
      </w:r>
      <w:r>
        <w:t>Secrétariat général pour l’investissement dans sa page 35. L’évaluation proposée ici est la simple application d’une annexe à la circulaire réglementaire de 2014.</w:t>
      </w:r>
    </w:p>
  </w:footnote>
  <w:footnote w:id="73">
    <w:p w14:paraId="79E8AF64" w14:textId="77777777" w:rsidR="00B71BAF" w:rsidRPr="00EE3FDC" w:rsidRDefault="00B71BAF" w:rsidP="00150A72">
      <w:pPr>
        <w:autoSpaceDE w:val="0"/>
        <w:autoSpaceDN w:val="0"/>
        <w:adjustRightInd w:val="0"/>
        <w:jc w:val="both"/>
        <w:rPr>
          <w:i/>
          <w:sz w:val="18"/>
          <w:szCs w:val="18"/>
        </w:rPr>
      </w:pPr>
      <w:r w:rsidRPr="00EE3FDC">
        <w:rPr>
          <w:rStyle w:val="Caractredenotedebasdepage"/>
          <w:i/>
          <w:sz w:val="18"/>
          <w:szCs w:val="18"/>
        </w:rPr>
        <w:footnoteRef/>
      </w:r>
      <w:r w:rsidRPr="00EE3FDC">
        <w:rPr>
          <w:i/>
          <w:sz w:val="18"/>
          <w:szCs w:val="18"/>
        </w:rPr>
        <w:t xml:space="preserve"> Le taux d’actualisation retenu ici est celui recommandé par l’instruction de juin 2014, de 4,5%.</w:t>
      </w:r>
    </w:p>
  </w:footnote>
  <w:footnote w:id="74">
    <w:p w14:paraId="2D30AACF" w14:textId="77777777" w:rsidR="00B71BAF" w:rsidRPr="00EE3FDC" w:rsidRDefault="00B71BAF" w:rsidP="00150A72">
      <w:pPr>
        <w:pStyle w:val="Notedebasdepage"/>
        <w:jc w:val="both"/>
        <w:rPr>
          <w:szCs w:val="18"/>
        </w:rPr>
      </w:pPr>
      <w:r w:rsidRPr="00EE3FDC">
        <w:rPr>
          <w:rStyle w:val="Appelnotedebasdep"/>
          <w:szCs w:val="18"/>
        </w:rPr>
        <w:footnoteRef/>
      </w:r>
      <w:r w:rsidRPr="00EE3FDC">
        <w:rPr>
          <w:szCs w:val="18"/>
        </w:rPr>
        <w:t xml:space="preserve"> F. Beaucire et M. Drevelle : Grand Paris Express, un projet au service de la réduction des inégalités entre l’Est et l’Ouest de la région urbaine de Paris, Economie régionale et urbaine, 2013 n°3, Armand Colin.</w:t>
      </w:r>
    </w:p>
  </w:footnote>
  <w:footnote w:id="75">
    <w:p w14:paraId="3F15A28A" w14:textId="77777777" w:rsidR="00B71BAF" w:rsidRPr="00EE3FDC" w:rsidRDefault="00B71BAF" w:rsidP="00150A72">
      <w:pPr>
        <w:pStyle w:val="Notedebasdepage"/>
        <w:jc w:val="both"/>
        <w:rPr>
          <w:szCs w:val="18"/>
        </w:rPr>
      </w:pPr>
      <w:r w:rsidRPr="00EE3FDC">
        <w:rPr>
          <w:rStyle w:val="Appelnotedebasdep"/>
          <w:szCs w:val="18"/>
        </w:rPr>
        <w:footnoteRef/>
      </w:r>
      <w:r w:rsidRPr="00EE3FDC">
        <w:rPr>
          <w:szCs w:val="18"/>
        </w:rPr>
        <w:t xml:space="preserve"> Ce</w:t>
      </w:r>
      <w:r>
        <w:rPr>
          <w:szCs w:val="18"/>
        </w:rPr>
        <w:t xml:space="preserve">tte technique </w:t>
      </w:r>
      <w:r w:rsidRPr="00EE3FDC">
        <w:rPr>
          <w:szCs w:val="18"/>
        </w:rPr>
        <w:t>peut être débattu</w:t>
      </w:r>
      <w:r>
        <w:rPr>
          <w:szCs w:val="18"/>
        </w:rPr>
        <w:t xml:space="preserve">e </w:t>
      </w:r>
      <w:r w:rsidRPr="00EE3FDC">
        <w:rPr>
          <w:szCs w:val="18"/>
        </w:rPr>
        <w:t xml:space="preserve">car le taux d’actualisation est normalement fonction du taux de croissance de long terme anticipé et donc le taux d’actualisation devrait être réduit avec un taux de croissance </w:t>
      </w:r>
      <w:r>
        <w:rPr>
          <w:szCs w:val="18"/>
        </w:rPr>
        <w:t xml:space="preserve">à long terme </w:t>
      </w:r>
      <w:r w:rsidRPr="00EE3FDC">
        <w:rPr>
          <w:szCs w:val="18"/>
        </w:rPr>
        <w:t>a</w:t>
      </w:r>
      <w:r>
        <w:rPr>
          <w:szCs w:val="18"/>
        </w:rPr>
        <w:t xml:space="preserve">nticipé plus faible. </w:t>
      </w:r>
    </w:p>
  </w:footnote>
  <w:footnote w:id="76">
    <w:p w14:paraId="3C094BB8" w14:textId="77777777" w:rsidR="00B71BAF" w:rsidRPr="00EE3FDC" w:rsidRDefault="00B71BAF" w:rsidP="00150A72">
      <w:pPr>
        <w:pStyle w:val="Notedebasdepage"/>
        <w:jc w:val="both"/>
        <w:rPr>
          <w:color w:val="FF0000"/>
          <w:szCs w:val="18"/>
        </w:rPr>
      </w:pPr>
      <w:r w:rsidRPr="00EE3FDC">
        <w:rPr>
          <w:rStyle w:val="Appelnotedebasdep"/>
          <w:szCs w:val="18"/>
        </w:rPr>
        <w:footnoteRef/>
      </w:r>
      <w:r w:rsidRPr="00EE3FDC">
        <w:rPr>
          <w:szCs w:val="18"/>
        </w:rPr>
        <w:t xml:space="preserve"> Idem.</w:t>
      </w:r>
    </w:p>
  </w:footnote>
  <w:footnote w:id="77">
    <w:p w14:paraId="16CBB518" w14:textId="57471A60" w:rsidR="00B71BAF" w:rsidRPr="00CB0FCE" w:rsidRDefault="00B71BAF">
      <w:pPr>
        <w:pStyle w:val="Notedebasdepage"/>
        <w:rPr>
          <w:color w:val="00B050"/>
        </w:rPr>
      </w:pPr>
      <w:r w:rsidRPr="00CB0FCE">
        <w:rPr>
          <w:rStyle w:val="Appelnotedebasdep"/>
          <w:color w:val="00B050"/>
        </w:rPr>
        <w:footnoteRef/>
      </w:r>
      <w:r w:rsidRPr="00CB0FCE">
        <w:rPr>
          <w:color w:val="00B050"/>
        </w:rPr>
        <w:t xml:space="preserve"> Ce texte est </w:t>
      </w:r>
      <w:r>
        <w:rPr>
          <w:color w:val="00B050"/>
        </w:rPr>
        <w:t>le</w:t>
      </w:r>
      <w:r w:rsidRPr="00CB0FCE">
        <w:rPr>
          <w:color w:val="00B050"/>
        </w:rPr>
        <w:t xml:space="preserve"> résumé </w:t>
      </w:r>
      <w:r>
        <w:rPr>
          <w:color w:val="00B050"/>
        </w:rPr>
        <w:t xml:space="preserve">d’une revue de littérature scientifique réalisée par </w:t>
      </w:r>
      <w:r w:rsidRPr="00CB0FCE">
        <w:rPr>
          <w:color w:val="00B050"/>
        </w:rPr>
        <w:t xml:space="preserve">A. de Palma et S. Vosough (2020). </w:t>
      </w:r>
      <w:r w:rsidRPr="00CB0FCE">
        <w:rPr>
          <w:color w:val="00B050"/>
          <w:lang w:val="en-US"/>
        </w:rPr>
        <w:t xml:space="preserve">Long, medium, and short-term effects of COVID-19 on mobility and lifestyle. </w:t>
      </w:r>
      <w:r w:rsidRPr="00B66342">
        <w:rPr>
          <w:color w:val="00B050"/>
          <w:lang w:val="en-US"/>
        </w:rPr>
        <w:t xml:space="preserve">Working paper. </w:t>
      </w:r>
      <w:hyperlink r:id="rId2" w:history="1">
        <w:r w:rsidRPr="00B66342">
          <w:rPr>
            <w:rStyle w:val="Lienhypertexte"/>
            <w:color w:val="00B050"/>
            <w:lang w:val="en-US"/>
          </w:rPr>
          <w:t>https://thema.u-cergy.fr/IMG/pdf/2021-06.pdf</w:t>
        </w:r>
      </w:hyperlink>
      <w:r w:rsidRPr="00B66342">
        <w:rPr>
          <w:color w:val="00B050"/>
          <w:lang w:val="en-US"/>
        </w:rPr>
        <w:t xml:space="preserve">. </w:t>
      </w:r>
      <w:r>
        <w:rPr>
          <w:color w:val="00B050"/>
        </w:rPr>
        <w:t>Ce résumé a été allégé de son appareillage scientifique et de ses quelque 20 références, pour faciliter la lecture.</w:t>
      </w:r>
    </w:p>
    <w:p w14:paraId="21E7F6CA" w14:textId="77777777" w:rsidR="00B71BAF" w:rsidRDefault="00B71BAF">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22967" w14:textId="77777777" w:rsidR="00B71BAF" w:rsidRPr="00152316" w:rsidRDefault="00B71BAF">
    <w:pPr>
      <w:pStyle w:val="En-tte"/>
      <w:rPr>
        <w:lang w:eastAsia="fr-FR"/>
      </w:rPr>
    </w:pPr>
  </w:p>
  <w:p w14:paraId="076B0786" w14:textId="77777777" w:rsidR="00B71BAF" w:rsidRDefault="00B71BAF"/>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4E1FA" w14:textId="54473680" w:rsidR="00B71BAF" w:rsidRPr="00962C6B" w:rsidRDefault="00B71BAF" w:rsidP="00585838">
    <w:pPr>
      <w:pStyle w:val="En-tte"/>
      <w:rPr>
        <w:rFonts w:ascii="Arial" w:hAnsi="Arial" w:cs="Arial"/>
        <w:b/>
        <w:sz w:val="18"/>
        <w:szCs w:val="18"/>
        <w:lang w:eastAsia="fr-FR"/>
      </w:rPr>
    </w:pPr>
    <w:r>
      <w:rPr>
        <w:rFonts w:ascii="Arial" w:hAnsi="Arial" w:cs="Arial"/>
        <w:b/>
        <w:noProof/>
        <w:sz w:val="18"/>
        <w:szCs w:val="18"/>
        <w:lang w:eastAsia="fr-FR"/>
      </w:rPr>
      <w:drawing>
        <wp:anchor distT="0" distB="0" distL="114300" distR="114300" simplePos="0" relativeHeight="251676672" behindDoc="1" locked="0" layoutInCell="1" allowOverlap="1" wp14:anchorId="4034360B" wp14:editId="4B02B46D">
          <wp:simplePos x="0" y="0"/>
          <wp:positionH relativeFrom="column">
            <wp:posOffset>12781915</wp:posOffset>
          </wp:positionH>
          <wp:positionV relativeFrom="paragraph">
            <wp:posOffset>-234950</wp:posOffset>
          </wp:positionV>
          <wp:extent cx="794385" cy="583565"/>
          <wp:effectExtent l="0" t="0" r="5715" b="6985"/>
          <wp:wrapNone/>
          <wp:docPr id="21" name="Image 21" descr="SGP_logo_cmj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GP_logo_cmj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4385" cy="583565"/>
                  </a:xfrm>
                  <a:prstGeom prst="rect">
                    <a:avLst/>
                  </a:prstGeom>
                  <a:noFill/>
                </pic:spPr>
              </pic:pic>
            </a:graphicData>
          </a:graphic>
          <wp14:sizeRelH relativeFrom="page">
            <wp14:pctWidth>0</wp14:pctWidth>
          </wp14:sizeRelH>
          <wp14:sizeRelV relativeFrom="page">
            <wp14:pctHeight>0</wp14:pctHeight>
          </wp14:sizeRelV>
        </wp:anchor>
      </w:drawing>
    </w:r>
    <w:r>
      <w:rPr>
        <w:rStyle w:val="Numrodepage"/>
        <w:rFonts w:ascii="Arial" w:hAnsi="Arial" w:cs="Arial"/>
        <w:b/>
        <w:sz w:val="18"/>
        <w:szCs w:val="18"/>
      </w:rPr>
      <w:t>PIECE H : Annexe - é</w:t>
    </w:r>
    <w:r w:rsidRPr="007D7741">
      <w:rPr>
        <w:rStyle w:val="Numrodepage"/>
        <w:rFonts w:ascii="Arial" w:hAnsi="Arial" w:cs="Arial"/>
        <w:b/>
        <w:sz w:val="18"/>
        <w:szCs w:val="18"/>
      </w:rPr>
      <w:t>valuation socio-économique</w:t>
    </w:r>
    <w:r>
      <w:rPr>
        <w:rStyle w:val="Numrodepage"/>
        <w:rFonts w:ascii="Arial" w:hAnsi="Arial" w:cs="Arial"/>
        <w:b/>
        <w:sz w:val="18"/>
        <w:szCs w:val="18"/>
      </w:rPr>
      <w:t xml:space="preserve"> à l’échelle du Grand Paris Express</w:t>
    </w:r>
  </w:p>
  <w:p w14:paraId="6B2E40D5" w14:textId="77777777" w:rsidR="00B71BAF" w:rsidRPr="00585838" w:rsidRDefault="00B71BAF" w:rsidP="00585838">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EAED0" w14:textId="61112F3E" w:rsidR="00B71BAF" w:rsidRPr="007D7741" w:rsidRDefault="00B71BAF">
    <w:pPr>
      <w:pStyle w:val="En-tte"/>
      <w:rPr>
        <w:rFonts w:ascii="Arial" w:hAnsi="Arial" w:cs="Arial"/>
        <w:lang w:eastAsia="fr-FR"/>
      </w:rPr>
    </w:pPr>
    <w:r>
      <w:rPr>
        <w:rFonts w:ascii="Arial" w:hAnsi="Arial" w:cs="Arial"/>
        <w:noProof/>
        <w:lang w:eastAsia="fr-FR"/>
      </w:rPr>
      <w:drawing>
        <wp:anchor distT="0" distB="0" distL="114300" distR="114300" simplePos="0" relativeHeight="251662336" behindDoc="1" locked="0" layoutInCell="1" allowOverlap="1" wp14:anchorId="5381CAC7" wp14:editId="655802C7">
          <wp:simplePos x="0" y="0"/>
          <wp:positionH relativeFrom="page">
            <wp:align>left</wp:align>
          </wp:positionH>
          <wp:positionV relativeFrom="paragraph">
            <wp:posOffset>-450215</wp:posOffset>
          </wp:positionV>
          <wp:extent cx="801148" cy="10697210"/>
          <wp:effectExtent l="0" t="0" r="0" b="0"/>
          <wp:wrapNone/>
          <wp:docPr id="976" name="Imag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1148" cy="106972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fr-FR"/>
      </w:rPr>
      <w:drawing>
        <wp:anchor distT="0" distB="0" distL="114300" distR="114300" simplePos="0" relativeHeight="251663360" behindDoc="1" locked="0" layoutInCell="1" allowOverlap="1" wp14:anchorId="69E74BB8" wp14:editId="6950B067">
          <wp:simplePos x="0" y="0"/>
          <wp:positionH relativeFrom="column">
            <wp:posOffset>12781915</wp:posOffset>
          </wp:positionH>
          <wp:positionV relativeFrom="paragraph">
            <wp:posOffset>-234950</wp:posOffset>
          </wp:positionV>
          <wp:extent cx="794385" cy="583565"/>
          <wp:effectExtent l="0" t="0" r="5715" b="6985"/>
          <wp:wrapNone/>
          <wp:docPr id="977" name="Image 977" descr="SGP_logo_cmj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GP_logo_cmjn.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4385" cy="583565"/>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Numrodepage"/>
        <w:rFonts w:ascii="Arial" w:hAnsi="Arial" w:cs="Arial"/>
        <w:b/>
        <w:sz w:val="18"/>
        <w:szCs w:val="18"/>
      </w:rPr>
      <w:t>PIECE H : Annexe - é</w:t>
    </w:r>
    <w:r w:rsidRPr="007D7741">
      <w:rPr>
        <w:rStyle w:val="Numrodepage"/>
        <w:rFonts w:ascii="Arial" w:hAnsi="Arial" w:cs="Arial"/>
        <w:b/>
        <w:sz w:val="18"/>
        <w:szCs w:val="18"/>
      </w:rPr>
      <w:t>valuation socio-économique</w:t>
    </w:r>
    <w:r>
      <w:rPr>
        <w:rStyle w:val="Numrodepage"/>
        <w:rFonts w:ascii="Arial" w:hAnsi="Arial" w:cs="Arial"/>
        <w:b/>
        <w:sz w:val="18"/>
        <w:szCs w:val="18"/>
      </w:rPr>
      <w:t xml:space="preserve"> à l’échelle du Grand Paris Express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D07674" w14:textId="12CF2EBB" w:rsidR="00B71BAF" w:rsidRPr="007D7741" w:rsidRDefault="00B71BAF" w:rsidP="003A2779">
    <w:pPr>
      <w:pStyle w:val="En-tte"/>
      <w:ind w:left="1843"/>
      <w:rPr>
        <w:rFonts w:ascii="Arial" w:hAnsi="Arial" w:cs="Arial"/>
        <w:lang w:eastAsia="fr-FR"/>
      </w:rPr>
    </w:pPr>
    <w:r>
      <w:rPr>
        <w:rFonts w:ascii="Arial" w:hAnsi="Arial" w:cs="Arial"/>
        <w:noProof/>
        <w:lang w:eastAsia="fr-FR"/>
      </w:rPr>
      <w:drawing>
        <wp:anchor distT="0" distB="0" distL="114300" distR="114300" simplePos="0" relativeHeight="251665408" behindDoc="1" locked="0" layoutInCell="1" allowOverlap="1" wp14:anchorId="578C4219" wp14:editId="58C43BDD">
          <wp:simplePos x="0" y="0"/>
          <wp:positionH relativeFrom="page">
            <wp:align>left</wp:align>
          </wp:positionH>
          <wp:positionV relativeFrom="paragraph">
            <wp:posOffset>176914</wp:posOffset>
          </wp:positionV>
          <wp:extent cx="1821600" cy="10044000"/>
          <wp:effectExtent l="0" t="0" r="762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1600" cy="100440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31E76" w14:textId="051459D5" w:rsidR="00B71BAF" w:rsidRPr="007D7741" w:rsidRDefault="00B71BAF">
    <w:pPr>
      <w:pStyle w:val="En-tte"/>
      <w:rPr>
        <w:rFonts w:ascii="Arial" w:hAnsi="Arial" w:cs="Arial"/>
        <w:lang w:eastAsia="fr-FR"/>
      </w:rPr>
    </w:pPr>
    <w:r>
      <w:rPr>
        <w:rFonts w:ascii="Arial" w:hAnsi="Arial" w:cs="Arial"/>
        <w:b/>
        <w:noProof/>
        <w:sz w:val="18"/>
        <w:szCs w:val="18"/>
        <w:lang w:eastAsia="fr-FR"/>
      </w:rPr>
      <w:drawing>
        <wp:anchor distT="0" distB="0" distL="114300" distR="114300" simplePos="0" relativeHeight="251666432" behindDoc="1" locked="0" layoutInCell="1" allowOverlap="1" wp14:anchorId="6FE60ACA" wp14:editId="58776153">
          <wp:simplePos x="0" y="0"/>
          <wp:positionH relativeFrom="page">
            <wp:align>left</wp:align>
          </wp:positionH>
          <wp:positionV relativeFrom="paragraph">
            <wp:posOffset>-460848</wp:posOffset>
          </wp:positionV>
          <wp:extent cx="811781" cy="10708640"/>
          <wp:effectExtent l="0" t="0" r="762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1781" cy="10708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7B48">
      <w:rPr>
        <w:rStyle w:val="Numrodepage"/>
        <w:rFonts w:ascii="Arial" w:hAnsi="Arial" w:cs="Arial"/>
        <w:b/>
        <w:sz w:val="18"/>
        <w:szCs w:val="18"/>
      </w:rPr>
      <w:t xml:space="preserve"> </w:t>
    </w:r>
    <w:r>
      <w:rPr>
        <w:rStyle w:val="Numrodepage"/>
        <w:rFonts w:ascii="Arial" w:hAnsi="Arial" w:cs="Arial"/>
        <w:b/>
        <w:sz w:val="18"/>
        <w:szCs w:val="18"/>
      </w:rPr>
      <w:t>PIECE H : Annexe - é</w:t>
    </w:r>
    <w:r w:rsidRPr="007D7741">
      <w:rPr>
        <w:rStyle w:val="Numrodepage"/>
        <w:rFonts w:ascii="Arial" w:hAnsi="Arial" w:cs="Arial"/>
        <w:b/>
        <w:sz w:val="18"/>
        <w:szCs w:val="18"/>
      </w:rPr>
      <w:t>valuation socio-économique</w:t>
    </w:r>
    <w:r>
      <w:rPr>
        <w:rStyle w:val="Numrodepage"/>
        <w:rFonts w:ascii="Arial" w:hAnsi="Arial" w:cs="Arial"/>
        <w:b/>
        <w:sz w:val="18"/>
        <w:szCs w:val="18"/>
      </w:rPr>
      <w:t xml:space="preserve"> à l’échelle du Grand Paris Express</w:t>
    </w:r>
    <w:r>
      <w:rPr>
        <w:rFonts w:ascii="Arial" w:hAnsi="Arial" w:cs="Arial"/>
        <w:noProof/>
        <w:color w:val="FF0000"/>
        <w:lang w:eastAsia="fr-FR"/>
      </w:rPr>
      <w:drawing>
        <wp:anchor distT="0" distB="0" distL="114300" distR="114300" simplePos="0" relativeHeight="251664384" behindDoc="1" locked="0" layoutInCell="1" allowOverlap="1" wp14:anchorId="0C3BE147" wp14:editId="703E05CE">
          <wp:simplePos x="0" y="0"/>
          <wp:positionH relativeFrom="column">
            <wp:posOffset>12781915</wp:posOffset>
          </wp:positionH>
          <wp:positionV relativeFrom="paragraph">
            <wp:posOffset>-234950</wp:posOffset>
          </wp:positionV>
          <wp:extent cx="794385" cy="583565"/>
          <wp:effectExtent l="0" t="0" r="5715" b="6985"/>
          <wp:wrapNone/>
          <wp:docPr id="6" name="Image 6" descr="SGP_logo_cmj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GP_logo_cmjn.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4385" cy="5835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43698" w14:textId="5D8033EC" w:rsidR="00B71BAF" w:rsidRPr="007D7741" w:rsidRDefault="00B71BAF" w:rsidP="00A47B48">
    <w:pPr>
      <w:pStyle w:val="En-tte"/>
      <w:rPr>
        <w:rFonts w:ascii="Arial" w:hAnsi="Arial" w:cs="Arial"/>
        <w:lang w:eastAsia="fr-FR"/>
      </w:rPr>
    </w:pPr>
    <w:r>
      <w:rPr>
        <w:rFonts w:ascii="Arial" w:hAnsi="Arial" w:cs="Arial"/>
        <w:noProof/>
        <w:lang w:eastAsia="fr-FR"/>
      </w:rPr>
      <w:drawing>
        <wp:anchor distT="0" distB="0" distL="114300" distR="114300" simplePos="0" relativeHeight="251673600" behindDoc="1" locked="0" layoutInCell="1" allowOverlap="1" wp14:anchorId="6BECB9A8" wp14:editId="01AEFCC8">
          <wp:simplePos x="0" y="0"/>
          <wp:positionH relativeFrom="page">
            <wp:align>left</wp:align>
          </wp:positionH>
          <wp:positionV relativeFrom="paragraph">
            <wp:posOffset>173296</wp:posOffset>
          </wp:positionV>
          <wp:extent cx="1821815" cy="10043795"/>
          <wp:effectExtent l="0" t="0" r="698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1815" cy="10043795"/>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Numrodepage"/>
        <w:rFonts w:ascii="Arial" w:hAnsi="Arial" w:cs="Arial"/>
        <w:b/>
        <w:sz w:val="18"/>
        <w:szCs w:val="18"/>
      </w:rPr>
      <w:t>PIECE H : Annexe - é</w:t>
    </w:r>
    <w:r w:rsidRPr="007D7741">
      <w:rPr>
        <w:rStyle w:val="Numrodepage"/>
        <w:rFonts w:ascii="Arial" w:hAnsi="Arial" w:cs="Arial"/>
        <w:b/>
        <w:sz w:val="18"/>
        <w:szCs w:val="18"/>
      </w:rPr>
      <w:t>valuation socio-économique</w:t>
    </w:r>
    <w:r>
      <w:rPr>
        <w:rStyle w:val="Numrodepage"/>
        <w:rFonts w:ascii="Arial" w:hAnsi="Arial" w:cs="Arial"/>
        <w:b/>
        <w:sz w:val="18"/>
        <w:szCs w:val="18"/>
      </w:rPr>
      <w:t xml:space="preserve"> à l’échelle du Grand Paris Express</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F8DFD" w14:textId="7911D5F6" w:rsidR="00B71BAF" w:rsidRPr="007D7741" w:rsidRDefault="00B71BAF">
    <w:pPr>
      <w:pStyle w:val="En-tte"/>
      <w:rPr>
        <w:rFonts w:ascii="Arial" w:hAnsi="Arial" w:cs="Arial"/>
        <w:lang w:eastAsia="fr-FR"/>
      </w:rPr>
    </w:pPr>
    <w:r>
      <w:rPr>
        <w:rFonts w:ascii="Arial" w:hAnsi="Arial" w:cs="Arial"/>
        <w:b/>
        <w:noProof/>
        <w:sz w:val="18"/>
        <w:szCs w:val="18"/>
        <w:lang w:eastAsia="fr-FR"/>
      </w:rPr>
      <w:drawing>
        <wp:anchor distT="0" distB="0" distL="114300" distR="114300" simplePos="0" relativeHeight="251671552" behindDoc="1" locked="0" layoutInCell="1" allowOverlap="1" wp14:anchorId="7B92F1AE" wp14:editId="5045878C">
          <wp:simplePos x="0" y="0"/>
          <wp:positionH relativeFrom="page">
            <wp:align>left</wp:align>
          </wp:positionH>
          <wp:positionV relativeFrom="paragraph">
            <wp:posOffset>-460848</wp:posOffset>
          </wp:positionV>
          <wp:extent cx="790515" cy="10708640"/>
          <wp:effectExtent l="0" t="0" r="0" b="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0515" cy="10708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7B48">
      <w:rPr>
        <w:rStyle w:val="Numrodepage"/>
        <w:rFonts w:ascii="Arial" w:hAnsi="Arial" w:cs="Arial"/>
        <w:b/>
        <w:sz w:val="18"/>
        <w:szCs w:val="18"/>
      </w:rPr>
      <w:t xml:space="preserve"> </w:t>
    </w:r>
    <w:r>
      <w:rPr>
        <w:rStyle w:val="Numrodepage"/>
        <w:rFonts w:ascii="Arial" w:hAnsi="Arial" w:cs="Arial"/>
        <w:b/>
        <w:sz w:val="18"/>
        <w:szCs w:val="18"/>
      </w:rPr>
      <w:t>PIECE H : Annexe - é</w:t>
    </w:r>
    <w:r w:rsidRPr="007D7741">
      <w:rPr>
        <w:rStyle w:val="Numrodepage"/>
        <w:rFonts w:ascii="Arial" w:hAnsi="Arial" w:cs="Arial"/>
        <w:b/>
        <w:sz w:val="18"/>
        <w:szCs w:val="18"/>
      </w:rPr>
      <w:t>valuation socio-économique</w:t>
    </w:r>
    <w:r>
      <w:rPr>
        <w:rStyle w:val="Numrodepage"/>
        <w:rFonts w:ascii="Arial" w:hAnsi="Arial" w:cs="Arial"/>
        <w:b/>
        <w:sz w:val="18"/>
        <w:szCs w:val="18"/>
      </w:rPr>
      <w:t xml:space="preserve"> à l’échelle du Grand Paris Express</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F7742" w14:textId="083AC3EC" w:rsidR="00B71BAF" w:rsidRPr="007D7741" w:rsidRDefault="00B71BAF" w:rsidP="003A2779">
    <w:pPr>
      <w:pStyle w:val="En-tte"/>
      <w:ind w:left="1843"/>
      <w:rPr>
        <w:rFonts w:ascii="Arial" w:hAnsi="Arial" w:cs="Arial"/>
        <w:lang w:eastAsia="fr-FR"/>
      </w:rPr>
    </w:pPr>
    <w:r>
      <w:rPr>
        <w:rFonts w:ascii="Arial" w:hAnsi="Arial" w:cs="Arial"/>
        <w:noProof/>
        <w:lang w:eastAsia="fr-FR"/>
      </w:rPr>
      <w:drawing>
        <wp:anchor distT="0" distB="0" distL="114300" distR="114300" simplePos="0" relativeHeight="251668480" behindDoc="1" locked="0" layoutInCell="1" allowOverlap="1" wp14:anchorId="06A470B5" wp14:editId="7E8D13FA">
          <wp:simplePos x="0" y="0"/>
          <wp:positionH relativeFrom="page">
            <wp:align>left</wp:align>
          </wp:positionH>
          <wp:positionV relativeFrom="paragraph">
            <wp:posOffset>176855</wp:posOffset>
          </wp:positionV>
          <wp:extent cx="1821815" cy="10043795"/>
          <wp:effectExtent l="0" t="0" r="6985" b="0"/>
          <wp:wrapNone/>
          <wp:docPr id="983" name="Imag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1815" cy="10043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7B48">
      <w:rPr>
        <w:rStyle w:val="Numrodepage"/>
        <w:rFonts w:ascii="Arial" w:hAnsi="Arial" w:cs="Arial"/>
        <w:b/>
        <w:sz w:val="18"/>
        <w:szCs w:val="18"/>
      </w:rPr>
      <w:t xml:space="preserve"> </w:t>
    </w:r>
    <w:r>
      <w:rPr>
        <w:rStyle w:val="Numrodepage"/>
        <w:rFonts w:ascii="Arial" w:hAnsi="Arial" w:cs="Arial"/>
        <w:b/>
        <w:sz w:val="18"/>
        <w:szCs w:val="18"/>
      </w:rPr>
      <w:t>PIECE H : Annexe - é</w:t>
    </w:r>
    <w:r w:rsidRPr="007D7741">
      <w:rPr>
        <w:rStyle w:val="Numrodepage"/>
        <w:rFonts w:ascii="Arial" w:hAnsi="Arial" w:cs="Arial"/>
        <w:b/>
        <w:sz w:val="18"/>
        <w:szCs w:val="18"/>
      </w:rPr>
      <w:t>valuation socio-économique</w:t>
    </w:r>
    <w:r>
      <w:rPr>
        <w:rStyle w:val="Numrodepage"/>
        <w:rFonts w:ascii="Arial" w:hAnsi="Arial" w:cs="Arial"/>
        <w:b/>
        <w:sz w:val="18"/>
        <w:szCs w:val="18"/>
      </w:rPr>
      <w:t xml:space="preserve"> à l’échelle du Grand Paris Express</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62B18" w14:textId="329E2696" w:rsidR="00B71BAF" w:rsidRPr="007D7741" w:rsidRDefault="00B71BAF">
    <w:pPr>
      <w:pStyle w:val="En-tte"/>
      <w:rPr>
        <w:rFonts w:ascii="Arial" w:hAnsi="Arial" w:cs="Arial"/>
        <w:lang w:eastAsia="fr-FR"/>
      </w:rPr>
    </w:pPr>
    <w:r>
      <w:rPr>
        <w:rFonts w:ascii="Arial" w:hAnsi="Arial" w:cs="Arial"/>
        <w:b/>
        <w:noProof/>
        <w:sz w:val="18"/>
        <w:szCs w:val="18"/>
        <w:lang w:eastAsia="fr-FR"/>
      </w:rPr>
      <w:drawing>
        <wp:anchor distT="0" distB="0" distL="114300" distR="114300" simplePos="0" relativeHeight="251669504" behindDoc="1" locked="0" layoutInCell="1" allowOverlap="1" wp14:anchorId="11298EE9" wp14:editId="7D2E0C88">
          <wp:simplePos x="0" y="0"/>
          <wp:positionH relativeFrom="page">
            <wp:align>left</wp:align>
          </wp:positionH>
          <wp:positionV relativeFrom="paragraph">
            <wp:posOffset>-460848</wp:posOffset>
          </wp:positionV>
          <wp:extent cx="801148" cy="10708640"/>
          <wp:effectExtent l="0" t="0" r="0" b="0"/>
          <wp:wrapNone/>
          <wp:docPr id="984" name="Imag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1148" cy="10708640"/>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Numrodepage"/>
        <w:rFonts w:ascii="Arial" w:hAnsi="Arial" w:cs="Arial"/>
        <w:b/>
        <w:sz w:val="18"/>
        <w:szCs w:val="18"/>
      </w:rPr>
      <w:t>PIECE H : Annexe - é</w:t>
    </w:r>
    <w:r w:rsidRPr="007D7741">
      <w:rPr>
        <w:rStyle w:val="Numrodepage"/>
        <w:rFonts w:ascii="Arial" w:hAnsi="Arial" w:cs="Arial"/>
        <w:b/>
        <w:sz w:val="18"/>
        <w:szCs w:val="18"/>
      </w:rPr>
      <w:t>valuation socio-économique</w:t>
    </w:r>
    <w:r>
      <w:rPr>
        <w:rStyle w:val="Numrodepage"/>
        <w:rFonts w:ascii="Arial" w:hAnsi="Arial" w:cs="Arial"/>
        <w:b/>
        <w:sz w:val="18"/>
        <w:szCs w:val="18"/>
      </w:rPr>
      <w:t xml:space="preserve"> à l’échelle du Grand Paris Express</w:t>
    </w:r>
  </w:p>
  <w:p w14:paraId="3AC00771" w14:textId="77777777" w:rsidR="00B71BAF" w:rsidRDefault="00B71BAF"/>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BB0A74" w14:textId="21C6ACB7" w:rsidR="00B71BAF" w:rsidRPr="00962C6B" w:rsidRDefault="00B71BAF" w:rsidP="00585838">
    <w:pPr>
      <w:pStyle w:val="En-tte"/>
      <w:rPr>
        <w:rFonts w:ascii="Arial" w:hAnsi="Arial" w:cs="Arial"/>
        <w:b/>
        <w:sz w:val="18"/>
        <w:szCs w:val="18"/>
        <w:lang w:eastAsia="fr-FR"/>
      </w:rPr>
    </w:pPr>
    <w:r>
      <w:rPr>
        <w:rFonts w:ascii="Arial" w:hAnsi="Arial" w:cs="Arial"/>
        <w:b/>
        <w:noProof/>
        <w:sz w:val="18"/>
        <w:szCs w:val="18"/>
        <w:lang w:eastAsia="fr-FR"/>
      </w:rPr>
      <w:drawing>
        <wp:anchor distT="0" distB="0" distL="114300" distR="114300" simplePos="0" relativeHeight="251659264" behindDoc="1" locked="0" layoutInCell="1" allowOverlap="1" wp14:anchorId="67A99EEB" wp14:editId="253AF23B">
          <wp:simplePos x="0" y="0"/>
          <wp:positionH relativeFrom="page">
            <wp:align>left</wp:align>
          </wp:positionH>
          <wp:positionV relativeFrom="paragraph">
            <wp:posOffset>-460848</wp:posOffset>
          </wp:positionV>
          <wp:extent cx="768985" cy="15108866"/>
          <wp:effectExtent l="0" t="0" r="0" b="0"/>
          <wp:wrapNone/>
          <wp:docPr id="985" name="Imag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473" cy="15118454"/>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b/>
        <w:noProof/>
        <w:sz w:val="18"/>
        <w:szCs w:val="18"/>
        <w:lang w:eastAsia="fr-FR"/>
      </w:rPr>
      <w:drawing>
        <wp:anchor distT="0" distB="0" distL="114300" distR="114300" simplePos="0" relativeHeight="251660288" behindDoc="1" locked="0" layoutInCell="1" allowOverlap="1" wp14:anchorId="1F0F16D7" wp14:editId="3D562B38">
          <wp:simplePos x="0" y="0"/>
          <wp:positionH relativeFrom="column">
            <wp:posOffset>12781915</wp:posOffset>
          </wp:positionH>
          <wp:positionV relativeFrom="paragraph">
            <wp:posOffset>-234950</wp:posOffset>
          </wp:positionV>
          <wp:extent cx="794385" cy="583565"/>
          <wp:effectExtent l="0" t="0" r="5715" b="6985"/>
          <wp:wrapNone/>
          <wp:docPr id="986" name="Image 986" descr="SGP_logo_cmj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GP_logo_cmjn.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4385" cy="583565"/>
                  </a:xfrm>
                  <a:prstGeom prst="rect">
                    <a:avLst/>
                  </a:prstGeom>
                  <a:noFill/>
                </pic:spPr>
              </pic:pic>
            </a:graphicData>
          </a:graphic>
          <wp14:sizeRelH relativeFrom="page">
            <wp14:pctWidth>0</wp14:pctWidth>
          </wp14:sizeRelH>
          <wp14:sizeRelV relativeFrom="page">
            <wp14:pctHeight>0</wp14:pctHeight>
          </wp14:sizeRelV>
        </wp:anchor>
      </w:drawing>
    </w:r>
    <w:r>
      <w:rPr>
        <w:rStyle w:val="Numrodepage"/>
        <w:rFonts w:ascii="Arial" w:hAnsi="Arial" w:cs="Arial"/>
        <w:b/>
        <w:sz w:val="18"/>
        <w:szCs w:val="18"/>
      </w:rPr>
      <w:t>PIECE H : Annexe - é</w:t>
    </w:r>
    <w:r w:rsidRPr="007D7741">
      <w:rPr>
        <w:rStyle w:val="Numrodepage"/>
        <w:rFonts w:ascii="Arial" w:hAnsi="Arial" w:cs="Arial"/>
        <w:b/>
        <w:sz w:val="18"/>
        <w:szCs w:val="18"/>
      </w:rPr>
      <w:t>valuation socio-économique</w:t>
    </w:r>
    <w:r>
      <w:rPr>
        <w:rStyle w:val="Numrodepage"/>
        <w:rFonts w:ascii="Arial" w:hAnsi="Arial" w:cs="Arial"/>
        <w:b/>
        <w:sz w:val="18"/>
        <w:szCs w:val="18"/>
      </w:rPr>
      <w:t xml:space="preserve"> à l’échelle du Grand Paris Express</w:t>
    </w:r>
  </w:p>
  <w:p w14:paraId="638CE519" w14:textId="77777777" w:rsidR="00B71BAF" w:rsidRPr="00585838" w:rsidRDefault="00B71BAF" w:rsidP="0058583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DE4012"/>
    <w:multiLevelType w:val="hybridMultilevel"/>
    <w:tmpl w:val="16C4CA3C"/>
    <w:lvl w:ilvl="0" w:tplc="31B8B840">
      <w:start w:val="2"/>
      <w:numFmt w:val="bullet"/>
      <w:lvlText w:val="-"/>
      <w:lvlJc w:val="left"/>
      <w:pPr>
        <w:ind w:left="720" w:hanging="360"/>
      </w:pPr>
      <w:rPr>
        <w:rFonts w:ascii="Calibri" w:eastAsia="Calibri"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0D860CAD"/>
    <w:multiLevelType w:val="hybridMultilevel"/>
    <w:tmpl w:val="F41439DC"/>
    <w:lvl w:ilvl="0" w:tplc="38822B24">
      <w:start w:val="3"/>
      <w:numFmt w:val="bullet"/>
      <w:lvlText w:val="-"/>
      <w:lvlJc w:val="left"/>
      <w:pPr>
        <w:ind w:left="720" w:hanging="360"/>
      </w:pPr>
      <w:rPr>
        <w:rFonts w:ascii="Verdana" w:eastAsia="Cambria" w:hAnsi="Verdana"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0CD28A6"/>
    <w:multiLevelType w:val="hybridMultilevel"/>
    <w:tmpl w:val="9D8CAAAA"/>
    <w:lvl w:ilvl="0" w:tplc="D51ADD3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6C64F09"/>
    <w:multiLevelType w:val="hybridMultilevel"/>
    <w:tmpl w:val="2E0E4D58"/>
    <w:lvl w:ilvl="0" w:tplc="2876C01A">
      <w:start w:val="1"/>
      <w:numFmt w:val="decimal"/>
      <w:lvlText w:val="%1."/>
      <w:lvlJc w:val="left"/>
      <w:pPr>
        <w:ind w:left="720" w:hanging="360"/>
      </w:pPr>
      <w:rPr>
        <w:rFonts w:eastAsia="MS Mincho" w:cs="Arial" w:hint="default"/>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898462B"/>
    <w:multiLevelType w:val="hybridMultilevel"/>
    <w:tmpl w:val="61E4F8E0"/>
    <w:lvl w:ilvl="0" w:tplc="AB6E0F5C">
      <w:start w:val="1"/>
      <w:numFmt w:val="bullet"/>
      <w:lvlText w:val="-"/>
      <w:lvlJc w:val="left"/>
      <w:pPr>
        <w:ind w:left="720" w:hanging="360"/>
      </w:pPr>
      <w:rPr>
        <w:rFonts w:ascii="Arial"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BA37BF5"/>
    <w:multiLevelType w:val="hybridMultilevel"/>
    <w:tmpl w:val="DE865CFA"/>
    <w:styleLink w:val="ListeBIOTOPE311"/>
    <w:lvl w:ilvl="0" w:tplc="D2467A16">
      <w:numFmt w:val="bullet"/>
      <w:lvlText w:val="-"/>
      <w:lvlJc w:val="left"/>
      <w:pPr>
        <w:ind w:left="720" w:hanging="360"/>
      </w:pPr>
      <w:rPr>
        <w:rFonts w:ascii="Calibri" w:eastAsia="Times New Roman" w:hAnsi="Calibri" w:cs="Liberation Serif" w:hint="default"/>
        <w:lang w:val="fr-FR"/>
      </w:rPr>
    </w:lvl>
    <w:lvl w:ilvl="1" w:tplc="D35027B6">
      <w:start w:val="1"/>
      <w:numFmt w:val="bullet"/>
      <w:pStyle w:val="Puce2"/>
      <w:lvlText w:val="o"/>
      <w:lvlJc w:val="left"/>
      <w:pPr>
        <w:ind w:left="1440" w:hanging="360"/>
      </w:pPr>
      <w:rPr>
        <w:rFonts w:ascii="Courier New" w:hAnsi="Courier New" w:cs="Courier New" w:hint="default"/>
      </w:rPr>
    </w:lvl>
    <w:lvl w:ilvl="2" w:tplc="BF1E9B40">
      <w:start w:val="1"/>
      <w:numFmt w:val="bullet"/>
      <w:pStyle w:val="Puce3"/>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E8467E7"/>
    <w:multiLevelType w:val="multilevel"/>
    <w:tmpl w:val="BA6EBDD8"/>
    <w:lvl w:ilvl="0">
      <w:start w:val="8"/>
      <w:numFmt w:val="upperLetter"/>
      <w:pStyle w:val="Titre0"/>
      <w:lvlText w:val="%1"/>
      <w:lvlJc w:val="left"/>
      <w:pPr>
        <w:ind w:left="432" w:hanging="432"/>
      </w:pPr>
      <w:rPr>
        <w:rFonts w:hint="default"/>
      </w:rPr>
    </w:lvl>
    <w:lvl w:ilvl="1">
      <w:start w:val="1"/>
      <w:numFmt w:val="decimal"/>
      <w:pStyle w:val="Titre1"/>
      <w:lvlText w:val="%1 %2"/>
      <w:lvlJc w:val="left"/>
      <w:pPr>
        <w:ind w:left="2703" w:hanging="576"/>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2"/>
      <w:lvlText w:val="%3."/>
      <w:lvlJc w:val="left"/>
      <w:pPr>
        <w:ind w:left="720" w:hanging="720"/>
      </w:pPr>
      <w:rPr>
        <w:rFonts w:cs="Times New Roman" w:hint="default"/>
        <w:b/>
        <w:bCs w:val="0"/>
        <w:i w:val="0"/>
        <w:iCs w:val="0"/>
        <w:caps w:val="0"/>
        <w:smallCaps w:val="0"/>
        <w:strike w:val="0"/>
        <w:dstrike w:val="0"/>
        <w:noProof w:val="0"/>
        <w:vanish w:val="0"/>
        <w:color w:val="931638"/>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re3"/>
      <w:lvlText w:val="%3.%4"/>
      <w:lvlJc w:val="left"/>
      <w:pPr>
        <w:ind w:left="1290" w:hanging="864"/>
      </w:pPr>
      <w:rPr>
        <w:rFonts w:hint="default"/>
        <w:strike w:val="0"/>
      </w:rPr>
    </w:lvl>
    <w:lvl w:ilvl="4">
      <w:start w:val="1"/>
      <w:numFmt w:val="decimal"/>
      <w:pStyle w:val="Titre4"/>
      <w:lvlText w:val="%3.%4.%5"/>
      <w:lvlJc w:val="left"/>
      <w:pPr>
        <w:ind w:left="1008" w:hanging="1008"/>
      </w:pPr>
      <w:rPr>
        <w:rFonts w:hint="default"/>
      </w:rPr>
    </w:lvl>
    <w:lvl w:ilvl="5">
      <w:start w:val="1"/>
      <w:numFmt w:val="decimal"/>
      <w:pStyle w:val="Titre5"/>
      <w:lvlText w:val="%3.%4.%5.%6"/>
      <w:lvlJc w:val="left"/>
      <w:pPr>
        <w:ind w:left="1152" w:hanging="1152"/>
      </w:pPr>
      <w:rPr>
        <w:rFonts w:hint="default"/>
      </w:rPr>
    </w:lvl>
    <w:lvl w:ilvl="6">
      <w:start w:val="1"/>
      <w:numFmt w:val="decimal"/>
      <w:pStyle w:val="Titre6"/>
      <w:lvlText w:val="%3.%4.%5.%6.%7"/>
      <w:lvlJc w:val="left"/>
      <w:pPr>
        <w:ind w:left="1296" w:hanging="1296"/>
      </w:pPr>
      <w:rPr>
        <w:rFonts w:hint="default"/>
      </w:rPr>
    </w:lvl>
    <w:lvl w:ilvl="7">
      <w:start w:val="1"/>
      <w:numFmt w:val="decimal"/>
      <w:pStyle w:val="Titre7"/>
      <w:lvlText w:val="%3.%4.%5.%6.%7.%8"/>
      <w:lvlJc w:val="left"/>
      <w:pPr>
        <w:ind w:left="1440" w:hanging="1440"/>
      </w:pPr>
      <w:rPr>
        <w:rFonts w:hint="default"/>
      </w:rPr>
    </w:lvl>
    <w:lvl w:ilvl="8">
      <w:start w:val="1"/>
      <w:numFmt w:val="decimal"/>
      <w:pStyle w:val="Titre8"/>
      <w:lvlText w:val="%3.%4.%5.%6.%7.%8.%9"/>
      <w:lvlJc w:val="left"/>
      <w:pPr>
        <w:ind w:left="1584" w:hanging="1584"/>
      </w:pPr>
      <w:rPr>
        <w:rFonts w:hint="default"/>
      </w:rPr>
    </w:lvl>
  </w:abstractNum>
  <w:abstractNum w:abstractNumId="7" w15:restartNumberingAfterBreak="0">
    <w:nsid w:val="28DE17CB"/>
    <w:multiLevelType w:val="hybridMultilevel"/>
    <w:tmpl w:val="FFFFFFFF"/>
    <w:lvl w:ilvl="0" w:tplc="ED28AB7E">
      <w:start w:val="1"/>
      <w:numFmt w:val="bullet"/>
      <w:lvlText w:val="-"/>
      <w:lvlJc w:val="left"/>
      <w:pPr>
        <w:ind w:left="720" w:hanging="360"/>
      </w:pPr>
      <w:rPr>
        <w:rFonts w:ascii="Calibri" w:hAnsi="Calibri" w:hint="default"/>
      </w:rPr>
    </w:lvl>
    <w:lvl w:ilvl="1" w:tplc="76A6335E">
      <w:start w:val="1"/>
      <w:numFmt w:val="bullet"/>
      <w:lvlText w:val="o"/>
      <w:lvlJc w:val="left"/>
      <w:pPr>
        <w:ind w:left="1440" w:hanging="360"/>
      </w:pPr>
      <w:rPr>
        <w:rFonts w:ascii="Courier New" w:hAnsi="Courier New" w:hint="default"/>
      </w:rPr>
    </w:lvl>
    <w:lvl w:ilvl="2" w:tplc="2B38701E">
      <w:start w:val="1"/>
      <w:numFmt w:val="bullet"/>
      <w:lvlText w:val=""/>
      <w:lvlJc w:val="left"/>
      <w:pPr>
        <w:ind w:left="2160" w:hanging="360"/>
      </w:pPr>
      <w:rPr>
        <w:rFonts w:ascii="Wingdings" w:hAnsi="Wingdings" w:hint="default"/>
      </w:rPr>
    </w:lvl>
    <w:lvl w:ilvl="3" w:tplc="98D4AA88">
      <w:start w:val="1"/>
      <w:numFmt w:val="bullet"/>
      <w:lvlText w:val=""/>
      <w:lvlJc w:val="left"/>
      <w:pPr>
        <w:ind w:left="2880" w:hanging="360"/>
      </w:pPr>
      <w:rPr>
        <w:rFonts w:ascii="Symbol" w:hAnsi="Symbol" w:hint="default"/>
      </w:rPr>
    </w:lvl>
    <w:lvl w:ilvl="4" w:tplc="C6B6EC14">
      <w:start w:val="1"/>
      <w:numFmt w:val="bullet"/>
      <w:lvlText w:val="o"/>
      <w:lvlJc w:val="left"/>
      <w:pPr>
        <w:ind w:left="3600" w:hanging="360"/>
      </w:pPr>
      <w:rPr>
        <w:rFonts w:ascii="Courier New" w:hAnsi="Courier New" w:hint="default"/>
      </w:rPr>
    </w:lvl>
    <w:lvl w:ilvl="5" w:tplc="4FA61F8A">
      <w:start w:val="1"/>
      <w:numFmt w:val="bullet"/>
      <w:lvlText w:val=""/>
      <w:lvlJc w:val="left"/>
      <w:pPr>
        <w:ind w:left="4320" w:hanging="360"/>
      </w:pPr>
      <w:rPr>
        <w:rFonts w:ascii="Wingdings" w:hAnsi="Wingdings" w:hint="default"/>
      </w:rPr>
    </w:lvl>
    <w:lvl w:ilvl="6" w:tplc="5656B3C6">
      <w:start w:val="1"/>
      <w:numFmt w:val="bullet"/>
      <w:lvlText w:val=""/>
      <w:lvlJc w:val="left"/>
      <w:pPr>
        <w:ind w:left="5040" w:hanging="360"/>
      </w:pPr>
      <w:rPr>
        <w:rFonts w:ascii="Symbol" w:hAnsi="Symbol" w:hint="default"/>
      </w:rPr>
    </w:lvl>
    <w:lvl w:ilvl="7" w:tplc="2CC25E90">
      <w:start w:val="1"/>
      <w:numFmt w:val="bullet"/>
      <w:lvlText w:val="o"/>
      <w:lvlJc w:val="left"/>
      <w:pPr>
        <w:ind w:left="5760" w:hanging="360"/>
      </w:pPr>
      <w:rPr>
        <w:rFonts w:ascii="Courier New" w:hAnsi="Courier New" w:hint="default"/>
      </w:rPr>
    </w:lvl>
    <w:lvl w:ilvl="8" w:tplc="16C4AD5C">
      <w:start w:val="1"/>
      <w:numFmt w:val="bullet"/>
      <w:lvlText w:val=""/>
      <w:lvlJc w:val="left"/>
      <w:pPr>
        <w:ind w:left="6480" w:hanging="360"/>
      </w:pPr>
      <w:rPr>
        <w:rFonts w:ascii="Wingdings" w:hAnsi="Wingdings" w:hint="default"/>
      </w:rPr>
    </w:lvl>
  </w:abstractNum>
  <w:abstractNum w:abstractNumId="8" w15:restartNumberingAfterBreak="0">
    <w:nsid w:val="29763F68"/>
    <w:multiLevelType w:val="hybridMultilevel"/>
    <w:tmpl w:val="75305736"/>
    <w:lvl w:ilvl="0" w:tplc="040C000F">
      <w:start w:val="1"/>
      <w:numFmt w:val="decimal"/>
      <w:pStyle w:val="Liste2"/>
      <w:lvlText w:val="%1."/>
      <w:lvlJc w:val="left"/>
      <w:pPr>
        <w:ind w:left="4689" w:hanging="360"/>
      </w:pPr>
    </w:lvl>
    <w:lvl w:ilvl="1" w:tplc="040C0019" w:tentative="1">
      <w:start w:val="1"/>
      <w:numFmt w:val="lowerLetter"/>
      <w:lvlText w:val="%2."/>
      <w:lvlJc w:val="left"/>
      <w:pPr>
        <w:ind w:left="5409" w:hanging="360"/>
      </w:pPr>
    </w:lvl>
    <w:lvl w:ilvl="2" w:tplc="040C001B" w:tentative="1">
      <w:start w:val="1"/>
      <w:numFmt w:val="lowerRoman"/>
      <w:lvlText w:val="%3."/>
      <w:lvlJc w:val="right"/>
      <w:pPr>
        <w:ind w:left="6129" w:hanging="180"/>
      </w:pPr>
    </w:lvl>
    <w:lvl w:ilvl="3" w:tplc="040C000F" w:tentative="1">
      <w:start w:val="1"/>
      <w:numFmt w:val="decimal"/>
      <w:lvlText w:val="%4."/>
      <w:lvlJc w:val="left"/>
      <w:pPr>
        <w:ind w:left="6849" w:hanging="360"/>
      </w:pPr>
    </w:lvl>
    <w:lvl w:ilvl="4" w:tplc="040C0019" w:tentative="1">
      <w:start w:val="1"/>
      <w:numFmt w:val="lowerLetter"/>
      <w:lvlText w:val="%5."/>
      <w:lvlJc w:val="left"/>
      <w:pPr>
        <w:ind w:left="7569" w:hanging="360"/>
      </w:pPr>
    </w:lvl>
    <w:lvl w:ilvl="5" w:tplc="040C001B" w:tentative="1">
      <w:start w:val="1"/>
      <w:numFmt w:val="lowerRoman"/>
      <w:lvlText w:val="%6."/>
      <w:lvlJc w:val="right"/>
      <w:pPr>
        <w:ind w:left="8289" w:hanging="180"/>
      </w:pPr>
    </w:lvl>
    <w:lvl w:ilvl="6" w:tplc="040C000F" w:tentative="1">
      <w:start w:val="1"/>
      <w:numFmt w:val="decimal"/>
      <w:lvlText w:val="%7."/>
      <w:lvlJc w:val="left"/>
      <w:pPr>
        <w:ind w:left="9009" w:hanging="360"/>
      </w:pPr>
    </w:lvl>
    <w:lvl w:ilvl="7" w:tplc="040C0019" w:tentative="1">
      <w:start w:val="1"/>
      <w:numFmt w:val="lowerLetter"/>
      <w:lvlText w:val="%8."/>
      <w:lvlJc w:val="left"/>
      <w:pPr>
        <w:ind w:left="9729" w:hanging="360"/>
      </w:pPr>
    </w:lvl>
    <w:lvl w:ilvl="8" w:tplc="040C001B" w:tentative="1">
      <w:start w:val="1"/>
      <w:numFmt w:val="lowerRoman"/>
      <w:lvlText w:val="%9."/>
      <w:lvlJc w:val="right"/>
      <w:pPr>
        <w:ind w:left="10449" w:hanging="180"/>
      </w:pPr>
    </w:lvl>
  </w:abstractNum>
  <w:abstractNum w:abstractNumId="9" w15:restartNumberingAfterBreak="0">
    <w:nsid w:val="306C62B5"/>
    <w:multiLevelType w:val="hybridMultilevel"/>
    <w:tmpl w:val="6EFACA8C"/>
    <w:lvl w:ilvl="0" w:tplc="71CC1762">
      <w:numFmt w:val="bullet"/>
      <w:lvlText w:val="-"/>
      <w:lvlJc w:val="left"/>
      <w:pPr>
        <w:ind w:left="720" w:hanging="360"/>
      </w:pPr>
      <w:rPr>
        <w:rFonts w:ascii="Verdana" w:eastAsia="Cambria"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11F25BB"/>
    <w:multiLevelType w:val="hybridMultilevel"/>
    <w:tmpl w:val="4CF6DB26"/>
    <w:lvl w:ilvl="0" w:tplc="C420B8FA">
      <w:start w:val="1"/>
      <w:numFmt w:val="decimal"/>
      <w:pStyle w:val="Lgende"/>
      <w:lvlText w:val="Figure %1 :"/>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31FD6CC0"/>
    <w:multiLevelType w:val="hybridMultilevel"/>
    <w:tmpl w:val="FC28258A"/>
    <w:lvl w:ilvl="0" w:tplc="868C3C26">
      <w:start w:val="2"/>
      <w:numFmt w:val="bullet"/>
      <w:lvlText w:val=""/>
      <w:lvlJc w:val="left"/>
      <w:pPr>
        <w:ind w:left="720" w:hanging="360"/>
      </w:pPr>
      <w:rPr>
        <w:rFonts w:ascii="Symbol" w:eastAsia="Calibri" w:hAnsi="Symbo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9A061B0"/>
    <w:multiLevelType w:val="hybridMultilevel"/>
    <w:tmpl w:val="BE8C9CF4"/>
    <w:lvl w:ilvl="0" w:tplc="0ECC0BA8">
      <w:start w:val="1"/>
      <w:numFmt w:val="decimal"/>
      <w:pStyle w:val="Tableau"/>
      <w:lvlText w:val="Tableau %1 :"/>
      <w:lvlJc w:val="left"/>
      <w:pPr>
        <w:ind w:left="1077" w:hanging="360"/>
      </w:pPr>
      <w:rPr>
        <w:rFonts w:hint="default"/>
      </w:r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13" w15:restartNumberingAfterBreak="0">
    <w:nsid w:val="3C1F3372"/>
    <w:multiLevelType w:val="hybridMultilevel"/>
    <w:tmpl w:val="D24647FE"/>
    <w:lvl w:ilvl="0" w:tplc="A8D692A4">
      <w:start w:val="1"/>
      <w:numFmt w:val="decimal"/>
      <w:lvlText w:val="%1)"/>
      <w:lvlJc w:val="left"/>
      <w:pPr>
        <w:ind w:left="1065" w:hanging="705"/>
      </w:pPr>
      <w:rPr>
        <w:rFonts w:hint="default"/>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3DB45D25"/>
    <w:multiLevelType w:val="hybridMultilevel"/>
    <w:tmpl w:val="CDDCF636"/>
    <w:lvl w:ilvl="0" w:tplc="BF546D40">
      <w:numFmt w:val="bullet"/>
      <w:lvlText w:val="-"/>
      <w:lvlJc w:val="left"/>
      <w:pPr>
        <w:ind w:left="720" w:hanging="360"/>
      </w:pPr>
      <w:rPr>
        <w:rFonts w:ascii="Arial" w:eastAsia="Times New Roman" w:hAnsi="Arial" w:cs="Arial" w:hint="default"/>
        <w:b w:val="0"/>
        <w:i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E3D6C57"/>
    <w:multiLevelType w:val="hybridMultilevel"/>
    <w:tmpl w:val="5F5E28E4"/>
    <w:lvl w:ilvl="0" w:tplc="38822B24">
      <w:start w:val="3"/>
      <w:numFmt w:val="bullet"/>
      <w:lvlText w:val="-"/>
      <w:lvlJc w:val="left"/>
      <w:pPr>
        <w:ind w:left="720" w:hanging="360"/>
      </w:pPr>
      <w:rPr>
        <w:rFonts w:ascii="Verdana" w:eastAsia="Cambria"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267253E"/>
    <w:multiLevelType w:val="hybridMultilevel"/>
    <w:tmpl w:val="8942172A"/>
    <w:lvl w:ilvl="0" w:tplc="38822B24">
      <w:start w:val="3"/>
      <w:numFmt w:val="bullet"/>
      <w:lvlText w:val="-"/>
      <w:lvlJc w:val="left"/>
      <w:pPr>
        <w:ind w:left="720" w:hanging="360"/>
      </w:pPr>
      <w:rPr>
        <w:rFonts w:ascii="Verdana" w:eastAsia="Cambria"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9447DA0"/>
    <w:multiLevelType w:val="hybridMultilevel"/>
    <w:tmpl w:val="AC7A3C60"/>
    <w:lvl w:ilvl="0" w:tplc="DBD403D6">
      <w:start w:val="1"/>
      <w:numFmt w:val="bullet"/>
      <w:pStyle w:val="Pucesniveau3"/>
      <w:lvlText w:val="-"/>
      <w:lvlJc w:val="left"/>
      <w:pPr>
        <w:tabs>
          <w:tab w:val="num" w:pos="680"/>
        </w:tabs>
        <w:ind w:left="680" w:hanging="340"/>
      </w:pPr>
      <w:rPr>
        <w:rFonts w:ascii="Tahoma" w:hAnsi="Tahoma" w:cs="Times New Roman" w:hint="default"/>
      </w:rPr>
    </w:lvl>
    <w:lvl w:ilvl="1" w:tplc="040C0003">
      <w:start w:val="1"/>
      <w:numFmt w:val="bullet"/>
      <w:lvlText w:val="o"/>
      <w:lvlJc w:val="left"/>
      <w:pPr>
        <w:tabs>
          <w:tab w:val="num" w:pos="1440"/>
        </w:tabs>
        <w:ind w:left="1440" w:hanging="360"/>
      </w:pPr>
      <w:rPr>
        <w:rFonts w:ascii="Courier New" w:hAnsi="Courier New" w:cs="Symbol"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Symbol"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Symbol"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9C304D8"/>
    <w:multiLevelType w:val="hybridMultilevel"/>
    <w:tmpl w:val="40B6F85E"/>
    <w:lvl w:ilvl="0" w:tplc="F93AC29A">
      <w:start w:val="1"/>
      <w:numFmt w:val="decimal"/>
      <w:lvlText w:val="%1."/>
      <w:lvlJc w:val="left"/>
      <w:pPr>
        <w:ind w:left="2847" w:hanging="720"/>
      </w:pPr>
      <w:rPr>
        <w:rFonts w:hint="default"/>
      </w:rPr>
    </w:lvl>
    <w:lvl w:ilvl="1" w:tplc="040C0019" w:tentative="1">
      <w:start w:val="1"/>
      <w:numFmt w:val="lowerLetter"/>
      <w:lvlText w:val="%2."/>
      <w:lvlJc w:val="left"/>
      <w:pPr>
        <w:ind w:left="3207" w:hanging="360"/>
      </w:pPr>
    </w:lvl>
    <w:lvl w:ilvl="2" w:tplc="040C001B" w:tentative="1">
      <w:start w:val="1"/>
      <w:numFmt w:val="lowerRoman"/>
      <w:lvlText w:val="%3."/>
      <w:lvlJc w:val="right"/>
      <w:pPr>
        <w:ind w:left="3927" w:hanging="180"/>
      </w:pPr>
    </w:lvl>
    <w:lvl w:ilvl="3" w:tplc="040C000F" w:tentative="1">
      <w:start w:val="1"/>
      <w:numFmt w:val="decimal"/>
      <w:lvlText w:val="%4."/>
      <w:lvlJc w:val="left"/>
      <w:pPr>
        <w:ind w:left="4647" w:hanging="360"/>
      </w:pPr>
    </w:lvl>
    <w:lvl w:ilvl="4" w:tplc="040C0019" w:tentative="1">
      <w:start w:val="1"/>
      <w:numFmt w:val="lowerLetter"/>
      <w:lvlText w:val="%5."/>
      <w:lvlJc w:val="left"/>
      <w:pPr>
        <w:ind w:left="5367" w:hanging="360"/>
      </w:pPr>
    </w:lvl>
    <w:lvl w:ilvl="5" w:tplc="040C001B" w:tentative="1">
      <w:start w:val="1"/>
      <w:numFmt w:val="lowerRoman"/>
      <w:lvlText w:val="%6."/>
      <w:lvlJc w:val="right"/>
      <w:pPr>
        <w:ind w:left="6087" w:hanging="180"/>
      </w:pPr>
    </w:lvl>
    <w:lvl w:ilvl="6" w:tplc="040C000F" w:tentative="1">
      <w:start w:val="1"/>
      <w:numFmt w:val="decimal"/>
      <w:lvlText w:val="%7."/>
      <w:lvlJc w:val="left"/>
      <w:pPr>
        <w:ind w:left="6807" w:hanging="360"/>
      </w:pPr>
    </w:lvl>
    <w:lvl w:ilvl="7" w:tplc="040C0019" w:tentative="1">
      <w:start w:val="1"/>
      <w:numFmt w:val="lowerLetter"/>
      <w:lvlText w:val="%8."/>
      <w:lvlJc w:val="left"/>
      <w:pPr>
        <w:ind w:left="7527" w:hanging="360"/>
      </w:pPr>
    </w:lvl>
    <w:lvl w:ilvl="8" w:tplc="040C001B" w:tentative="1">
      <w:start w:val="1"/>
      <w:numFmt w:val="lowerRoman"/>
      <w:lvlText w:val="%9."/>
      <w:lvlJc w:val="right"/>
      <w:pPr>
        <w:ind w:left="8247" w:hanging="180"/>
      </w:pPr>
    </w:lvl>
  </w:abstractNum>
  <w:abstractNum w:abstractNumId="19" w15:restartNumberingAfterBreak="0">
    <w:nsid w:val="4D6A2621"/>
    <w:multiLevelType w:val="multilevel"/>
    <w:tmpl w:val="F7C4D3CE"/>
    <w:styleLink w:val="ListeBIOTOPE3111"/>
    <w:lvl w:ilvl="0">
      <w:numFmt w:val="bullet"/>
      <w:lvlText w:val="-"/>
      <w:lvlJc w:val="left"/>
      <w:pPr>
        <w:ind w:left="720" w:hanging="360"/>
      </w:pPr>
      <w:rPr>
        <w:rFonts w:ascii="Calibri" w:eastAsia="Times New Roman" w:hAnsi="Calibri" w:cs="Liberation Serif"/>
        <w:lang w:val="fr-FR"/>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15:restartNumberingAfterBreak="0">
    <w:nsid w:val="4F604BDE"/>
    <w:multiLevelType w:val="hybridMultilevel"/>
    <w:tmpl w:val="FFFFFFFF"/>
    <w:lvl w:ilvl="0" w:tplc="7F0214DA">
      <w:start w:val="1"/>
      <w:numFmt w:val="bullet"/>
      <w:lvlText w:val="-"/>
      <w:lvlJc w:val="left"/>
      <w:pPr>
        <w:ind w:left="720" w:hanging="360"/>
      </w:pPr>
      <w:rPr>
        <w:rFonts w:ascii="Calibri" w:hAnsi="Calibri" w:hint="default"/>
      </w:rPr>
    </w:lvl>
    <w:lvl w:ilvl="1" w:tplc="3EBC423E">
      <w:start w:val="1"/>
      <w:numFmt w:val="bullet"/>
      <w:lvlText w:val="o"/>
      <w:lvlJc w:val="left"/>
      <w:pPr>
        <w:ind w:left="1440" w:hanging="360"/>
      </w:pPr>
      <w:rPr>
        <w:rFonts w:ascii="Courier New" w:hAnsi="Courier New" w:hint="default"/>
      </w:rPr>
    </w:lvl>
    <w:lvl w:ilvl="2" w:tplc="AAA40564">
      <w:start w:val="1"/>
      <w:numFmt w:val="bullet"/>
      <w:lvlText w:val=""/>
      <w:lvlJc w:val="left"/>
      <w:pPr>
        <w:ind w:left="2160" w:hanging="360"/>
      </w:pPr>
      <w:rPr>
        <w:rFonts w:ascii="Wingdings" w:hAnsi="Wingdings" w:hint="default"/>
      </w:rPr>
    </w:lvl>
    <w:lvl w:ilvl="3" w:tplc="2C4AA22C">
      <w:start w:val="1"/>
      <w:numFmt w:val="bullet"/>
      <w:lvlText w:val=""/>
      <w:lvlJc w:val="left"/>
      <w:pPr>
        <w:ind w:left="2880" w:hanging="360"/>
      </w:pPr>
      <w:rPr>
        <w:rFonts w:ascii="Symbol" w:hAnsi="Symbol" w:hint="default"/>
      </w:rPr>
    </w:lvl>
    <w:lvl w:ilvl="4" w:tplc="F6CA4A3A">
      <w:start w:val="1"/>
      <w:numFmt w:val="bullet"/>
      <w:lvlText w:val="o"/>
      <w:lvlJc w:val="left"/>
      <w:pPr>
        <w:ind w:left="3600" w:hanging="360"/>
      </w:pPr>
      <w:rPr>
        <w:rFonts w:ascii="Courier New" w:hAnsi="Courier New" w:hint="default"/>
      </w:rPr>
    </w:lvl>
    <w:lvl w:ilvl="5" w:tplc="2162EF5C">
      <w:start w:val="1"/>
      <w:numFmt w:val="bullet"/>
      <w:lvlText w:val=""/>
      <w:lvlJc w:val="left"/>
      <w:pPr>
        <w:ind w:left="4320" w:hanging="360"/>
      </w:pPr>
      <w:rPr>
        <w:rFonts w:ascii="Wingdings" w:hAnsi="Wingdings" w:hint="default"/>
      </w:rPr>
    </w:lvl>
    <w:lvl w:ilvl="6" w:tplc="4E6AAEEC">
      <w:start w:val="1"/>
      <w:numFmt w:val="bullet"/>
      <w:lvlText w:val=""/>
      <w:lvlJc w:val="left"/>
      <w:pPr>
        <w:ind w:left="5040" w:hanging="360"/>
      </w:pPr>
      <w:rPr>
        <w:rFonts w:ascii="Symbol" w:hAnsi="Symbol" w:hint="default"/>
      </w:rPr>
    </w:lvl>
    <w:lvl w:ilvl="7" w:tplc="433E369E">
      <w:start w:val="1"/>
      <w:numFmt w:val="bullet"/>
      <w:lvlText w:val="o"/>
      <w:lvlJc w:val="left"/>
      <w:pPr>
        <w:ind w:left="5760" w:hanging="360"/>
      </w:pPr>
      <w:rPr>
        <w:rFonts w:ascii="Courier New" w:hAnsi="Courier New" w:hint="default"/>
      </w:rPr>
    </w:lvl>
    <w:lvl w:ilvl="8" w:tplc="C54A3ADE">
      <w:start w:val="1"/>
      <w:numFmt w:val="bullet"/>
      <w:lvlText w:val=""/>
      <w:lvlJc w:val="left"/>
      <w:pPr>
        <w:ind w:left="6480" w:hanging="360"/>
      </w:pPr>
      <w:rPr>
        <w:rFonts w:ascii="Wingdings" w:hAnsi="Wingdings" w:hint="default"/>
      </w:rPr>
    </w:lvl>
  </w:abstractNum>
  <w:abstractNum w:abstractNumId="21" w15:restartNumberingAfterBreak="0">
    <w:nsid w:val="51BE3C14"/>
    <w:multiLevelType w:val="hybridMultilevel"/>
    <w:tmpl w:val="82BC05CA"/>
    <w:lvl w:ilvl="0" w:tplc="8702E130">
      <w:numFmt w:val="bullet"/>
      <w:lvlText w:val=""/>
      <w:lvlJc w:val="left"/>
      <w:pPr>
        <w:ind w:left="720" w:hanging="360"/>
      </w:pPr>
      <w:rPr>
        <w:rFonts w:ascii="Symbol" w:eastAsia="Times New Roman"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56717335"/>
    <w:multiLevelType w:val="hybridMultilevel"/>
    <w:tmpl w:val="5810ED18"/>
    <w:lvl w:ilvl="0" w:tplc="E4F87D5A">
      <w:numFmt w:val="bullet"/>
      <w:lvlText w:val="-"/>
      <w:lvlJc w:val="left"/>
      <w:pPr>
        <w:ind w:left="720" w:hanging="360"/>
      </w:pPr>
      <w:rPr>
        <w:rFonts w:ascii="Verdana" w:eastAsia="Times New Roman" w:hAnsi="Verdana"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6CA5367"/>
    <w:multiLevelType w:val="hybridMultilevel"/>
    <w:tmpl w:val="8E48C38C"/>
    <w:lvl w:ilvl="0" w:tplc="522A794A">
      <w:start w:val="1"/>
      <w:numFmt w:val="bullet"/>
      <w:pStyle w:val="Puce20"/>
      <w:lvlText w:val=""/>
      <w:lvlJc w:val="left"/>
      <w:pPr>
        <w:ind w:left="796"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A7157CF"/>
    <w:multiLevelType w:val="hybridMultilevel"/>
    <w:tmpl w:val="C616D6B6"/>
    <w:lvl w:ilvl="0" w:tplc="BF361BB8">
      <w:start w:val="3"/>
      <w:numFmt w:val="bullet"/>
      <w:lvlText w:val="-"/>
      <w:lvlJc w:val="left"/>
      <w:pPr>
        <w:ind w:left="720" w:hanging="360"/>
      </w:pPr>
      <w:rPr>
        <w:rFonts w:ascii="Verdana" w:eastAsia="Cambria" w:hAnsi="Verdana" w:cs="Times New Roman"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BE24686"/>
    <w:multiLevelType w:val="hybridMultilevel"/>
    <w:tmpl w:val="8EACFCE0"/>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6" w15:restartNumberingAfterBreak="0">
    <w:nsid w:val="5D486ECF"/>
    <w:multiLevelType w:val="multilevel"/>
    <w:tmpl w:val="843EC69A"/>
    <w:lvl w:ilvl="0">
      <w:start w:val="1"/>
      <w:numFmt w:val="decimal"/>
      <w:pStyle w:val="Paragraphedeliste1"/>
      <w:lvlText w:val="%1."/>
      <w:lvlJc w:val="left"/>
      <w:pPr>
        <w:ind w:left="360" w:hanging="360"/>
      </w:pPr>
    </w:lvl>
    <w:lvl w:ilvl="1">
      <w:start w:val="1"/>
      <w:numFmt w:val="decimal"/>
      <w:pStyle w:val="Listeniveau2"/>
      <w:lvlText w:val="%1.%2."/>
      <w:lvlJc w:val="left"/>
      <w:pPr>
        <w:ind w:left="1709"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EA47DCC"/>
    <w:multiLevelType w:val="hybridMultilevel"/>
    <w:tmpl w:val="C3424D58"/>
    <w:lvl w:ilvl="0" w:tplc="040C0003">
      <w:start w:val="1"/>
      <w:numFmt w:val="bullet"/>
      <w:lvlText w:val="o"/>
      <w:lvlJc w:val="left"/>
      <w:pPr>
        <w:ind w:left="1069" w:hanging="360"/>
      </w:pPr>
      <w:rPr>
        <w:rFonts w:ascii="Courier New" w:hAnsi="Courier New" w:cs="Courier New"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28" w15:restartNumberingAfterBreak="0">
    <w:nsid w:val="5F5B6973"/>
    <w:multiLevelType w:val="hybridMultilevel"/>
    <w:tmpl w:val="799AA588"/>
    <w:lvl w:ilvl="0" w:tplc="F7EA6202">
      <w:start w:val="1"/>
      <w:numFmt w:val="bullet"/>
      <w:lvlText w:val="•"/>
      <w:lvlJc w:val="left"/>
      <w:pPr>
        <w:tabs>
          <w:tab w:val="num" w:pos="720"/>
        </w:tabs>
        <w:ind w:left="720" w:hanging="360"/>
      </w:pPr>
      <w:rPr>
        <w:rFonts w:ascii="Arial" w:hAnsi="Arial" w:hint="default"/>
      </w:rPr>
    </w:lvl>
    <w:lvl w:ilvl="1" w:tplc="7414842A">
      <w:numFmt w:val="bullet"/>
      <w:lvlText w:val="o"/>
      <w:lvlJc w:val="left"/>
      <w:pPr>
        <w:tabs>
          <w:tab w:val="num" w:pos="1440"/>
        </w:tabs>
        <w:ind w:left="1440" w:hanging="360"/>
      </w:pPr>
      <w:rPr>
        <w:rFonts w:ascii="Courier New" w:hAnsi="Courier New" w:hint="default"/>
      </w:rPr>
    </w:lvl>
    <w:lvl w:ilvl="2" w:tplc="ADB2060A" w:tentative="1">
      <w:start w:val="1"/>
      <w:numFmt w:val="bullet"/>
      <w:lvlText w:val="•"/>
      <w:lvlJc w:val="left"/>
      <w:pPr>
        <w:tabs>
          <w:tab w:val="num" w:pos="2160"/>
        </w:tabs>
        <w:ind w:left="2160" w:hanging="360"/>
      </w:pPr>
      <w:rPr>
        <w:rFonts w:ascii="Arial" w:hAnsi="Arial" w:hint="default"/>
      </w:rPr>
    </w:lvl>
    <w:lvl w:ilvl="3" w:tplc="0D24A256" w:tentative="1">
      <w:start w:val="1"/>
      <w:numFmt w:val="bullet"/>
      <w:lvlText w:val="•"/>
      <w:lvlJc w:val="left"/>
      <w:pPr>
        <w:tabs>
          <w:tab w:val="num" w:pos="2880"/>
        </w:tabs>
        <w:ind w:left="2880" w:hanging="360"/>
      </w:pPr>
      <w:rPr>
        <w:rFonts w:ascii="Arial" w:hAnsi="Arial" w:hint="default"/>
      </w:rPr>
    </w:lvl>
    <w:lvl w:ilvl="4" w:tplc="6C824CD4" w:tentative="1">
      <w:start w:val="1"/>
      <w:numFmt w:val="bullet"/>
      <w:lvlText w:val="•"/>
      <w:lvlJc w:val="left"/>
      <w:pPr>
        <w:tabs>
          <w:tab w:val="num" w:pos="3600"/>
        </w:tabs>
        <w:ind w:left="3600" w:hanging="360"/>
      </w:pPr>
      <w:rPr>
        <w:rFonts w:ascii="Arial" w:hAnsi="Arial" w:hint="default"/>
      </w:rPr>
    </w:lvl>
    <w:lvl w:ilvl="5" w:tplc="BEE63252" w:tentative="1">
      <w:start w:val="1"/>
      <w:numFmt w:val="bullet"/>
      <w:lvlText w:val="•"/>
      <w:lvlJc w:val="left"/>
      <w:pPr>
        <w:tabs>
          <w:tab w:val="num" w:pos="4320"/>
        </w:tabs>
        <w:ind w:left="4320" w:hanging="360"/>
      </w:pPr>
      <w:rPr>
        <w:rFonts w:ascii="Arial" w:hAnsi="Arial" w:hint="default"/>
      </w:rPr>
    </w:lvl>
    <w:lvl w:ilvl="6" w:tplc="FFD40708" w:tentative="1">
      <w:start w:val="1"/>
      <w:numFmt w:val="bullet"/>
      <w:lvlText w:val="•"/>
      <w:lvlJc w:val="left"/>
      <w:pPr>
        <w:tabs>
          <w:tab w:val="num" w:pos="5040"/>
        </w:tabs>
        <w:ind w:left="5040" w:hanging="360"/>
      </w:pPr>
      <w:rPr>
        <w:rFonts w:ascii="Arial" w:hAnsi="Arial" w:hint="default"/>
      </w:rPr>
    </w:lvl>
    <w:lvl w:ilvl="7" w:tplc="01C2EB96" w:tentative="1">
      <w:start w:val="1"/>
      <w:numFmt w:val="bullet"/>
      <w:lvlText w:val="•"/>
      <w:lvlJc w:val="left"/>
      <w:pPr>
        <w:tabs>
          <w:tab w:val="num" w:pos="5760"/>
        </w:tabs>
        <w:ind w:left="5760" w:hanging="360"/>
      </w:pPr>
      <w:rPr>
        <w:rFonts w:ascii="Arial" w:hAnsi="Arial" w:hint="default"/>
      </w:rPr>
    </w:lvl>
    <w:lvl w:ilvl="8" w:tplc="989E691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0B546C1"/>
    <w:multiLevelType w:val="hybridMultilevel"/>
    <w:tmpl w:val="0EDA358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3C3082E"/>
    <w:multiLevelType w:val="hybridMultilevel"/>
    <w:tmpl w:val="657E166E"/>
    <w:lvl w:ilvl="0" w:tplc="C82CD534">
      <w:numFmt w:val="bullet"/>
      <w:pStyle w:val="AvisListe"/>
      <w:lvlText w:val="-"/>
      <w:lvlJc w:val="left"/>
      <w:pPr>
        <w:ind w:left="720" w:hanging="360"/>
      </w:pPr>
      <w:rPr>
        <w:rFonts w:ascii="Cambria" w:eastAsia="Times New Roman" w:hAnsi="Cambria"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1" w15:restartNumberingAfterBreak="0">
    <w:nsid w:val="664B1B45"/>
    <w:multiLevelType w:val="hybridMultilevel"/>
    <w:tmpl w:val="6E96144A"/>
    <w:lvl w:ilvl="0" w:tplc="C87E22C0">
      <w:start w:val="1"/>
      <w:numFmt w:val="bullet"/>
      <w:pStyle w:val="Puce1"/>
      <w:lvlText w:val=""/>
      <w:lvlJc w:val="left"/>
      <w:pPr>
        <w:ind w:left="720" w:hanging="360"/>
      </w:pPr>
      <w:rPr>
        <w:rFonts w:ascii="Webdings" w:hAnsi="Webdings" w:hint="default"/>
        <w:color w:val="931638"/>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CFC3BBD"/>
    <w:multiLevelType w:val="hybridMultilevel"/>
    <w:tmpl w:val="BF8CD49E"/>
    <w:lvl w:ilvl="0" w:tplc="5226D860">
      <w:start w:val="1"/>
      <w:numFmt w:val="bullet"/>
      <w:pStyle w:val="Puces18"/>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E5040E8"/>
    <w:multiLevelType w:val="hybridMultilevel"/>
    <w:tmpl w:val="700E376E"/>
    <w:lvl w:ilvl="0" w:tplc="B3D8DD60">
      <w:numFmt w:val="bullet"/>
      <w:lvlText w:val="-"/>
      <w:lvlJc w:val="left"/>
      <w:pPr>
        <w:ind w:left="720" w:hanging="360"/>
      </w:pPr>
      <w:rPr>
        <w:rFonts w:ascii="Verdana" w:eastAsia="Times New Roman" w:hAnsi="Verdana"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 w15:restartNumberingAfterBreak="0">
    <w:nsid w:val="73BC34EB"/>
    <w:multiLevelType w:val="hybridMultilevel"/>
    <w:tmpl w:val="918C426E"/>
    <w:lvl w:ilvl="0" w:tplc="AC5852F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60E5496"/>
    <w:multiLevelType w:val="hybridMultilevel"/>
    <w:tmpl w:val="163EA34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98709E3"/>
    <w:multiLevelType w:val="hybridMultilevel"/>
    <w:tmpl w:val="070A4D50"/>
    <w:lvl w:ilvl="0" w:tplc="040C0001">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BDF6928"/>
    <w:multiLevelType w:val="hybridMultilevel"/>
    <w:tmpl w:val="387A1798"/>
    <w:lvl w:ilvl="0" w:tplc="83A612CA">
      <w:numFmt w:val="bullet"/>
      <w:lvlText w:val=""/>
      <w:lvlJc w:val="left"/>
      <w:pPr>
        <w:ind w:left="720" w:hanging="360"/>
      </w:pPr>
      <w:rPr>
        <w:rFonts w:ascii="Symbol" w:eastAsia="MS Mincho"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8" w15:restartNumberingAfterBreak="0">
    <w:nsid w:val="7DBC7326"/>
    <w:multiLevelType w:val="hybridMultilevel"/>
    <w:tmpl w:val="2E0E4D58"/>
    <w:lvl w:ilvl="0" w:tplc="2876C01A">
      <w:start w:val="1"/>
      <w:numFmt w:val="decimal"/>
      <w:lvlText w:val="%1."/>
      <w:lvlJc w:val="left"/>
      <w:pPr>
        <w:ind w:left="720" w:hanging="360"/>
      </w:pPr>
      <w:rPr>
        <w:rFonts w:eastAsia="MS Mincho" w:cs="Arial" w:hint="default"/>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8"/>
  </w:num>
  <w:num w:numId="2">
    <w:abstractNumId w:val="31"/>
  </w:num>
  <w:num w:numId="3">
    <w:abstractNumId w:val="23"/>
  </w:num>
  <w:num w:numId="4">
    <w:abstractNumId w:val="15"/>
  </w:num>
  <w:num w:numId="5">
    <w:abstractNumId w:val="10"/>
  </w:num>
  <w:num w:numId="6">
    <w:abstractNumId w:val="12"/>
  </w:num>
  <w:num w:numId="7">
    <w:abstractNumId w:val="11"/>
  </w:num>
  <w:num w:numId="8">
    <w:abstractNumId w:val="35"/>
  </w:num>
  <w:num w:numId="9">
    <w:abstractNumId w:val="9"/>
  </w:num>
  <w:num w:numId="10">
    <w:abstractNumId w:val="5"/>
  </w:num>
  <w:num w:numId="11">
    <w:abstractNumId w:val="32"/>
  </w:num>
  <w:num w:numId="12">
    <w:abstractNumId w:val="37"/>
  </w:num>
  <w:num w:numId="13">
    <w:abstractNumId w:val="0"/>
  </w:num>
  <w:num w:numId="14">
    <w:abstractNumId w:val="21"/>
  </w:num>
  <w:num w:numId="15">
    <w:abstractNumId w:val="33"/>
  </w:num>
  <w:num w:numId="16">
    <w:abstractNumId w:val="22"/>
  </w:num>
  <w:num w:numId="17">
    <w:abstractNumId w:val="26"/>
  </w:num>
  <w:num w:numId="18">
    <w:abstractNumId w:val="36"/>
  </w:num>
  <w:num w:numId="19">
    <w:abstractNumId w:val="29"/>
  </w:num>
  <w:num w:numId="20">
    <w:abstractNumId w:val="25"/>
  </w:num>
  <w:num w:numId="21">
    <w:abstractNumId w:val="2"/>
  </w:num>
  <w:num w:numId="22">
    <w:abstractNumId w:val="38"/>
  </w:num>
  <w:num w:numId="23">
    <w:abstractNumId w:val="3"/>
  </w:num>
  <w:num w:numId="24">
    <w:abstractNumId w:val="28"/>
  </w:num>
  <w:num w:numId="25">
    <w:abstractNumId w:val="34"/>
  </w:num>
  <w:num w:numId="26">
    <w:abstractNumId w:val="4"/>
  </w:num>
  <w:num w:numId="27">
    <w:abstractNumId w:val="27"/>
  </w:num>
  <w:num w:numId="28">
    <w:abstractNumId w:val="13"/>
  </w:num>
  <w:num w:numId="29">
    <w:abstractNumId w:val="17"/>
  </w:num>
  <w:num w:numId="30">
    <w:abstractNumId w:val="19"/>
  </w:num>
  <w:num w:numId="31">
    <w:abstractNumId w:val="18"/>
  </w:num>
  <w:num w:numId="32">
    <w:abstractNumId w:val="6"/>
  </w:num>
  <w:num w:numId="33">
    <w:abstractNumId w:val="6"/>
  </w:num>
  <w:num w:numId="34">
    <w:abstractNumId w:val="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4"/>
  </w:num>
  <w:num w:numId="36">
    <w:abstractNumId w:val="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num>
  <w:num w:numId="39">
    <w:abstractNumId w:val="14"/>
  </w:num>
  <w:num w:numId="40">
    <w:abstractNumId w:val="1"/>
  </w:num>
  <w:num w:numId="41">
    <w:abstractNumId w:val="20"/>
  </w:num>
  <w:num w:numId="42">
    <w:abstractNumId w:val="7"/>
  </w:num>
  <w:num w:numId="43">
    <w:abstractNumId w:val="30"/>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fr-FR" w:vendorID="64" w:dllVersion="0" w:nlCheck="1" w:checkStyle="0"/>
  <w:activeWritingStyle w:appName="MSWord" w:lang="fr-CA" w:vendorID="64" w:dllVersion="0" w:nlCheck="1" w:checkStyle="0"/>
  <w:activeWritingStyle w:appName="MSWord" w:lang="en-US" w:vendorID="64" w:dllVersion="0" w:nlCheck="1" w:checkStyle="0"/>
  <w:activeWritingStyle w:appName="MSWord" w:lang="fr-BE" w:vendorID="64" w:dllVersion="0" w:nlCheck="1" w:checkStyle="0"/>
  <w:activeWritingStyle w:appName="MSWord" w:lang="fr-FR" w:vendorID="64" w:dllVersion="4096" w:nlCheck="1" w:checkStyle="0"/>
  <w:activeWritingStyle w:appName="MSWord" w:lang="fr-CA" w:vendorID="64" w:dllVersion="409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6" w:nlCheck="1" w:checkStyle="1"/>
  <w:activeWritingStyle w:appName="MSWord" w:lang="fr-CA" w:vendorID="64" w:dllVersion="6" w:nlCheck="1" w:checkStyle="1"/>
  <w:activeWritingStyle w:appName="MSWord" w:lang="en-US" w:vendorID="64" w:dllVersion="6" w:nlCheck="1" w:checkStyle="1"/>
  <w:activeWritingStyle w:appName="MSWord" w:lang="fr-BE"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autoHyphenation/>
  <w:hyphenationZone w:val="425"/>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C07A3EE7-2A3B-4BC5-9280-19816E1AF9A8}"/>
    <w:docVar w:name="dgnword-eventsink" w:val="127297360"/>
  </w:docVars>
  <w:rsids>
    <w:rsidRoot w:val="00DC5CB0"/>
    <w:rsid w:val="00000006"/>
    <w:rsid w:val="00001B20"/>
    <w:rsid w:val="00002050"/>
    <w:rsid w:val="00002875"/>
    <w:rsid w:val="0000300E"/>
    <w:rsid w:val="0000339D"/>
    <w:rsid w:val="00005356"/>
    <w:rsid w:val="000057C4"/>
    <w:rsid w:val="000059FB"/>
    <w:rsid w:val="00005CE8"/>
    <w:rsid w:val="00006153"/>
    <w:rsid w:val="00006909"/>
    <w:rsid w:val="00006C51"/>
    <w:rsid w:val="00006DDE"/>
    <w:rsid w:val="00007403"/>
    <w:rsid w:val="0000781E"/>
    <w:rsid w:val="00007D68"/>
    <w:rsid w:val="00007D75"/>
    <w:rsid w:val="00012111"/>
    <w:rsid w:val="000124FE"/>
    <w:rsid w:val="000129F3"/>
    <w:rsid w:val="00013563"/>
    <w:rsid w:val="00013FDC"/>
    <w:rsid w:val="000149D1"/>
    <w:rsid w:val="00015436"/>
    <w:rsid w:val="000160D1"/>
    <w:rsid w:val="000164B2"/>
    <w:rsid w:val="00017704"/>
    <w:rsid w:val="0002199E"/>
    <w:rsid w:val="00021F53"/>
    <w:rsid w:val="000228F0"/>
    <w:rsid w:val="00023BB8"/>
    <w:rsid w:val="00024EDC"/>
    <w:rsid w:val="0002559F"/>
    <w:rsid w:val="00025A7B"/>
    <w:rsid w:val="00025BA3"/>
    <w:rsid w:val="00026C27"/>
    <w:rsid w:val="00030029"/>
    <w:rsid w:val="000303A7"/>
    <w:rsid w:val="00030854"/>
    <w:rsid w:val="000308B5"/>
    <w:rsid w:val="00030B5A"/>
    <w:rsid w:val="00030D82"/>
    <w:rsid w:val="00031E81"/>
    <w:rsid w:val="0003254E"/>
    <w:rsid w:val="00032A02"/>
    <w:rsid w:val="00032D56"/>
    <w:rsid w:val="00033393"/>
    <w:rsid w:val="00034023"/>
    <w:rsid w:val="0003444D"/>
    <w:rsid w:val="000348D6"/>
    <w:rsid w:val="00034D43"/>
    <w:rsid w:val="00034FF3"/>
    <w:rsid w:val="00035D97"/>
    <w:rsid w:val="000362FE"/>
    <w:rsid w:val="00036773"/>
    <w:rsid w:val="000379A4"/>
    <w:rsid w:val="00037E0D"/>
    <w:rsid w:val="00040E4C"/>
    <w:rsid w:val="000411DC"/>
    <w:rsid w:val="00041871"/>
    <w:rsid w:val="00043B70"/>
    <w:rsid w:val="000442D7"/>
    <w:rsid w:val="00045C1F"/>
    <w:rsid w:val="000466C3"/>
    <w:rsid w:val="0004715F"/>
    <w:rsid w:val="000475D1"/>
    <w:rsid w:val="0004765E"/>
    <w:rsid w:val="00050549"/>
    <w:rsid w:val="0005091C"/>
    <w:rsid w:val="00051CDE"/>
    <w:rsid w:val="000526C9"/>
    <w:rsid w:val="000534F3"/>
    <w:rsid w:val="00053943"/>
    <w:rsid w:val="00053EC6"/>
    <w:rsid w:val="000547B1"/>
    <w:rsid w:val="0005536B"/>
    <w:rsid w:val="000557B3"/>
    <w:rsid w:val="000558A9"/>
    <w:rsid w:val="00055FF6"/>
    <w:rsid w:val="00056C2E"/>
    <w:rsid w:val="00056CC1"/>
    <w:rsid w:val="00056F50"/>
    <w:rsid w:val="0005795B"/>
    <w:rsid w:val="00057C58"/>
    <w:rsid w:val="0006008F"/>
    <w:rsid w:val="00060CB2"/>
    <w:rsid w:val="00060F5F"/>
    <w:rsid w:val="0006248D"/>
    <w:rsid w:val="00062701"/>
    <w:rsid w:val="00062A39"/>
    <w:rsid w:val="00062E1C"/>
    <w:rsid w:val="00063343"/>
    <w:rsid w:val="00064701"/>
    <w:rsid w:val="00064995"/>
    <w:rsid w:val="00065947"/>
    <w:rsid w:val="000670E5"/>
    <w:rsid w:val="00070852"/>
    <w:rsid w:val="00070A82"/>
    <w:rsid w:val="00070E7D"/>
    <w:rsid w:val="00070EED"/>
    <w:rsid w:val="00071BED"/>
    <w:rsid w:val="00074935"/>
    <w:rsid w:val="00075362"/>
    <w:rsid w:val="00076AE6"/>
    <w:rsid w:val="00076E0B"/>
    <w:rsid w:val="00077636"/>
    <w:rsid w:val="00077E37"/>
    <w:rsid w:val="0008042E"/>
    <w:rsid w:val="00080A18"/>
    <w:rsid w:val="00082018"/>
    <w:rsid w:val="0008328B"/>
    <w:rsid w:val="0008569A"/>
    <w:rsid w:val="000856D3"/>
    <w:rsid w:val="00086131"/>
    <w:rsid w:val="00086565"/>
    <w:rsid w:val="00090602"/>
    <w:rsid w:val="000908A9"/>
    <w:rsid w:val="00090973"/>
    <w:rsid w:val="00090CEA"/>
    <w:rsid w:val="00091723"/>
    <w:rsid w:val="000920BD"/>
    <w:rsid w:val="0009249F"/>
    <w:rsid w:val="000934D1"/>
    <w:rsid w:val="00093632"/>
    <w:rsid w:val="00093691"/>
    <w:rsid w:val="00094982"/>
    <w:rsid w:val="0009519A"/>
    <w:rsid w:val="00095337"/>
    <w:rsid w:val="000957A6"/>
    <w:rsid w:val="00095D04"/>
    <w:rsid w:val="00095FBD"/>
    <w:rsid w:val="00096AA5"/>
    <w:rsid w:val="00096C79"/>
    <w:rsid w:val="00096FDC"/>
    <w:rsid w:val="000A0DAE"/>
    <w:rsid w:val="000A1D87"/>
    <w:rsid w:val="000A35AD"/>
    <w:rsid w:val="000A3E97"/>
    <w:rsid w:val="000A41F0"/>
    <w:rsid w:val="000A57C1"/>
    <w:rsid w:val="000A6E16"/>
    <w:rsid w:val="000A708B"/>
    <w:rsid w:val="000A7541"/>
    <w:rsid w:val="000B069C"/>
    <w:rsid w:val="000B0C44"/>
    <w:rsid w:val="000B30BD"/>
    <w:rsid w:val="000B345B"/>
    <w:rsid w:val="000B5598"/>
    <w:rsid w:val="000B5C98"/>
    <w:rsid w:val="000C1065"/>
    <w:rsid w:val="000C1081"/>
    <w:rsid w:val="000C142F"/>
    <w:rsid w:val="000C175F"/>
    <w:rsid w:val="000C19FB"/>
    <w:rsid w:val="000C42F0"/>
    <w:rsid w:val="000C43FC"/>
    <w:rsid w:val="000C4AEF"/>
    <w:rsid w:val="000C4CCD"/>
    <w:rsid w:val="000C56C4"/>
    <w:rsid w:val="000C639E"/>
    <w:rsid w:val="000C7B30"/>
    <w:rsid w:val="000C7B69"/>
    <w:rsid w:val="000D06CC"/>
    <w:rsid w:val="000D08C0"/>
    <w:rsid w:val="000D169E"/>
    <w:rsid w:val="000D2703"/>
    <w:rsid w:val="000D3161"/>
    <w:rsid w:val="000D362B"/>
    <w:rsid w:val="000D49AB"/>
    <w:rsid w:val="000D617F"/>
    <w:rsid w:val="000D6753"/>
    <w:rsid w:val="000D6B75"/>
    <w:rsid w:val="000D6C6C"/>
    <w:rsid w:val="000D7282"/>
    <w:rsid w:val="000D7B30"/>
    <w:rsid w:val="000E0E7A"/>
    <w:rsid w:val="000E103E"/>
    <w:rsid w:val="000E1B89"/>
    <w:rsid w:val="000E1F89"/>
    <w:rsid w:val="000E2843"/>
    <w:rsid w:val="000E33EF"/>
    <w:rsid w:val="000E3501"/>
    <w:rsid w:val="000E3709"/>
    <w:rsid w:val="000E47AD"/>
    <w:rsid w:val="000E4E5F"/>
    <w:rsid w:val="000E4E9E"/>
    <w:rsid w:val="000E53E5"/>
    <w:rsid w:val="000E553C"/>
    <w:rsid w:val="000E59F5"/>
    <w:rsid w:val="000E686F"/>
    <w:rsid w:val="000E69E4"/>
    <w:rsid w:val="000E70A0"/>
    <w:rsid w:val="000E7663"/>
    <w:rsid w:val="000E79D9"/>
    <w:rsid w:val="000E7E3F"/>
    <w:rsid w:val="000F13A6"/>
    <w:rsid w:val="000F258E"/>
    <w:rsid w:val="000F2D05"/>
    <w:rsid w:val="000F2F04"/>
    <w:rsid w:val="000F374B"/>
    <w:rsid w:val="000F43A4"/>
    <w:rsid w:val="000F43B4"/>
    <w:rsid w:val="000F470E"/>
    <w:rsid w:val="000F4BF8"/>
    <w:rsid w:val="000F5160"/>
    <w:rsid w:val="000F55B0"/>
    <w:rsid w:val="000F583A"/>
    <w:rsid w:val="000F5B3B"/>
    <w:rsid w:val="000F7BCF"/>
    <w:rsid w:val="000F7C19"/>
    <w:rsid w:val="000F7E6E"/>
    <w:rsid w:val="00100CED"/>
    <w:rsid w:val="001013F2"/>
    <w:rsid w:val="00101E65"/>
    <w:rsid w:val="00102994"/>
    <w:rsid w:val="00102EDC"/>
    <w:rsid w:val="00104286"/>
    <w:rsid w:val="00105036"/>
    <w:rsid w:val="00105E02"/>
    <w:rsid w:val="00106E3F"/>
    <w:rsid w:val="00106F03"/>
    <w:rsid w:val="00112374"/>
    <w:rsid w:val="001127A9"/>
    <w:rsid w:val="00113638"/>
    <w:rsid w:val="00113B2B"/>
    <w:rsid w:val="00114284"/>
    <w:rsid w:val="00114ABB"/>
    <w:rsid w:val="00115985"/>
    <w:rsid w:val="0011627A"/>
    <w:rsid w:val="00116EA8"/>
    <w:rsid w:val="00117180"/>
    <w:rsid w:val="0011723F"/>
    <w:rsid w:val="00117300"/>
    <w:rsid w:val="00117951"/>
    <w:rsid w:val="00117D8C"/>
    <w:rsid w:val="00120B5A"/>
    <w:rsid w:val="00120C64"/>
    <w:rsid w:val="00121894"/>
    <w:rsid w:val="001218FA"/>
    <w:rsid w:val="00121A2D"/>
    <w:rsid w:val="00121C30"/>
    <w:rsid w:val="00122241"/>
    <w:rsid w:val="001224D7"/>
    <w:rsid w:val="001226CE"/>
    <w:rsid w:val="00122D9D"/>
    <w:rsid w:val="001231AD"/>
    <w:rsid w:val="0012359D"/>
    <w:rsid w:val="00123A5D"/>
    <w:rsid w:val="00124BEA"/>
    <w:rsid w:val="00124E98"/>
    <w:rsid w:val="001254F2"/>
    <w:rsid w:val="00126DE7"/>
    <w:rsid w:val="00126F5C"/>
    <w:rsid w:val="001274F9"/>
    <w:rsid w:val="00130F7F"/>
    <w:rsid w:val="001317FD"/>
    <w:rsid w:val="00132ECF"/>
    <w:rsid w:val="00133691"/>
    <w:rsid w:val="00135DBB"/>
    <w:rsid w:val="00136EFA"/>
    <w:rsid w:val="001377D5"/>
    <w:rsid w:val="001403C2"/>
    <w:rsid w:val="00140417"/>
    <w:rsid w:val="00140449"/>
    <w:rsid w:val="001415DC"/>
    <w:rsid w:val="00141BAA"/>
    <w:rsid w:val="00142197"/>
    <w:rsid w:val="00144626"/>
    <w:rsid w:val="001454A9"/>
    <w:rsid w:val="00145B25"/>
    <w:rsid w:val="001465B4"/>
    <w:rsid w:val="001467C0"/>
    <w:rsid w:val="00146E08"/>
    <w:rsid w:val="001504B3"/>
    <w:rsid w:val="00150A72"/>
    <w:rsid w:val="00150DC7"/>
    <w:rsid w:val="0015190A"/>
    <w:rsid w:val="00152078"/>
    <w:rsid w:val="00152316"/>
    <w:rsid w:val="0015269E"/>
    <w:rsid w:val="00154A25"/>
    <w:rsid w:val="00154CE2"/>
    <w:rsid w:val="00154D41"/>
    <w:rsid w:val="00155F9C"/>
    <w:rsid w:val="00156BA6"/>
    <w:rsid w:val="00157329"/>
    <w:rsid w:val="00161136"/>
    <w:rsid w:val="001613C1"/>
    <w:rsid w:val="001618FE"/>
    <w:rsid w:val="00161BBC"/>
    <w:rsid w:val="00162366"/>
    <w:rsid w:val="00162843"/>
    <w:rsid w:val="00163953"/>
    <w:rsid w:val="0016508C"/>
    <w:rsid w:val="0016569C"/>
    <w:rsid w:val="00165C49"/>
    <w:rsid w:val="0016696B"/>
    <w:rsid w:val="00170F0C"/>
    <w:rsid w:val="00171262"/>
    <w:rsid w:val="00171A3D"/>
    <w:rsid w:val="0017283D"/>
    <w:rsid w:val="00173907"/>
    <w:rsid w:val="001749AD"/>
    <w:rsid w:val="00174BF6"/>
    <w:rsid w:val="001757F0"/>
    <w:rsid w:val="00176C1D"/>
    <w:rsid w:val="001770A8"/>
    <w:rsid w:val="00177EB2"/>
    <w:rsid w:val="0018081F"/>
    <w:rsid w:val="0018115B"/>
    <w:rsid w:val="00181D68"/>
    <w:rsid w:val="00182CD2"/>
    <w:rsid w:val="001843B1"/>
    <w:rsid w:val="001846B2"/>
    <w:rsid w:val="00185C9D"/>
    <w:rsid w:val="00185DC4"/>
    <w:rsid w:val="00186706"/>
    <w:rsid w:val="001870DF"/>
    <w:rsid w:val="00187320"/>
    <w:rsid w:val="00187EEF"/>
    <w:rsid w:val="001907E7"/>
    <w:rsid w:val="001910E1"/>
    <w:rsid w:val="00192750"/>
    <w:rsid w:val="00192A76"/>
    <w:rsid w:val="001932F0"/>
    <w:rsid w:val="00193C58"/>
    <w:rsid w:val="00193E3A"/>
    <w:rsid w:val="00194016"/>
    <w:rsid w:val="00194245"/>
    <w:rsid w:val="001945E5"/>
    <w:rsid w:val="00195CD9"/>
    <w:rsid w:val="00196697"/>
    <w:rsid w:val="00196DB0"/>
    <w:rsid w:val="001971EF"/>
    <w:rsid w:val="001A0420"/>
    <w:rsid w:val="001A0A2E"/>
    <w:rsid w:val="001A2E47"/>
    <w:rsid w:val="001A32F5"/>
    <w:rsid w:val="001A3C9C"/>
    <w:rsid w:val="001A492E"/>
    <w:rsid w:val="001A5C53"/>
    <w:rsid w:val="001A707F"/>
    <w:rsid w:val="001A78B3"/>
    <w:rsid w:val="001B0135"/>
    <w:rsid w:val="001B01BA"/>
    <w:rsid w:val="001B1C44"/>
    <w:rsid w:val="001B1EC2"/>
    <w:rsid w:val="001B2494"/>
    <w:rsid w:val="001B258F"/>
    <w:rsid w:val="001B2979"/>
    <w:rsid w:val="001B2BB9"/>
    <w:rsid w:val="001B31C8"/>
    <w:rsid w:val="001B37BD"/>
    <w:rsid w:val="001B37D4"/>
    <w:rsid w:val="001B476D"/>
    <w:rsid w:val="001B4B38"/>
    <w:rsid w:val="001B5437"/>
    <w:rsid w:val="001B6085"/>
    <w:rsid w:val="001B6CAD"/>
    <w:rsid w:val="001B6D95"/>
    <w:rsid w:val="001B7290"/>
    <w:rsid w:val="001B7B76"/>
    <w:rsid w:val="001C00B6"/>
    <w:rsid w:val="001C132F"/>
    <w:rsid w:val="001C143E"/>
    <w:rsid w:val="001C1CA0"/>
    <w:rsid w:val="001C2781"/>
    <w:rsid w:val="001C27B8"/>
    <w:rsid w:val="001C3DBD"/>
    <w:rsid w:val="001C40E0"/>
    <w:rsid w:val="001C4C17"/>
    <w:rsid w:val="001C5851"/>
    <w:rsid w:val="001C6906"/>
    <w:rsid w:val="001D04F7"/>
    <w:rsid w:val="001D10FA"/>
    <w:rsid w:val="001D1BF7"/>
    <w:rsid w:val="001D1F31"/>
    <w:rsid w:val="001D2ACF"/>
    <w:rsid w:val="001D2D1C"/>
    <w:rsid w:val="001D3904"/>
    <w:rsid w:val="001D3DCE"/>
    <w:rsid w:val="001D4865"/>
    <w:rsid w:val="001D5F63"/>
    <w:rsid w:val="001D5FBB"/>
    <w:rsid w:val="001D689A"/>
    <w:rsid w:val="001D6935"/>
    <w:rsid w:val="001D71D4"/>
    <w:rsid w:val="001D7B56"/>
    <w:rsid w:val="001D7ED2"/>
    <w:rsid w:val="001E0A68"/>
    <w:rsid w:val="001E1765"/>
    <w:rsid w:val="001E21F2"/>
    <w:rsid w:val="001E2A08"/>
    <w:rsid w:val="001E31CB"/>
    <w:rsid w:val="001E3451"/>
    <w:rsid w:val="001E381C"/>
    <w:rsid w:val="001E4324"/>
    <w:rsid w:val="001E515F"/>
    <w:rsid w:val="001E5B3B"/>
    <w:rsid w:val="001E5F6B"/>
    <w:rsid w:val="001E6358"/>
    <w:rsid w:val="001F0B1A"/>
    <w:rsid w:val="001F104A"/>
    <w:rsid w:val="001F1821"/>
    <w:rsid w:val="001F1850"/>
    <w:rsid w:val="001F2835"/>
    <w:rsid w:val="001F2A40"/>
    <w:rsid w:val="001F2EB8"/>
    <w:rsid w:val="001F3178"/>
    <w:rsid w:val="001F4F1C"/>
    <w:rsid w:val="001F5A38"/>
    <w:rsid w:val="001F5A7E"/>
    <w:rsid w:val="001F7148"/>
    <w:rsid w:val="001F71A0"/>
    <w:rsid w:val="001F7EAA"/>
    <w:rsid w:val="00200642"/>
    <w:rsid w:val="00201BCD"/>
    <w:rsid w:val="00201E35"/>
    <w:rsid w:val="00201F91"/>
    <w:rsid w:val="0020378A"/>
    <w:rsid w:val="00203A97"/>
    <w:rsid w:val="00203B02"/>
    <w:rsid w:val="002041E0"/>
    <w:rsid w:val="002044F1"/>
    <w:rsid w:val="00204787"/>
    <w:rsid w:val="00204E93"/>
    <w:rsid w:val="00205385"/>
    <w:rsid w:val="00205CE2"/>
    <w:rsid w:val="0020631A"/>
    <w:rsid w:val="0020677F"/>
    <w:rsid w:val="00206A11"/>
    <w:rsid w:val="00206AA9"/>
    <w:rsid w:val="0021057B"/>
    <w:rsid w:val="00210594"/>
    <w:rsid w:val="00211292"/>
    <w:rsid w:val="00211A4A"/>
    <w:rsid w:val="002131EB"/>
    <w:rsid w:val="00213361"/>
    <w:rsid w:val="00213F97"/>
    <w:rsid w:val="002144F1"/>
    <w:rsid w:val="00214BA8"/>
    <w:rsid w:val="00215419"/>
    <w:rsid w:val="0021598D"/>
    <w:rsid w:val="002167C6"/>
    <w:rsid w:val="00217316"/>
    <w:rsid w:val="00217871"/>
    <w:rsid w:val="002178EB"/>
    <w:rsid w:val="002225A8"/>
    <w:rsid w:val="00222B63"/>
    <w:rsid w:val="00222C3E"/>
    <w:rsid w:val="00223F97"/>
    <w:rsid w:val="00224FC7"/>
    <w:rsid w:val="00225AB9"/>
    <w:rsid w:val="00225D2D"/>
    <w:rsid w:val="00225EE8"/>
    <w:rsid w:val="002269CC"/>
    <w:rsid w:val="00227C05"/>
    <w:rsid w:val="0023050D"/>
    <w:rsid w:val="00230D56"/>
    <w:rsid w:val="00231369"/>
    <w:rsid w:val="00231CC1"/>
    <w:rsid w:val="002332DA"/>
    <w:rsid w:val="00233AD0"/>
    <w:rsid w:val="00234516"/>
    <w:rsid w:val="002352A8"/>
    <w:rsid w:val="00235CC8"/>
    <w:rsid w:val="00236090"/>
    <w:rsid w:val="002369F2"/>
    <w:rsid w:val="00236A77"/>
    <w:rsid w:val="00236AF8"/>
    <w:rsid w:val="00236E90"/>
    <w:rsid w:val="00237BCD"/>
    <w:rsid w:val="00240CDD"/>
    <w:rsid w:val="00241080"/>
    <w:rsid w:val="00241F09"/>
    <w:rsid w:val="00242981"/>
    <w:rsid w:val="00242FE7"/>
    <w:rsid w:val="00243452"/>
    <w:rsid w:val="002434C8"/>
    <w:rsid w:val="002439D6"/>
    <w:rsid w:val="00243ED4"/>
    <w:rsid w:val="002443D1"/>
    <w:rsid w:val="0024475C"/>
    <w:rsid w:val="00244AEC"/>
    <w:rsid w:val="0024614E"/>
    <w:rsid w:val="00246BD1"/>
    <w:rsid w:val="00247A41"/>
    <w:rsid w:val="002514E8"/>
    <w:rsid w:val="002520E7"/>
    <w:rsid w:val="002536AA"/>
    <w:rsid w:val="0025398D"/>
    <w:rsid w:val="00255370"/>
    <w:rsid w:val="0025617A"/>
    <w:rsid w:val="00256FA4"/>
    <w:rsid w:val="00260797"/>
    <w:rsid w:val="00260900"/>
    <w:rsid w:val="0026186B"/>
    <w:rsid w:val="00261CBE"/>
    <w:rsid w:val="00262774"/>
    <w:rsid w:val="002627DD"/>
    <w:rsid w:val="002632EB"/>
    <w:rsid w:val="00264D0E"/>
    <w:rsid w:val="00266025"/>
    <w:rsid w:val="00266E8C"/>
    <w:rsid w:val="00267347"/>
    <w:rsid w:val="00270024"/>
    <w:rsid w:val="0027076D"/>
    <w:rsid w:val="00270810"/>
    <w:rsid w:val="00270D47"/>
    <w:rsid w:val="00270E05"/>
    <w:rsid w:val="00272824"/>
    <w:rsid w:val="00272CEA"/>
    <w:rsid w:val="002737DD"/>
    <w:rsid w:val="002739E6"/>
    <w:rsid w:val="00274259"/>
    <w:rsid w:val="00276965"/>
    <w:rsid w:val="002777CE"/>
    <w:rsid w:val="00277E07"/>
    <w:rsid w:val="00277F6D"/>
    <w:rsid w:val="00280069"/>
    <w:rsid w:val="002802BE"/>
    <w:rsid w:val="00281068"/>
    <w:rsid w:val="00281481"/>
    <w:rsid w:val="00281AC6"/>
    <w:rsid w:val="002820DE"/>
    <w:rsid w:val="00282996"/>
    <w:rsid w:val="00282E07"/>
    <w:rsid w:val="00283C6D"/>
    <w:rsid w:val="00283ED0"/>
    <w:rsid w:val="0028488F"/>
    <w:rsid w:val="00284AB1"/>
    <w:rsid w:val="00285A75"/>
    <w:rsid w:val="002873B7"/>
    <w:rsid w:val="00287B0E"/>
    <w:rsid w:val="002904A3"/>
    <w:rsid w:val="00290918"/>
    <w:rsid w:val="0029109F"/>
    <w:rsid w:val="002914A7"/>
    <w:rsid w:val="002918AB"/>
    <w:rsid w:val="002918F2"/>
    <w:rsid w:val="00292210"/>
    <w:rsid w:val="002928CB"/>
    <w:rsid w:val="002938D3"/>
    <w:rsid w:val="00293D48"/>
    <w:rsid w:val="002955DB"/>
    <w:rsid w:val="002957AB"/>
    <w:rsid w:val="00295F55"/>
    <w:rsid w:val="00296CE1"/>
    <w:rsid w:val="00296D85"/>
    <w:rsid w:val="0029745B"/>
    <w:rsid w:val="002A0430"/>
    <w:rsid w:val="002A084C"/>
    <w:rsid w:val="002A09DE"/>
    <w:rsid w:val="002A1E23"/>
    <w:rsid w:val="002A34D1"/>
    <w:rsid w:val="002A3D24"/>
    <w:rsid w:val="002A47A0"/>
    <w:rsid w:val="002A5409"/>
    <w:rsid w:val="002A5423"/>
    <w:rsid w:val="002A7FB3"/>
    <w:rsid w:val="002B18F5"/>
    <w:rsid w:val="002B3193"/>
    <w:rsid w:val="002B3FD7"/>
    <w:rsid w:val="002B58EF"/>
    <w:rsid w:val="002B6634"/>
    <w:rsid w:val="002B6D5B"/>
    <w:rsid w:val="002C09B9"/>
    <w:rsid w:val="002C128F"/>
    <w:rsid w:val="002C1BD8"/>
    <w:rsid w:val="002C295D"/>
    <w:rsid w:val="002C49A6"/>
    <w:rsid w:val="002C4D4E"/>
    <w:rsid w:val="002C52C1"/>
    <w:rsid w:val="002C5391"/>
    <w:rsid w:val="002C64DE"/>
    <w:rsid w:val="002C6619"/>
    <w:rsid w:val="002C6B10"/>
    <w:rsid w:val="002C7E7D"/>
    <w:rsid w:val="002D0676"/>
    <w:rsid w:val="002D074E"/>
    <w:rsid w:val="002D1541"/>
    <w:rsid w:val="002D17C0"/>
    <w:rsid w:val="002D1EEB"/>
    <w:rsid w:val="002D2946"/>
    <w:rsid w:val="002D2DA2"/>
    <w:rsid w:val="002D372E"/>
    <w:rsid w:val="002D3CF6"/>
    <w:rsid w:val="002D4874"/>
    <w:rsid w:val="002D54D1"/>
    <w:rsid w:val="002D6458"/>
    <w:rsid w:val="002E07B7"/>
    <w:rsid w:val="002E0CA8"/>
    <w:rsid w:val="002E13B5"/>
    <w:rsid w:val="002E19BF"/>
    <w:rsid w:val="002E235E"/>
    <w:rsid w:val="002E245F"/>
    <w:rsid w:val="002E2CDF"/>
    <w:rsid w:val="002E318E"/>
    <w:rsid w:val="002E334B"/>
    <w:rsid w:val="002E34D1"/>
    <w:rsid w:val="002E4450"/>
    <w:rsid w:val="002E463F"/>
    <w:rsid w:val="002E5C80"/>
    <w:rsid w:val="002E5F1F"/>
    <w:rsid w:val="002F0B84"/>
    <w:rsid w:val="002F1534"/>
    <w:rsid w:val="002F1B7F"/>
    <w:rsid w:val="002F1D03"/>
    <w:rsid w:val="002F1D71"/>
    <w:rsid w:val="002F21E8"/>
    <w:rsid w:val="002F250B"/>
    <w:rsid w:val="002F3CC1"/>
    <w:rsid w:val="002F4591"/>
    <w:rsid w:val="002F4E60"/>
    <w:rsid w:val="002F5DF0"/>
    <w:rsid w:val="002F6DEB"/>
    <w:rsid w:val="002F7075"/>
    <w:rsid w:val="003009B1"/>
    <w:rsid w:val="00301536"/>
    <w:rsid w:val="003018A7"/>
    <w:rsid w:val="00302148"/>
    <w:rsid w:val="003025FE"/>
    <w:rsid w:val="00302A93"/>
    <w:rsid w:val="00303104"/>
    <w:rsid w:val="00303420"/>
    <w:rsid w:val="00303F47"/>
    <w:rsid w:val="00304C03"/>
    <w:rsid w:val="003056BB"/>
    <w:rsid w:val="00306F9B"/>
    <w:rsid w:val="0030793F"/>
    <w:rsid w:val="00307DD5"/>
    <w:rsid w:val="00307F23"/>
    <w:rsid w:val="003105D7"/>
    <w:rsid w:val="003121A3"/>
    <w:rsid w:val="0031316F"/>
    <w:rsid w:val="00314191"/>
    <w:rsid w:val="00314223"/>
    <w:rsid w:val="00314959"/>
    <w:rsid w:val="00315327"/>
    <w:rsid w:val="00315385"/>
    <w:rsid w:val="003157F2"/>
    <w:rsid w:val="003165A7"/>
    <w:rsid w:val="0031722F"/>
    <w:rsid w:val="00317306"/>
    <w:rsid w:val="0031738B"/>
    <w:rsid w:val="00317742"/>
    <w:rsid w:val="00320BB2"/>
    <w:rsid w:val="00320CBA"/>
    <w:rsid w:val="00320D6E"/>
    <w:rsid w:val="0032179B"/>
    <w:rsid w:val="00322C55"/>
    <w:rsid w:val="00323F4E"/>
    <w:rsid w:val="00323F97"/>
    <w:rsid w:val="00324A0C"/>
    <w:rsid w:val="0032554A"/>
    <w:rsid w:val="00325B6C"/>
    <w:rsid w:val="0032668E"/>
    <w:rsid w:val="00326A35"/>
    <w:rsid w:val="003275D9"/>
    <w:rsid w:val="0033012A"/>
    <w:rsid w:val="00330B58"/>
    <w:rsid w:val="00330F2A"/>
    <w:rsid w:val="00332D0A"/>
    <w:rsid w:val="00333885"/>
    <w:rsid w:val="00335196"/>
    <w:rsid w:val="003352D1"/>
    <w:rsid w:val="0033634D"/>
    <w:rsid w:val="00336391"/>
    <w:rsid w:val="00336DD8"/>
    <w:rsid w:val="003375A7"/>
    <w:rsid w:val="00337D4D"/>
    <w:rsid w:val="0034006A"/>
    <w:rsid w:val="00340569"/>
    <w:rsid w:val="003407B7"/>
    <w:rsid w:val="00340C7D"/>
    <w:rsid w:val="00340CE5"/>
    <w:rsid w:val="00341FDF"/>
    <w:rsid w:val="003424C4"/>
    <w:rsid w:val="00342808"/>
    <w:rsid w:val="003432C4"/>
    <w:rsid w:val="00343738"/>
    <w:rsid w:val="00343AE5"/>
    <w:rsid w:val="00344008"/>
    <w:rsid w:val="00344415"/>
    <w:rsid w:val="003448D0"/>
    <w:rsid w:val="00344F67"/>
    <w:rsid w:val="00345C64"/>
    <w:rsid w:val="003471DD"/>
    <w:rsid w:val="003505F8"/>
    <w:rsid w:val="003507D0"/>
    <w:rsid w:val="00351A0D"/>
    <w:rsid w:val="0035341B"/>
    <w:rsid w:val="003537FF"/>
    <w:rsid w:val="00354180"/>
    <w:rsid w:val="003551E5"/>
    <w:rsid w:val="00355496"/>
    <w:rsid w:val="00357DCE"/>
    <w:rsid w:val="00361934"/>
    <w:rsid w:val="00361A05"/>
    <w:rsid w:val="00362125"/>
    <w:rsid w:val="00362B8F"/>
    <w:rsid w:val="00363323"/>
    <w:rsid w:val="00364239"/>
    <w:rsid w:val="003647C9"/>
    <w:rsid w:val="00364C80"/>
    <w:rsid w:val="00364DFA"/>
    <w:rsid w:val="0036511D"/>
    <w:rsid w:val="0036620B"/>
    <w:rsid w:val="003667A2"/>
    <w:rsid w:val="003667C2"/>
    <w:rsid w:val="003668D3"/>
    <w:rsid w:val="003710DB"/>
    <w:rsid w:val="00371543"/>
    <w:rsid w:val="00371A78"/>
    <w:rsid w:val="00372C98"/>
    <w:rsid w:val="00372D62"/>
    <w:rsid w:val="00374564"/>
    <w:rsid w:val="0037532C"/>
    <w:rsid w:val="00375BC4"/>
    <w:rsid w:val="00376A3C"/>
    <w:rsid w:val="00376DD0"/>
    <w:rsid w:val="00376F7A"/>
    <w:rsid w:val="00377030"/>
    <w:rsid w:val="0037776A"/>
    <w:rsid w:val="00377FAB"/>
    <w:rsid w:val="00380011"/>
    <w:rsid w:val="003808D2"/>
    <w:rsid w:val="003809EB"/>
    <w:rsid w:val="003810B6"/>
    <w:rsid w:val="00381DE0"/>
    <w:rsid w:val="003839E4"/>
    <w:rsid w:val="00384A8C"/>
    <w:rsid w:val="003871BE"/>
    <w:rsid w:val="00387355"/>
    <w:rsid w:val="00390410"/>
    <w:rsid w:val="003905E4"/>
    <w:rsid w:val="00390E8E"/>
    <w:rsid w:val="0039123A"/>
    <w:rsid w:val="00391352"/>
    <w:rsid w:val="003921AD"/>
    <w:rsid w:val="0039284B"/>
    <w:rsid w:val="00393034"/>
    <w:rsid w:val="00394748"/>
    <w:rsid w:val="00394A4B"/>
    <w:rsid w:val="003954F5"/>
    <w:rsid w:val="00395505"/>
    <w:rsid w:val="00396886"/>
    <w:rsid w:val="003975E5"/>
    <w:rsid w:val="003A04F0"/>
    <w:rsid w:val="003A0621"/>
    <w:rsid w:val="003A0BA9"/>
    <w:rsid w:val="003A0E84"/>
    <w:rsid w:val="003A164E"/>
    <w:rsid w:val="003A194A"/>
    <w:rsid w:val="003A1B76"/>
    <w:rsid w:val="003A259B"/>
    <w:rsid w:val="003A2779"/>
    <w:rsid w:val="003A3175"/>
    <w:rsid w:val="003A3393"/>
    <w:rsid w:val="003A3CB4"/>
    <w:rsid w:val="003A3F00"/>
    <w:rsid w:val="003A44EF"/>
    <w:rsid w:val="003A45BB"/>
    <w:rsid w:val="003A55D5"/>
    <w:rsid w:val="003A58EC"/>
    <w:rsid w:val="003A7A1D"/>
    <w:rsid w:val="003A7AFE"/>
    <w:rsid w:val="003B02C6"/>
    <w:rsid w:val="003B0D80"/>
    <w:rsid w:val="003B0F6E"/>
    <w:rsid w:val="003B3F9C"/>
    <w:rsid w:val="003B47F6"/>
    <w:rsid w:val="003B49A0"/>
    <w:rsid w:val="003B5910"/>
    <w:rsid w:val="003B5AAB"/>
    <w:rsid w:val="003B61AF"/>
    <w:rsid w:val="003B61F5"/>
    <w:rsid w:val="003B6D8F"/>
    <w:rsid w:val="003B74B0"/>
    <w:rsid w:val="003C05A0"/>
    <w:rsid w:val="003C1F87"/>
    <w:rsid w:val="003C225F"/>
    <w:rsid w:val="003C2AD0"/>
    <w:rsid w:val="003C2C76"/>
    <w:rsid w:val="003C2E46"/>
    <w:rsid w:val="003C3160"/>
    <w:rsid w:val="003C382F"/>
    <w:rsid w:val="003C3A46"/>
    <w:rsid w:val="003C43C3"/>
    <w:rsid w:val="003C5463"/>
    <w:rsid w:val="003C5AAF"/>
    <w:rsid w:val="003C607C"/>
    <w:rsid w:val="003C6570"/>
    <w:rsid w:val="003C6BA7"/>
    <w:rsid w:val="003C7CF1"/>
    <w:rsid w:val="003D0219"/>
    <w:rsid w:val="003D022B"/>
    <w:rsid w:val="003D10F6"/>
    <w:rsid w:val="003D15DD"/>
    <w:rsid w:val="003D1853"/>
    <w:rsid w:val="003D1A6A"/>
    <w:rsid w:val="003D32C0"/>
    <w:rsid w:val="003D6859"/>
    <w:rsid w:val="003D6D6B"/>
    <w:rsid w:val="003D7AF5"/>
    <w:rsid w:val="003D7DA3"/>
    <w:rsid w:val="003D7F16"/>
    <w:rsid w:val="003E03C8"/>
    <w:rsid w:val="003E2BBC"/>
    <w:rsid w:val="003E3705"/>
    <w:rsid w:val="003E4151"/>
    <w:rsid w:val="003E4A26"/>
    <w:rsid w:val="003E4DA7"/>
    <w:rsid w:val="003E602C"/>
    <w:rsid w:val="003E6779"/>
    <w:rsid w:val="003E6937"/>
    <w:rsid w:val="003E7598"/>
    <w:rsid w:val="003E7E3F"/>
    <w:rsid w:val="003F0051"/>
    <w:rsid w:val="003F07F9"/>
    <w:rsid w:val="003F1303"/>
    <w:rsid w:val="003F1A22"/>
    <w:rsid w:val="003F1E46"/>
    <w:rsid w:val="003F2419"/>
    <w:rsid w:val="003F289F"/>
    <w:rsid w:val="003F29CE"/>
    <w:rsid w:val="003F2AEE"/>
    <w:rsid w:val="003F2C41"/>
    <w:rsid w:val="003F326B"/>
    <w:rsid w:val="003F3E8C"/>
    <w:rsid w:val="003F414D"/>
    <w:rsid w:val="003F4CD7"/>
    <w:rsid w:val="003F58A0"/>
    <w:rsid w:val="003F69A8"/>
    <w:rsid w:val="003F7E22"/>
    <w:rsid w:val="00400C12"/>
    <w:rsid w:val="00400E3D"/>
    <w:rsid w:val="0040116B"/>
    <w:rsid w:val="0040184F"/>
    <w:rsid w:val="00401C39"/>
    <w:rsid w:val="0040200F"/>
    <w:rsid w:val="00402149"/>
    <w:rsid w:val="00402748"/>
    <w:rsid w:val="0040330F"/>
    <w:rsid w:val="00403924"/>
    <w:rsid w:val="00403A5C"/>
    <w:rsid w:val="00405795"/>
    <w:rsid w:val="004070C0"/>
    <w:rsid w:val="004075CD"/>
    <w:rsid w:val="0040790B"/>
    <w:rsid w:val="00407F75"/>
    <w:rsid w:val="00410BCD"/>
    <w:rsid w:val="00411136"/>
    <w:rsid w:val="00411A4D"/>
    <w:rsid w:val="00412397"/>
    <w:rsid w:val="004128F2"/>
    <w:rsid w:val="00412C10"/>
    <w:rsid w:val="00413CF3"/>
    <w:rsid w:val="00415F4B"/>
    <w:rsid w:val="00416837"/>
    <w:rsid w:val="0042045F"/>
    <w:rsid w:val="00420597"/>
    <w:rsid w:val="00420B5F"/>
    <w:rsid w:val="0042111F"/>
    <w:rsid w:val="0042125C"/>
    <w:rsid w:val="0042138A"/>
    <w:rsid w:val="00421972"/>
    <w:rsid w:val="00421A19"/>
    <w:rsid w:val="00421FFB"/>
    <w:rsid w:val="00423253"/>
    <w:rsid w:val="00423F8E"/>
    <w:rsid w:val="00424130"/>
    <w:rsid w:val="004243DF"/>
    <w:rsid w:val="004246BE"/>
    <w:rsid w:val="00424B64"/>
    <w:rsid w:val="00424BB7"/>
    <w:rsid w:val="00424CAB"/>
    <w:rsid w:val="004259BD"/>
    <w:rsid w:val="00425DF5"/>
    <w:rsid w:val="00425EE6"/>
    <w:rsid w:val="0042616A"/>
    <w:rsid w:val="0042715B"/>
    <w:rsid w:val="004274EE"/>
    <w:rsid w:val="00427C56"/>
    <w:rsid w:val="00427C6D"/>
    <w:rsid w:val="00430252"/>
    <w:rsid w:val="00430401"/>
    <w:rsid w:val="00430BE7"/>
    <w:rsid w:val="004323B9"/>
    <w:rsid w:val="0043392D"/>
    <w:rsid w:val="00435F40"/>
    <w:rsid w:val="004366F5"/>
    <w:rsid w:val="00436B35"/>
    <w:rsid w:val="00437505"/>
    <w:rsid w:val="0044067B"/>
    <w:rsid w:val="00440B0E"/>
    <w:rsid w:val="00440D42"/>
    <w:rsid w:val="004412E1"/>
    <w:rsid w:val="004413CC"/>
    <w:rsid w:val="00441551"/>
    <w:rsid w:val="0044188A"/>
    <w:rsid w:val="00442295"/>
    <w:rsid w:val="004423D5"/>
    <w:rsid w:val="004432EB"/>
    <w:rsid w:val="00443929"/>
    <w:rsid w:val="00443CDD"/>
    <w:rsid w:val="00444A2A"/>
    <w:rsid w:val="004451C1"/>
    <w:rsid w:val="00445A37"/>
    <w:rsid w:val="004474DD"/>
    <w:rsid w:val="00447D89"/>
    <w:rsid w:val="00450E11"/>
    <w:rsid w:val="00454018"/>
    <w:rsid w:val="004550B4"/>
    <w:rsid w:val="004555CF"/>
    <w:rsid w:val="004559BA"/>
    <w:rsid w:val="00456686"/>
    <w:rsid w:val="0045792F"/>
    <w:rsid w:val="00460B4D"/>
    <w:rsid w:val="00460BBE"/>
    <w:rsid w:val="00460CC8"/>
    <w:rsid w:val="00460F6B"/>
    <w:rsid w:val="004612D6"/>
    <w:rsid w:val="00462944"/>
    <w:rsid w:val="00463608"/>
    <w:rsid w:val="004642E8"/>
    <w:rsid w:val="0046471B"/>
    <w:rsid w:val="0046477B"/>
    <w:rsid w:val="00464EDF"/>
    <w:rsid w:val="00466DF2"/>
    <w:rsid w:val="00467420"/>
    <w:rsid w:val="004678A3"/>
    <w:rsid w:val="00471F2C"/>
    <w:rsid w:val="0047202E"/>
    <w:rsid w:val="004722A0"/>
    <w:rsid w:val="00472C9B"/>
    <w:rsid w:val="00473300"/>
    <w:rsid w:val="00473BBC"/>
    <w:rsid w:val="00474781"/>
    <w:rsid w:val="0047597F"/>
    <w:rsid w:val="00475A7E"/>
    <w:rsid w:val="00476519"/>
    <w:rsid w:val="00477280"/>
    <w:rsid w:val="00477CD4"/>
    <w:rsid w:val="00480864"/>
    <w:rsid w:val="00480D48"/>
    <w:rsid w:val="00481342"/>
    <w:rsid w:val="00483B0C"/>
    <w:rsid w:val="004842C7"/>
    <w:rsid w:val="004845D7"/>
    <w:rsid w:val="0048479D"/>
    <w:rsid w:val="00485864"/>
    <w:rsid w:val="0048681A"/>
    <w:rsid w:val="00486959"/>
    <w:rsid w:val="0049123A"/>
    <w:rsid w:val="00491843"/>
    <w:rsid w:val="00491C08"/>
    <w:rsid w:val="00491EFD"/>
    <w:rsid w:val="004925C1"/>
    <w:rsid w:val="004925DF"/>
    <w:rsid w:val="004928D5"/>
    <w:rsid w:val="004929DE"/>
    <w:rsid w:val="0049314A"/>
    <w:rsid w:val="004941E4"/>
    <w:rsid w:val="004951D6"/>
    <w:rsid w:val="00495717"/>
    <w:rsid w:val="0049572C"/>
    <w:rsid w:val="00496C4F"/>
    <w:rsid w:val="00497381"/>
    <w:rsid w:val="004A0A62"/>
    <w:rsid w:val="004A0D21"/>
    <w:rsid w:val="004A2A93"/>
    <w:rsid w:val="004A336F"/>
    <w:rsid w:val="004A7600"/>
    <w:rsid w:val="004A7880"/>
    <w:rsid w:val="004A7EF4"/>
    <w:rsid w:val="004B06C9"/>
    <w:rsid w:val="004B070B"/>
    <w:rsid w:val="004B167E"/>
    <w:rsid w:val="004B2028"/>
    <w:rsid w:val="004B30EF"/>
    <w:rsid w:val="004B441F"/>
    <w:rsid w:val="004B50B4"/>
    <w:rsid w:val="004B5667"/>
    <w:rsid w:val="004B5730"/>
    <w:rsid w:val="004B59E7"/>
    <w:rsid w:val="004B6D92"/>
    <w:rsid w:val="004B7000"/>
    <w:rsid w:val="004C09DA"/>
    <w:rsid w:val="004C0B1A"/>
    <w:rsid w:val="004C0EDA"/>
    <w:rsid w:val="004C2594"/>
    <w:rsid w:val="004C287A"/>
    <w:rsid w:val="004C2E6F"/>
    <w:rsid w:val="004C36DA"/>
    <w:rsid w:val="004C380F"/>
    <w:rsid w:val="004C3929"/>
    <w:rsid w:val="004C4638"/>
    <w:rsid w:val="004C4B84"/>
    <w:rsid w:val="004C4CA3"/>
    <w:rsid w:val="004C514F"/>
    <w:rsid w:val="004C5D8A"/>
    <w:rsid w:val="004C5DAB"/>
    <w:rsid w:val="004C6741"/>
    <w:rsid w:val="004C67CC"/>
    <w:rsid w:val="004C684A"/>
    <w:rsid w:val="004C7CB7"/>
    <w:rsid w:val="004C7EA8"/>
    <w:rsid w:val="004D04E6"/>
    <w:rsid w:val="004D052A"/>
    <w:rsid w:val="004D0C17"/>
    <w:rsid w:val="004D1051"/>
    <w:rsid w:val="004D1722"/>
    <w:rsid w:val="004D2564"/>
    <w:rsid w:val="004D3260"/>
    <w:rsid w:val="004D33CF"/>
    <w:rsid w:val="004D33FA"/>
    <w:rsid w:val="004D35D4"/>
    <w:rsid w:val="004D3A01"/>
    <w:rsid w:val="004D4B87"/>
    <w:rsid w:val="004D4CBC"/>
    <w:rsid w:val="004D4DA2"/>
    <w:rsid w:val="004D5AFC"/>
    <w:rsid w:val="004D74FD"/>
    <w:rsid w:val="004D77A9"/>
    <w:rsid w:val="004E0E2D"/>
    <w:rsid w:val="004E115C"/>
    <w:rsid w:val="004E183F"/>
    <w:rsid w:val="004E1C54"/>
    <w:rsid w:val="004E25DE"/>
    <w:rsid w:val="004E266D"/>
    <w:rsid w:val="004E286E"/>
    <w:rsid w:val="004E366C"/>
    <w:rsid w:val="004E3B2C"/>
    <w:rsid w:val="004E5181"/>
    <w:rsid w:val="004E534B"/>
    <w:rsid w:val="004E5E61"/>
    <w:rsid w:val="004E5FBB"/>
    <w:rsid w:val="004E633C"/>
    <w:rsid w:val="004E68BE"/>
    <w:rsid w:val="004E6F4A"/>
    <w:rsid w:val="004E767F"/>
    <w:rsid w:val="004E7AD8"/>
    <w:rsid w:val="004E7D4C"/>
    <w:rsid w:val="004E7E6C"/>
    <w:rsid w:val="004F3038"/>
    <w:rsid w:val="004F5CC8"/>
    <w:rsid w:val="004F625F"/>
    <w:rsid w:val="004F6C93"/>
    <w:rsid w:val="00500461"/>
    <w:rsid w:val="00500B88"/>
    <w:rsid w:val="00502FA0"/>
    <w:rsid w:val="00503AE0"/>
    <w:rsid w:val="00504DA3"/>
    <w:rsid w:val="00505717"/>
    <w:rsid w:val="00505A26"/>
    <w:rsid w:val="00505AD1"/>
    <w:rsid w:val="00510CE5"/>
    <w:rsid w:val="00511FE7"/>
    <w:rsid w:val="0051233E"/>
    <w:rsid w:val="00512633"/>
    <w:rsid w:val="005129F4"/>
    <w:rsid w:val="00512A1D"/>
    <w:rsid w:val="00512DBC"/>
    <w:rsid w:val="005137C0"/>
    <w:rsid w:val="00513B9E"/>
    <w:rsid w:val="0051539F"/>
    <w:rsid w:val="0051551B"/>
    <w:rsid w:val="005164A1"/>
    <w:rsid w:val="00520EA7"/>
    <w:rsid w:val="00521D31"/>
    <w:rsid w:val="00521E45"/>
    <w:rsid w:val="00521FBE"/>
    <w:rsid w:val="00522318"/>
    <w:rsid w:val="0052232C"/>
    <w:rsid w:val="005225B1"/>
    <w:rsid w:val="00522C71"/>
    <w:rsid w:val="00524E5E"/>
    <w:rsid w:val="005253F9"/>
    <w:rsid w:val="00526C40"/>
    <w:rsid w:val="0052785B"/>
    <w:rsid w:val="0053030D"/>
    <w:rsid w:val="005305F8"/>
    <w:rsid w:val="005306DE"/>
    <w:rsid w:val="00530B44"/>
    <w:rsid w:val="00530EF8"/>
    <w:rsid w:val="005312DD"/>
    <w:rsid w:val="00532B54"/>
    <w:rsid w:val="00533A9E"/>
    <w:rsid w:val="00534F1E"/>
    <w:rsid w:val="00535380"/>
    <w:rsid w:val="005354F4"/>
    <w:rsid w:val="00535FE8"/>
    <w:rsid w:val="0053700D"/>
    <w:rsid w:val="005370F5"/>
    <w:rsid w:val="0053725A"/>
    <w:rsid w:val="00542740"/>
    <w:rsid w:val="005428C4"/>
    <w:rsid w:val="00542E81"/>
    <w:rsid w:val="0054340B"/>
    <w:rsid w:val="005435C5"/>
    <w:rsid w:val="00543AC5"/>
    <w:rsid w:val="00543C2B"/>
    <w:rsid w:val="00544D93"/>
    <w:rsid w:val="0054570E"/>
    <w:rsid w:val="00545773"/>
    <w:rsid w:val="005457E3"/>
    <w:rsid w:val="00546CE8"/>
    <w:rsid w:val="00546F73"/>
    <w:rsid w:val="005504B7"/>
    <w:rsid w:val="0055115B"/>
    <w:rsid w:val="00551980"/>
    <w:rsid w:val="00551A2C"/>
    <w:rsid w:val="005531A9"/>
    <w:rsid w:val="0055381A"/>
    <w:rsid w:val="00553999"/>
    <w:rsid w:val="00554436"/>
    <w:rsid w:val="005555C6"/>
    <w:rsid w:val="00555C8E"/>
    <w:rsid w:val="00556355"/>
    <w:rsid w:val="0055671B"/>
    <w:rsid w:val="00556AED"/>
    <w:rsid w:val="00556FFD"/>
    <w:rsid w:val="005574ED"/>
    <w:rsid w:val="00557F8C"/>
    <w:rsid w:val="0056055C"/>
    <w:rsid w:val="00560B80"/>
    <w:rsid w:val="0056290B"/>
    <w:rsid w:val="0056297F"/>
    <w:rsid w:val="0056308F"/>
    <w:rsid w:val="005630F8"/>
    <w:rsid w:val="005631C9"/>
    <w:rsid w:val="00563A0B"/>
    <w:rsid w:val="005646C4"/>
    <w:rsid w:val="00564862"/>
    <w:rsid w:val="005649FD"/>
    <w:rsid w:val="00565175"/>
    <w:rsid w:val="00565ADA"/>
    <w:rsid w:val="00565ED0"/>
    <w:rsid w:val="00566A47"/>
    <w:rsid w:val="00566C42"/>
    <w:rsid w:val="00566D3C"/>
    <w:rsid w:val="005670AE"/>
    <w:rsid w:val="00567DEA"/>
    <w:rsid w:val="00570502"/>
    <w:rsid w:val="00573F29"/>
    <w:rsid w:val="00574440"/>
    <w:rsid w:val="0057525E"/>
    <w:rsid w:val="00575BD3"/>
    <w:rsid w:val="00576067"/>
    <w:rsid w:val="00576839"/>
    <w:rsid w:val="00580433"/>
    <w:rsid w:val="005804F4"/>
    <w:rsid w:val="00581D70"/>
    <w:rsid w:val="0058243C"/>
    <w:rsid w:val="005831B2"/>
    <w:rsid w:val="005831CD"/>
    <w:rsid w:val="0058497F"/>
    <w:rsid w:val="00584C2A"/>
    <w:rsid w:val="00584DDC"/>
    <w:rsid w:val="00585838"/>
    <w:rsid w:val="0058602C"/>
    <w:rsid w:val="005864A3"/>
    <w:rsid w:val="00586761"/>
    <w:rsid w:val="0058774A"/>
    <w:rsid w:val="00587B8A"/>
    <w:rsid w:val="00591521"/>
    <w:rsid w:val="005930EA"/>
    <w:rsid w:val="005931EF"/>
    <w:rsid w:val="00593A60"/>
    <w:rsid w:val="00594E99"/>
    <w:rsid w:val="005956C2"/>
    <w:rsid w:val="0059579A"/>
    <w:rsid w:val="00596669"/>
    <w:rsid w:val="00596FCC"/>
    <w:rsid w:val="00596FE7"/>
    <w:rsid w:val="0059712C"/>
    <w:rsid w:val="005975FE"/>
    <w:rsid w:val="005A1190"/>
    <w:rsid w:val="005A16C7"/>
    <w:rsid w:val="005A16EC"/>
    <w:rsid w:val="005A1F5C"/>
    <w:rsid w:val="005A2381"/>
    <w:rsid w:val="005A2A4B"/>
    <w:rsid w:val="005A2FF1"/>
    <w:rsid w:val="005A40EB"/>
    <w:rsid w:val="005A48D7"/>
    <w:rsid w:val="005A5AE1"/>
    <w:rsid w:val="005A692D"/>
    <w:rsid w:val="005B00BA"/>
    <w:rsid w:val="005B0596"/>
    <w:rsid w:val="005B0C67"/>
    <w:rsid w:val="005B0F2C"/>
    <w:rsid w:val="005B1019"/>
    <w:rsid w:val="005B1316"/>
    <w:rsid w:val="005B1396"/>
    <w:rsid w:val="005B2047"/>
    <w:rsid w:val="005B2A74"/>
    <w:rsid w:val="005B3C67"/>
    <w:rsid w:val="005B4A3D"/>
    <w:rsid w:val="005B4BFA"/>
    <w:rsid w:val="005B5C7D"/>
    <w:rsid w:val="005B5F9E"/>
    <w:rsid w:val="005B6E09"/>
    <w:rsid w:val="005B765C"/>
    <w:rsid w:val="005C0455"/>
    <w:rsid w:val="005C0B9F"/>
    <w:rsid w:val="005C21F9"/>
    <w:rsid w:val="005C2EB1"/>
    <w:rsid w:val="005C313A"/>
    <w:rsid w:val="005C32C1"/>
    <w:rsid w:val="005C3B21"/>
    <w:rsid w:val="005C3E0E"/>
    <w:rsid w:val="005C419F"/>
    <w:rsid w:val="005C465F"/>
    <w:rsid w:val="005C4940"/>
    <w:rsid w:val="005C4DB3"/>
    <w:rsid w:val="005C5B73"/>
    <w:rsid w:val="005C5C4C"/>
    <w:rsid w:val="005C6291"/>
    <w:rsid w:val="005C62FD"/>
    <w:rsid w:val="005C6AFC"/>
    <w:rsid w:val="005C7181"/>
    <w:rsid w:val="005D2609"/>
    <w:rsid w:val="005D2687"/>
    <w:rsid w:val="005D29D7"/>
    <w:rsid w:val="005D32BD"/>
    <w:rsid w:val="005D43E9"/>
    <w:rsid w:val="005D6158"/>
    <w:rsid w:val="005D6199"/>
    <w:rsid w:val="005D62FF"/>
    <w:rsid w:val="005D6BB7"/>
    <w:rsid w:val="005D7A08"/>
    <w:rsid w:val="005D7B6D"/>
    <w:rsid w:val="005E0FCB"/>
    <w:rsid w:val="005E22D5"/>
    <w:rsid w:val="005E2C65"/>
    <w:rsid w:val="005E2D5A"/>
    <w:rsid w:val="005E2DE4"/>
    <w:rsid w:val="005E2EDD"/>
    <w:rsid w:val="005E2FB3"/>
    <w:rsid w:val="005E3290"/>
    <w:rsid w:val="005E3737"/>
    <w:rsid w:val="005E396A"/>
    <w:rsid w:val="005E4487"/>
    <w:rsid w:val="005E4D2C"/>
    <w:rsid w:val="005E55E9"/>
    <w:rsid w:val="005E7E66"/>
    <w:rsid w:val="005F0943"/>
    <w:rsid w:val="005F1A22"/>
    <w:rsid w:val="005F1B97"/>
    <w:rsid w:val="005F2366"/>
    <w:rsid w:val="005F262C"/>
    <w:rsid w:val="005F337B"/>
    <w:rsid w:val="005F36C1"/>
    <w:rsid w:val="005F385D"/>
    <w:rsid w:val="005F4526"/>
    <w:rsid w:val="005F4A34"/>
    <w:rsid w:val="005F55E0"/>
    <w:rsid w:val="005F5736"/>
    <w:rsid w:val="005F5767"/>
    <w:rsid w:val="005F592C"/>
    <w:rsid w:val="005F6988"/>
    <w:rsid w:val="005F6F3B"/>
    <w:rsid w:val="005F754A"/>
    <w:rsid w:val="0060087E"/>
    <w:rsid w:val="00601283"/>
    <w:rsid w:val="0060410D"/>
    <w:rsid w:val="00604B3A"/>
    <w:rsid w:val="006050F6"/>
    <w:rsid w:val="006051D0"/>
    <w:rsid w:val="00605D85"/>
    <w:rsid w:val="00606429"/>
    <w:rsid w:val="006078E9"/>
    <w:rsid w:val="00607D3A"/>
    <w:rsid w:val="006101CE"/>
    <w:rsid w:val="006101DF"/>
    <w:rsid w:val="0061029B"/>
    <w:rsid w:val="00610784"/>
    <w:rsid w:val="0061189D"/>
    <w:rsid w:val="00611AEC"/>
    <w:rsid w:val="00611F91"/>
    <w:rsid w:val="0061338D"/>
    <w:rsid w:val="00613748"/>
    <w:rsid w:val="00613DFD"/>
    <w:rsid w:val="006140A3"/>
    <w:rsid w:val="00615421"/>
    <w:rsid w:val="00615CE2"/>
    <w:rsid w:val="00616768"/>
    <w:rsid w:val="0061776E"/>
    <w:rsid w:val="00617FAA"/>
    <w:rsid w:val="006211E1"/>
    <w:rsid w:val="00622293"/>
    <w:rsid w:val="00622298"/>
    <w:rsid w:val="00622A85"/>
    <w:rsid w:val="00623536"/>
    <w:rsid w:val="006237FD"/>
    <w:rsid w:val="00623A04"/>
    <w:rsid w:val="00623F59"/>
    <w:rsid w:val="00625483"/>
    <w:rsid w:val="006255AF"/>
    <w:rsid w:val="0062584E"/>
    <w:rsid w:val="006258B9"/>
    <w:rsid w:val="00625998"/>
    <w:rsid w:val="00626521"/>
    <w:rsid w:val="00627865"/>
    <w:rsid w:val="006278D7"/>
    <w:rsid w:val="0063015F"/>
    <w:rsid w:val="006308A9"/>
    <w:rsid w:val="0063091E"/>
    <w:rsid w:val="00631531"/>
    <w:rsid w:val="0063225B"/>
    <w:rsid w:val="00632B40"/>
    <w:rsid w:val="00633408"/>
    <w:rsid w:val="0063367F"/>
    <w:rsid w:val="0063428C"/>
    <w:rsid w:val="00635A6F"/>
    <w:rsid w:val="00635CFE"/>
    <w:rsid w:val="006362BF"/>
    <w:rsid w:val="00636981"/>
    <w:rsid w:val="00637092"/>
    <w:rsid w:val="0063751A"/>
    <w:rsid w:val="00637EAA"/>
    <w:rsid w:val="006428AA"/>
    <w:rsid w:val="006432B6"/>
    <w:rsid w:val="00643310"/>
    <w:rsid w:val="00644A42"/>
    <w:rsid w:val="00644CC4"/>
    <w:rsid w:val="00644DC1"/>
    <w:rsid w:val="00646287"/>
    <w:rsid w:val="00647553"/>
    <w:rsid w:val="0064758E"/>
    <w:rsid w:val="00650B25"/>
    <w:rsid w:val="00650E28"/>
    <w:rsid w:val="00651F1B"/>
    <w:rsid w:val="00651F70"/>
    <w:rsid w:val="00651FF1"/>
    <w:rsid w:val="00652053"/>
    <w:rsid w:val="00652373"/>
    <w:rsid w:val="006526A1"/>
    <w:rsid w:val="006527F5"/>
    <w:rsid w:val="0065319D"/>
    <w:rsid w:val="0065379D"/>
    <w:rsid w:val="00655174"/>
    <w:rsid w:val="006552FA"/>
    <w:rsid w:val="00655914"/>
    <w:rsid w:val="006569C5"/>
    <w:rsid w:val="00657628"/>
    <w:rsid w:val="00657B89"/>
    <w:rsid w:val="006607AD"/>
    <w:rsid w:val="00660CB4"/>
    <w:rsid w:val="0066162C"/>
    <w:rsid w:val="00661AD7"/>
    <w:rsid w:val="00662958"/>
    <w:rsid w:val="00665112"/>
    <w:rsid w:val="0066542C"/>
    <w:rsid w:val="0066643C"/>
    <w:rsid w:val="00667ACE"/>
    <w:rsid w:val="00667D84"/>
    <w:rsid w:val="00670CAC"/>
    <w:rsid w:val="00670CE7"/>
    <w:rsid w:val="00671650"/>
    <w:rsid w:val="00672B25"/>
    <w:rsid w:val="00672C86"/>
    <w:rsid w:val="00673200"/>
    <w:rsid w:val="006732D2"/>
    <w:rsid w:val="00673FAA"/>
    <w:rsid w:val="006741C4"/>
    <w:rsid w:val="006744B2"/>
    <w:rsid w:val="00675671"/>
    <w:rsid w:val="006770DE"/>
    <w:rsid w:val="00677AE2"/>
    <w:rsid w:val="00677B2F"/>
    <w:rsid w:val="00677D3B"/>
    <w:rsid w:val="00680D66"/>
    <w:rsid w:val="00680E13"/>
    <w:rsid w:val="00681135"/>
    <w:rsid w:val="006814A8"/>
    <w:rsid w:val="0068536F"/>
    <w:rsid w:val="00685955"/>
    <w:rsid w:val="006859A0"/>
    <w:rsid w:val="00686864"/>
    <w:rsid w:val="006871C2"/>
    <w:rsid w:val="0068748B"/>
    <w:rsid w:val="00687F3C"/>
    <w:rsid w:val="006905F6"/>
    <w:rsid w:val="00691B6C"/>
    <w:rsid w:val="00691EFB"/>
    <w:rsid w:val="0069226C"/>
    <w:rsid w:val="00693687"/>
    <w:rsid w:val="006939F7"/>
    <w:rsid w:val="00693D4F"/>
    <w:rsid w:val="00693E31"/>
    <w:rsid w:val="00693F93"/>
    <w:rsid w:val="00694C46"/>
    <w:rsid w:val="00695A2C"/>
    <w:rsid w:val="00696ECF"/>
    <w:rsid w:val="006971BB"/>
    <w:rsid w:val="006A04B3"/>
    <w:rsid w:val="006A2591"/>
    <w:rsid w:val="006A2906"/>
    <w:rsid w:val="006A2B42"/>
    <w:rsid w:val="006A3171"/>
    <w:rsid w:val="006A366D"/>
    <w:rsid w:val="006A3E11"/>
    <w:rsid w:val="006A3E38"/>
    <w:rsid w:val="006A3F86"/>
    <w:rsid w:val="006A40CA"/>
    <w:rsid w:val="006A4A7C"/>
    <w:rsid w:val="006A577A"/>
    <w:rsid w:val="006A5E93"/>
    <w:rsid w:val="006A6097"/>
    <w:rsid w:val="006A6334"/>
    <w:rsid w:val="006A65A7"/>
    <w:rsid w:val="006A671B"/>
    <w:rsid w:val="006A6DB3"/>
    <w:rsid w:val="006A70C9"/>
    <w:rsid w:val="006A75AF"/>
    <w:rsid w:val="006B0191"/>
    <w:rsid w:val="006B03F4"/>
    <w:rsid w:val="006B0CE8"/>
    <w:rsid w:val="006B1C62"/>
    <w:rsid w:val="006B2B77"/>
    <w:rsid w:val="006B3049"/>
    <w:rsid w:val="006B3C49"/>
    <w:rsid w:val="006B4B5E"/>
    <w:rsid w:val="006B6262"/>
    <w:rsid w:val="006B6822"/>
    <w:rsid w:val="006C0DE9"/>
    <w:rsid w:val="006C210F"/>
    <w:rsid w:val="006C27BC"/>
    <w:rsid w:val="006C2E9C"/>
    <w:rsid w:val="006C3F9C"/>
    <w:rsid w:val="006C4E57"/>
    <w:rsid w:val="006C5B5C"/>
    <w:rsid w:val="006C623B"/>
    <w:rsid w:val="006C6626"/>
    <w:rsid w:val="006D1265"/>
    <w:rsid w:val="006D1A5F"/>
    <w:rsid w:val="006D1CCE"/>
    <w:rsid w:val="006D279D"/>
    <w:rsid w:val="006D2E73"/>
    <w:rsid w:val="006D2FFB"/>
    <w:rsid w:val="006D327A"/>
    <w:rsid w:val="006D4AF4"/>
    <w:rsid w:val="006D525B"/>
    <w:rsid w:val="006D55DE"/>
    <w:rsid w:val="006D5C98"/>
    <w:rsid w:val="006D7383"/>
    <w:rsid w:val="006D756A"/>
    <w:rsid w:val="006E06F6"/>
    <w:rsid w:val="006E1039"/>
    <w:rsid w:val="006E1B1E"/>
    <w:rsid w:val="006E252A"/>
    <w:rsid w:val="006E2CA4"/>
    <w:rsid w:val="006E3364"/>
    <w:rsid w:val="006E3A6A"/>
    <w:rsid w:val="006E411F"/>
    <w:rsid w:val="006E4CCF"/>
    <w:rsid w:val="006E54FF"/>
    <w:rsid w:val="006E64C8"/>
    <w:rsid w:val="006E6ABD"/>
    <w:rsid w:val="006E7153"/>
    <w:rsid w:val="006E7C9E"/>
    <w:rsid w:val="006F242F"/>
    <w:rsid w:val="006F391C"/>
    <w:rsid w:val="006F4E67"/>
    <w:rsid w:val="006F7E0A"/>
    <w:rsid w:val="0070136C"/>
    <w:rsid w:val="00701483"/>
    <w:rsid w:val="0070227C"/>
    <w:rsid w:val="0070320B"/>
    <w:rsid w:val="007035EB"/>
    <w:rsid w:val="0070640F"/>
    <w:rsid w:val="0070694A"/>
    <w:rsid w:val="00707498"/>
    <w:rsid w:val="0071088E"/>
    <w:rsid w:val="0071173D"/>
    <w:rsid w:val="00711902"/>
    <w:rsid w:val="00711AC9"/>
    <w:rsid w:val="007176BE"/>
    <w:rsid w:val="0071798B"/>
    <w:rsid w:val="00720184"/>
    <w:rsid w:val="00721B59"/>
    <w:rsid w:val="00722E72"/>
    <w:rsid w:val="007230F1"/>
    <w:rsid w:val="0072319C"/>
    <w:rsid w:val="0072437E"/>
    <w:rsid w:val="0072758C"/>
    <w:rsid w:val="00730321"/>
    <w:rsid w:val="0073044D"/>
    <w:rsid w:val="00732393"/>
    <w:rsid w:val="0073311E"/>
    <w:rsid w:val="00733656"/>
    <w:rsid w:val="00733E09"/>
    <w:rsid w:val="0073613B"/>
    <w:rsid w:val="00737B0A"/>
    <w:rsid w:val="00737B9D"/>
    <w:rsid w:val="00737ECF"/>
    <w:rsid w:val="007405FD"/>
    <w:rsid w:val="00740B48"/>
    <w:rsid w:val="00741308"/>
    <w:rsid w:val="00742651"/>
    <w:rsid w:val="00742785"/>
    <w:rsid w:val="0074292E"/>
    <w:rsid w:val="00744137"/>
    <w:rsid w:val="0074416D"/>
    <w:rsid w:val="007454A8"/>
    <w:rsid w:val="00745E6A"/>
    <w:rsid w:val="007468A3"/>
    <w:rsid w:val="007469F6"/>
    <w:rsid w:val="00747295"/>
    <w:rsid w:val="00747CF1"/>
    <w:rsid w:val="00750463"/>
    <w:rsid w:val="00750674"/>
    <w:rsid w:val="007508CC"/>
    <w:rsid w:val="0075122C"/>
    <w:rsid w:val="007520CD"/>
    <w:rsid w:val="0075235A"/>
    <w:rsid w:val="0075241E"/>
    <w:rsid w:val="0075243A"/>
    <w:rsid w:val="007525B2"/>
    <w:rsid w:val="007540BF"/>
    <w:rsid w:val="00754A66"/>
    <w:rsid w:val="00755593"/>
    <w:rsid w:val="0075636A"/>
    <w:rsid w:val="00756CBF"/>
    <w:rsid w:val="007573DB"/>
    <w:rsid w:val="007603AB"/>
    <w:rsid w:val="0076079B"/>
    <w:rsid w:val="007607C1"/>
    <w:rsid w:val="00760922"/>
    <w:rsid w:val="00761E3A"/>
    <w:rsid w:val="0076265D"/>
    <w:rsid w:val="00762C5E"/>
    <w:rsid w:val="00763465"/>
    <w:rsid w:val="00763999"/>
    <w:rsid w:val="00763A05"/>
    <w:rsid w:val="00763B06"/>
    <w:rsid w:val="00763B08"/>
    <w:rsid w:val="00764084"/>
    <w:rsid w:val="00764426"/>
    <w:rsid w:val="0076457F"/>
    <w:rsid w:val="007653C3"/>
    <w:rsid w:val="007655D1"/>
    <w:rsid w:val="0076663B"/>
    <w:rsid w:val="007666C6"/>
    <w:rsid w:val="00766811"/>
    <w:rsid w:val="00770535"/>
    <w:rsid w:val="0077127B"/>
    <w:rsid w:val="007714AB"/>
    <w:rsid w:val="007735FB"/>
    <w:rsid w:val="00773EAC"/>
    <w:rsid w:val="007741EC"/>
    <w:rsid w:val="007751D9"/>
    <w:rsid w:val="0077578F"/>
    <w:rsid w:val="007757B8"/>
    <w:rsid w:val="007773A9"/>
    <w:rsid w:val="00777A11"/>
    <w:rsid w:val="00780A09"/>
    <w:rsid w:val="00781694"/>
    <w:rsid w:val="00781773"/>
    <w:rsid w:val="00781AA8"/>
    <w:rsid w:val="00782F08"/>
    <w:rsid w:val="00783273"/>
    <w:rsid w:val="007843DB"/>
    <w:rsid w:val="007847C0"/>
    <w:rsid w:val="00785670"/>
    <w:rsid w:val="00785762"/>
    <w:rsid w:val="00785A34"/>
    <w:rsid w:val="00786005"/>
    <w:rsid w:val="00786AE6"/>
    <w:rsid w:val="00786D0B"/>
    <w:rsid w:val="00787460"/>
    <w:rsid w:val="007903B0"/>
    <w:rsid w:val="00791C2F"/>
    <w:rsid w:val="00791E8D"/>
    <w:rsid w:val="00792CB1"/>
    <w:rsid w:val="0079522C"/>
    <w:rsid w:val="007958BF"/>
    <w:rsid w:val="00795D4D"/>
    <w:rsid w:val="00795DA3"/>
    <w:rsid w:val="00796E6D"/>
    <w:rsid w:val="0079725D"/>
    <w:rsid w:val="007A0EB4"/>
    <w:rsid w:val="007A13F9"/>
    <w:rsid w:val="007A1561"/>
    <w:rsid w:val="007A1CF2"/>
    <w:rsid w:val="007A1FF7"/>
    <w:rsid w:val="007A32B4"/>
    <w:rsid w:val="007A42E8"/>
    <w:rsid w:val="007A43D3"/>
    <w:rsid w:val="007A45AF"/>
    <w:rsid w:val="007A51E9"/>
    <w:rsid w:val="007A5F90"/>
    <w:rsid w:val="007A6B3C"/>
    <w:rsid w:val="007B0578"/>
    <w:rsid w:val="007B0EFA"/>
    <w:rsid w:val="007B16B8"/>
    <w:rsid w:val="007B1CA0"/>
    <w:rsid w:val="007B259A"/>
    <w:rsid w:val="007B2847"/>
    <w:rsid w:val="007B32DB"/>
    <w:rsid w:val="007B3A00"/>
    <w:rsid w:val="007B4D0E"/>
    <w:rsid w:val="007B51BD"/>
    <w:rsid w:val="007B57B5"/>
    <w:rsid w:val="007B5B3B"/>
    <w:rsid w:val="007B5D89"/>
    <w:rsid w:val="007B6207"/>
    <w:rsid w:val="007B6303"/>
    <w:rsid w:val="007B6B96"/>
    <w:rsid w:val="007B70E6"/>
    <w:rsid w:val="007B7BC2"/>
    <w:rsid w:val="007B7DED"/>
    <w:rsid w:val="007C0136"/>
    <w:rsid w:val="007C02FF"/>
    <w:rsid w:val="007C0BF2"/>
    <w:rsid w:val="007C1B6A"/>
    <w:rsid w:val="007C1FB7"/>
    <w:rsid w:val="007C3BFE"/>
    <w:rsid w:val="007C58FA"/>
    <w:rsid w:val="007C7055"/>
    <w:rsid w:val="007C760F"/>
    <w:rsid w:val="007C7CD5"/>
    <w:rsid w:val="007C7CDD"/>
    <w:rsid w:val="007D067F"/>
    <w:rsid w:val="007D095C"/>
    <w:rsid w:val="007D1147"/>
    <w:rsid w:val="007D22A3"/>
    <w:rsid w:val="007D2806"/>
    <w:rsid w:val="007D282A"/>
    <w:rsid w:val="007D31A0"/>
    <w:rsid w:val="007D386C"/>
    <w:rsid w:val="007D5B74"/>
    <w:rsid w:val="007D5EB3"/>
    <w:rsid w:val="007D6011"/>
    <w:rsid w:val="007D610B"/>
    <w:rsid w:val="007D7119"/>
    <w:rsid w:val="007D7741"/>
    <w:rsid w:val="007D7BE0"/>
    <w:rsid w:val="007E015B"/>
    <w:rsid w:val="007E1A5D"/>
    <w:rsid w:val="007E327F"/>
    <w:rsid w:val="007E360C"/>
    <w:rsid w:val="007E38FB"/>
    <w:rsid w:val="007E3EB3"/>
    <w:rsid w:val="007E3F30"/>
    <w:rsid w:val="007E563A"/>
    <w:rsid w:val="007E584D"/>
    <w:rsid w:val="007E71A9"/>
    <w:rsid w:val="007E71B1"/>
    <w:rsid w:val="007E75E4"/>
    <w:rsid w:val="007E7A75"/>
    <w:rsid w:val="007E7B95"/>
    <w:rsid w:val="007F174E"/>
    <w:rsid w:val="007F1876"/>
    <w:rsid w:val="007F19EC"/>
    <w:rsid w:val="007F2E4C"/>
    <w:rsid w:val="007F3664"/>
    <w:rsid w:val="007F395A"/>
    <w:rsid w:val="007F3DB6"/>
    <w:rsid w:val="007F3E60"/>
    <w:rsid w:val="007F64E8"/>
    <w:rsid w:val="008000F7"/>
    <w:rsid w:val="00800BEB"/>
    <w:rsid w:val="0080135A"/>
    <w:rsid w:val="0080212F"/>
    <w:rsid w:val="00802204"/>
    <w:rsid w:val="00802B51"/>
    <w:rsid w:val="00803550"/>
    <w:rsid w:val="00804F26"/>
    <w:rsid w:val="008054C4"/>
    <w:rsid w:val="008062C5"/>
    <w:rsid w:val="008072BC"/>
    <w:rsid w:val="00807E23"/>
    <w:rsid w:val="00807F50"/>
    <w:rsid w:val="008103CD"/>
    <w:rsid w:val="00810E30"/>
    <w:rsid w:val="00811626"/>
    <w:rsid w:val="00811C1E"/>
    <w:rsid w:val="00813690"/>
    <w:rsid w:val="008137EC"/>
    <w:rsid w:val="00813C7C"/>
    <w:rsid w:val="00813F9B"/>
    <w:rsid w:val="00814AFC"/>
    <w:rsid w:val="00815471"/>
    <w:rsid w:val="00815688"/>
    <w:rsid w:val="00815C6F"/>
    <w:rsid w:val="008162B0"/>
    <w:rsid w:val="00817383"/>
    <w:rsid w:val="008173DA"/>
    <w:rsid w:val="008178A7"/>
    <w:rsid w:val="00821565"/>
    <w:rsid w:val="00821B5F"/>
    <w:rsid w:val="00821DA3"/>
    <w:rsid w:val="008225C5"/>
    <w:rsid w:val="00822CCC"/>
    <w:rsid w:val="00824E3F"/>
    <w:rsid w:val="00825548"/>
    <w:rsid w:val="00825858"/>
    <w:rsid w:val="00826559"/>
    <w:rsid w:val="00827EE5"/>
    <w:rsid w:val="00830B24"/>
    <w:rsid w:val="00830B41"/>
    <w:rsid w:val="00830DC0"/>
    <w:rsid w:val="00830F3B"/>
    <w:rsid w:val="0083174F"/>
    <w:rsid w:val="008318F5"/>
    <w:rsid w:val="00831A03"/>
    <w:rsid w:val="00831ADB"/>
    <w:rsid w:val="008328A7"/>
    <w:rsid w:val="00832BF3"/>
    <w:rsid w:val="008343F7"/>
    <w:rsid w:val="00834709"/>
    <w:rsid w:val="0083506E"/>
    <w:rsid w:val="008351B3"/>
    <w:rsid w:val="00835D23"/>
    <w:rsid w:val="00836181"/>
    <w:rsid w:val="00836E05"/>
    <w:rsid w:val="008375FA"/>
    <w:rsid w:val="00837BE3"/>
    <w:rsid w:val="0084080B"/>
    <w:rsid w:val="00841499"/>
    <w:rsid w:val="008419B2"/>
    <w:rsid w:val="0084253D"/>
    <w:rsid w:val="00842606"/>
    <w:rsid w:val="00843EF2"/>
    <w:rsid w:val="00843F55"/>
    <w:rsid w:val="008443A8"/>
    <w:rsid w:val="00844548"/>
    <w:rsid w:val="00844926"/>
    <w:rsid w:val="008454BE"/>
    <w:rsid w:val="0084557B"/>
    <w:rsid w:val="00846107"/>
    <w:rsid w:val="008461B6"/>
    <w:rsid w:val="008468A7"/>
    <w:rsid w:val="00850909"/>
    <w:rsid w:val="00850D61"/>
    <w:rsid w:val="00853FC1"/>
    <w:rsid w:val="00853FD9"/>
    <w:rsid w:val="00854115"/>
    <w:rsid w:val="00854AF0"/>
    <w:rsid w:val="00855975"/>
    <w:rsid w:val="008562C7"/>
    <w:rsid w:val="00856A8B"/>
    <w:rsid w:val="008620F1"/>
    <w:rsid w:val="0086428C"/>
    <w:rsid w:val="00864A08"/>
    <w:rsid w:val="00864A1B"/>
    <w:rsid w:val="00864B8A"/>
    <w:rsid w:val="00864C73"/>
    <w:rsid w:val="0086537D"/>
    <w:rsid w:val="00865BFE"/>
    <w:rsid w:val="008662CF"/>
    <w:rsid w:val="00866462"/>
    <w:rsid w:val="00870F6A"/>
    <w:rsid w:val="00871CD8"/>
    <w:rsid w:val="0087255E"/>
    <w:rsid w:val="008729A7"/>
    <w:rsid w:val="008737BD"/>
    <w:rsid w:val="008737C6"/>
    <w:rsid w:val="0087461C"/>
    <w:rsid w:val="00875BA2"/>
    <w:rsid w:val="00875CB6"/>
    <w:rsid w:val="0087626D"/>
    <w:rsid w:val="00876C20"/>
    <w:rsid w:val="0087771B"/>
    <w:rsid w:val="0088015A"/>
    <w:rsid w:val="0088040D"/>
    <w:rsid w:val="008810A9"/>
    <w:rsid w:val="008811F7"/>
    <w:rsid w:val="00881470"/>
    <w:rsid w:val="008816A7"/>
    <w:rsid w:val="008817F8"/>
    <w:rsid w:val="008835BE"/>
    <w:rsid w:val="00884375"/>
    <w:rsid w:val="00884766"/>
    <w:rsid w:val="008851E8"/>
    <w:rsid w:val="00885558"/>
    <w:rsid w:val="00886214"/>
    <w:rsid w:val="00886274"/>
    <w:rsid w:val="00886351"/>
    <w:rsid w:val="00886420"/>
    <w:rsid w:val="0088647D"/>
    <w:rsid w:val="00886B99"/>
    <w:rsid w:val="008878FE"/>
    <w:rsid w:val="00887ADD"/>
    <w:rsid w:val="00887EC5"/>
    <w:rsid w:val="00887F5A"/>
    <w:rsid w:val="00890A81"/>
    <w:rsid w:val="00891659"/>
    <w:rsid w:val="00891F3B"/>
    <w:rsid w:val="008925E2"/>
    <w:rsid w:val="008926FD"/>
    <w:rsid w:val="00896B45"/>
    <w:rsid w:val="00896C27"/>
    <w:rsid w:val="00896DCF"/>
    <w:rsid w:val="008A0BEA"/>
    <w:rsid w:val="008A13B4"/>
    <w:rsid w:val="008A14C7"/>
    <w:rsid w:val="008A181E"/>
    <w:rsid w:val="008A192F"/>
    <w:rsid w:val="008A1DB8"/>
    <w:rsid w:val="008A1EA9"/>
    <w:rsid w:val="008A241A"/>
    <w:rsid w:val="008A3031"/>
    <w:rsid w:val="008A373D"/>
    <w:rsid w:val="008A402C"/>
    <w:rsid w:val="008A4191"/>
    <w:rsid w:val="008A4DED"/>
    <w:rsid w:val="008A558F"/>
    <w:rsid w:val="008A5600"/>
    <w:rsid w:val="008A58B0"/>
    <w:rsid w:val="008A593A"/>
    <w:rsid w:val="008A6637"/>
    <w:rsid w:val="008A6D26"/>
    <w:rsid w:val="008B05E2"/>
    <w:rsid w:val="008B0DB7"/>
    <w:rsid w:val="008B1EED"/>
    <w:rsid w:val="008B1F75"/>
    <w:rsid w:val="008B27B5"/>
    <w:rsid w:val="008B31BE"/>
    <w:rsid w:val="008B3E38"/>
    <w:rsid w:val="008B422B"/>
    <w:rsid w:val="008B4885"/>
    <w:rsid w:val="008B4B45"/>
    <w:rsid w:val="008B4DE3"/>
    <w:rsid w:val="008B5779"/>
    <w:rsid w:val="008B5A79"/>
    <w:rsid w:val="008B6196"/>
    <w:rsid w:val="008B7C1B"/>
    <w:rsid w:val="008B7EB8"/>
    <w:rsid w:val="008C0A37"/>
    <w:rsid w:val="008C112D"/>
    <w:rsid w:val="008C1D88"/>
    <w:rsid w:val="008C1FB7"/>
    <w:rsid w:val="008C23B2"/>
    <w:rsid w:val="008C33D7"/>
    <w:rsid w:val="008C444D"/>
    <w:rsid w:val="008C45C5"/>
    <w:rsid w:val="008C561B"/>
    <w:rsid w:val="008C5919"/>
    <w:rsid w:val="008C5977"/>
    <w:rsid w:val="008C6F0F"/>
    <w:rsid w:val="008C6F71"/>
    <w:rsid w:val="008C71E2"/>
    <w:rsid w:val="008D0217"/>
    <w:rsid w:val="008D06DC"/>
    <w:rsid w:val="008D0831"/>
    <w:rsid w:val="008D14A4"/>
    <w:rsid w:val="008D1542"/>
    <w:rsid w:val="008D167B"/>
    <w:rsid w:val="008D3A69"/>
    <w:rsid w:val="008D52FA"/>
    <w:rsid w:val="008D5C72"/>
    <w:rsid w:val="008D74A0"/>
    <w:rsid w:val="008D7952"/>
    <w:rsid w:val="008E0069"/>
    <w:rsid w:val="008E17D5"/>
    <w:rsid w:val="008E20EA"/>
    <w:rsid w:val="008E23D4"/>
    <w:rsid w:val="008E27EE"/>
    <w:rsid w:val="008E31BC"/>
    <w:rsid w:val="008E3C95"/>
    <w:rsid w:val="008E3FF4"/>
    <w:rsid w:val="008E42EE"/>
    <w:rsid w:val="008E4609"/>
    <w:rsid w:val="008E498B"/>
    <w:rsid w:val="008E4B47"/>
    <w:rsid w:val="008E4DC9"/>
    <w:rsid w:val="008E6053"/>
    <w:rsid w:val="008E63B8"/>
    <w:rsid w:val="008E672A"/>
    <w:rsid w:val="008E67D4"/>
    <w:rsid w:val="008E6BBD"/>
    <w:rsid w:val="008F0325"/>
    <w:rsid w:val="008F0ABF"/>
    <w:rsid w:val="008F0D86"/>
    <w:rsid w:val="008F12B4"/>
    <w:rsid w:val="008F1819"/>
    <w:rsid w:val="008F1B6C"/>
    <w:rsid w:val="008F1DC8"/>
    <w:rsid w:val="008F1DF0"/>
    <w:rsid w:val="008F2358"/>
    <w:rsid w:val="008F2DF6"/>
    <w:rsid w:val="008F41A3"/>
    <w:rsid w:val="008F4A8C"/>
    <w:rsid w:val="008F552A"/>
    <w:rsid w:val="008F5CC2"/>
    <w:rsid w:val="008F626B"/>
    <w:rsid w:val="008F66E8"/>
    <w:rsid w:val="008F67B1"/>
    <w:rsid w:val="008F689E"/>
    <w:rsid w:val="00900B2E"/>
    <w:rsid w:val="00900C8A"/>
    <w:rsid w:val="009021A5"/>
    <w:rsid w:val="00902BBB"/>
    <w:rsid w:val="00902C78"/>
    <w:rsid w:val="0090386B"/>
    <w:rsid w:val="00903E49"/>
    <w:rsid w:val="00903EF9"/>
    <w:rsid w:val="00904CCB"/>
    <w:rsid w:val="00905752"/>
    <w:rsid w:val="009057EF"/>
    <w:rsid w:val="009058C3"/>
    <w:rsid w:val="00906A1D"/>
    <w:rsid w:val="00906DB9"/>
    <w:rsid w:val="00907585"/>
    <w:rsid w:val="00910938"/>
    <w:rsid w:val="00910BD5"/>
    <w:rsid w:val="00911593"/>
    <w:rsid w:val="009126E8"/>
    <w:rsid w:val="00912F78"/>
    <w:rsid w:val="009134D1"/>
    <w:rsid w:val="00913A26"/>
    <w:rsid w:val="00913CBA"/>
    <w:rsid w:val="0091419E"/>
    <w:rsid w:val="00915288"/>
    <w:rsid w:val="00915EF6"/>
    <w:rsid w:val="00916B6E"/>
    <w:rsid w:val="00916C39"/>
    <w:rsid w:val="00916E36"/>
    <w:rsid w:val="00917628"/>
    <w:rsid w:val="00917728"/>
    <w:rsid w:val="0092016E"/>
    <w:rsid w:val="009206EC"/>
    <w:rsid w:val="0092105D"/>
    <w:rsid w:val="00921231"/>
    <w:rsid w:val="0092220C"/>
    <w:rsid w:val="0092307B"/>
    <w:rsid w:val="00924386"/>
    <w:rsid w:val="00925A9E"/>
    <w:rsid w:val="009265C6"/>
    <w:rsid w:val="00926959"/>
    <w:rsid w:val="009272E3"/>
    <w:rsid w:val="009275BC"/>
    <w:rsid w:val="00927BF8"/>
    <w:rsid w:val="0093055A"/>
    <w:rsid w:val="00930642"/>
    <w:rsid w:val="00930880"/>
    <w:rsid w:val="00930FB0"/>
    <w:rsid w:val="009320C3"/>
    <w:rsid w:val="00932C37"/>
    <w:rsid w:val="00933E73"/>
    <w:rsid w:val="00934DDA"/>
    <w:rsid w:val="00935A39"/>
    <w:rsid w:val="00935F3E"/>
    <w:rsid w:val="00936861"/>
    <w:rsid w:val="009369B9"/>
    <w:rsid w:val="00937BA0"/>
    <w:rsid w:val="009406EB"/>
    <w:rsid w:val="00940EBC"/>
    <w:rsid w:val="00940F47"/>
    <w:rsid w:val="0094103C"/>
    <w:rsid w:val="009422ED"/>
    <w:rsid w:val="009435C1"/>
    <w:rsid w:val="009439F0"/>
    <w:rsid w:val="009447B0"/>
    <w:rsid w:val="009450C1"/>
    <w:rsid w:val="00945659"/>
    <w:rsid w:val="0094594E"/>
    <w:rsid w:val="00946EF9"/>
    <w:rsid w:val="0094723C"/>
    <w:rsid w:val="00947551"/>
    <w:rsid w:val="00947FF4"/>
    <w:rsid w:val="00950128"/>
    <w:rsid w:val="009505E3"/>
    <w:rsid w:val="009506CB"/>
    <w:rsid w:val="00950AB7"/>
    <w:rsid w:val="0095182F"/>
    <w:rsid w:val="00951C2A"/>
    <w:rsid w:val="00953F57"/>
    <w:rsid w:val="00954111"/>
    <w:rsid w:val="0095423C"/>
    <w:rsid w:val="009559FF"/>
    <w:rsid w:val="0095637B"/>
    <w:rsid w:val="0095790D"/>
    <w:rsid w:val="00957C9E"/>
    <w:rsid w:val="009603F9"/>
    <w:rsid w:val="00960BD5"/>
    <w:rsid w:val="009611A5"/>
    <w:rsid w:val="009617BB"/>
    <w:rsid w:val="00961FAE"/>
    <w:rsid w:val="00962881"/>
    <w:rsid w:val="00962C6B"/>
    <w:rsid w:val="00962D2C"/>
    <w:rsid w:val="00963F05"/>
    <w:rsid w:val="00965AF5"/>
    <w:rsid w:val="00966F63"/>
    <w:rsid w:val="00966FA4"/>
    <w:rsid w:val="00967B03"/>
    <w:rsid w:val="00967F4D"/>
    <w:rsid w:val="00971BEE"/>
    <w:rsid w:val="00971DA7"/>
    <w:rsid w:val="00974639"/>
    <w:rsid w:val="0097472B"/>
    <w:rsid w:val="00974CB7"/>
    <w:rsid w:val="0097575B"/>
    <w:rsid w:val="00975A85"/>
    <w:rsid w:val="009764B6"/>
    <w:rsid w:val="00976857"/>
    <w:rsid w:val="00976C8F"/>
    <w:rsid w:val="0098058A"/>
    <w:rsid w:val="009808C6"/>
    <w:rsid w:val="00981F1E"/>
    <w:rsid w:val="00983CF2"/>
    <w:rsid w:val="009841A0"/>
    <w:rsid w:val="00984583"/>
    <w:rsid w:val="00984A9A"/>
    <w:rsid w:val="0098640B"/>
    <w:rsid w:val="00986ECA"/>
    <w:rsid w:val="009908F1"/>
    <w:rsid w:val="0099342C"/>
    <w:rsid w:val="00993F5F"/>
    <w:rsid w:val="00994055"/>
    <w:rsid w:val="009951BA"/>
    <w:rsid w:val="0099576A"/>
    <w:rsid w:val="0099583E"/>
    <w:rsid w:val="00995D88"/>
    <w:rsid w:val="0099609C"/>
    <w:rsid w:val="009965C6"/>
    <w:rsid w:val="00996C65"/>
    <w:rsid w:val="00996D35"/>
    <w:rsid w:val="009A0E09"/>
    <w:rsid w:val="009A0ED8"/>
    <w:rsid w:val="009A1271"/>
    <w:rsid w:val="009A2009"/>
    <w:rsid w:val="009A227D"/>
    <w:rsid w:val="009A2CC7"/>
    <w:rsid w:val="009A32AA"/>
    <w:rsid w:val="009A48C3"/>
    <w:rsid w:val="009A4D4B"/>
    <w:rsid w:val="009A54D4"/>
    <w:rsid w:val="009A6E9B"/>
    <w:rsid w:val="009A72A7"/>
    <w:rsid w:val="009B04F4"/>
    <w:rsid w:val="009B1DC7"/>
    <w:rsid w:val="009B27C7"/>
    <w:rsid w:val="009B2972"/>
    <w:rsid w:val="009B34F1"/>
    <w:rsid w:val="009B36D6"/>
    <w:rsid w:val="009B3D28"/>
    <w:rsid w:val="009B3EEC"/>
    <w:rsid w:val="009B4168"/>
    <w:rsid w:val="009B649F"/>
    <w:rsid w:val="009B6A4D"/>
    <w:rsid w:val="009B7227"/>
    <w:rsid w:val="009B741C"/>
    <w:rsid w:val="009B7CF4"/>
    <w:rsid w:val="009C00A9"/>
    <w:rsid w:val="009C0413"/>
    <w:rsid w:val="009C08E6"/>
    <w:rsid w:val="009C10E2"/>
    <w:rsid w:val="009C1FDF"/>
    <w:rsid w:val="009C27EC"/>
    <w:rsid w:val="009C393E"/>
    <w:rsid w:val="009C3E71"/>
    <w:rsid w:val="009C407B"/>
    <w:rsid w:val="009C422E"/>
    <w:rsid w:val="009C5DF5"/>
    <w:rsid w:val="009C5F7C"/>
    <w:rsid w:val="009C6345"/>
    <w:rsid w:val="009D2127"/>
    <w:rsid w:val="009D234E"/>
    <w:rsid w:val="009D3AB8"/>
    <w:rsid w:val="009D3F21"/>
    <w:rsid w:val="009D4735"/>
    <w:rsid w:val="009D49A6"/>
    <w:rsid w:val="009D548C"/>
    <w:rsid w:val="009D5955"/>
    <w:rsid w:val="009D61C0"/>
    <w:rsid w:val="009D6BFF"/>
    <w:rsid w:val="009D6C33"/>
    <w:rsid w:val="009D7522"/>
    <w:rsid w:val="009E0FE1"/>
    <w:rsid w:val="009E2BA3"/>
    <w:rsid w:val="009E2F64"/>
    <w:rsid w:val="009E3032"/>
    <w:rsid w:val="009E31EB"/>
    <w:rsid w:val="009E3592"/>
    <w:rsid w:val="009E391A"/>
    <w:rsid w:val="009E449A"/>
    <w:rsid w:val="009E6467"/>
    <w:rsid w:val="009E6593"/>
    <w:rsid w:val="009E6F49"/>
    <w:rsid w:val="009E7031"/>
    <w:rsid w:val="009F08A0"/>
    <w:rsid w:val="009F0A3C"/>
    <w:rsid w:val="009F1007"/>
    <w:rsid w:val="009F25EB"/>
    <w:rsid w:val="009F2C6B"/>
    <w:rsid w:val="009F3118"/>
    <w:rsid w:val="009F3B0F"/>
    <w:rsid w:val="009F3F57"/>
    <w:rsid w:val="009F509F"/>
    <w:rsid w:val="009F5DBA"/>
    <w:rsid w:val="009F62AD"/>
    <w:rsid w:val="009F65B8"/>
    <w:rsid w:val="009F680F"/>
    <w:rsid w:val="009F689E"/>
    <w:rsid w:val="00A002FD"/>
    <w:rsid w:val="00A00927"/>
    <w:rsid w:val="00A00B1F"/>
    <w:rsid w:val="00A00FB1"/>
    <w:rsid w:val="00A02036"/>
    <w:rsid w:val="00A020E4"/>
    <w:rsid w:val="00A02D1A"/>
    <w:rsid w:val="00A038CA"/>
    <w:rsid w:val="00A041E6"/>
    <w:rsid w:val="00A06601"/>
    <w:rsid w:val="00A073B6"/>
    <w:rsid w:val="00A07933"/>
    <w:rsid w:val="00A07C06"/>
    <w:rsid w:val="00A10849"/>
    <w:rsid w:val="00A10D31"/>
    <w:rsid w:val="00A115CC"/>
    <w:rsid w:val="00A12820"/>
    <w:rsid w:val="00A13130"/>
    <w:rsid w:val="00A134F6"/>
    <w:rsid w:val="00A13B73"/>
    <w:rsid w:val="00A140F9"/>
    <w:rsid w:val="00A1427D"/>
    <w:rsid w:val="00A15478"/>
    <w:rsid w:val="00A15567"/>
    <w:rsid w:val="00A1576E"/>
    <w:rsid w:val="00A162D7"/>
    <w:rsid w:val="00A17222"/>
    <w:rsid w:val="00A177BB"/>
    <w:rsid w:val="00A17B71"/>
    <w:rsid w:val="00A17E4B"/>
    <w:rsid w:val="00A2088D"/>
    <w:rsid w:val="00A2174F"/>
    <w:rsid w:val="00A21B5A"/>
    <w:rsid w:val="00A221B2"/>
    <w:rsid w:val="00A221C6"/>
    <w:rsid w:val="00A22E8A"/>
    <w:rsid w:val="00A24061"/>
    <w:rsid w:val="00A243A0"/>
    <w:rsid w:val="00A24FEE"/>
    <w:rsid w:val="00A25628"/>
    <w:rsid w:val="00A25745"/>
    <w:rsid w:val="00A26357"/>
    <w:rsid w:val="00A26E41"/>
    <w:rsid w:val="00A26FF2"/>
    <w:rsid w:val="00A304EE"/>
    <w:rsid w:val="00A3173A"/>
    <w:rsid w:val="00A328E0"/>
    <w:rsid w:val="00A333DB"/>
    <w:rsid w:val="00A33EC3"/>
    <w:rsid w:val="00A34055"/>
    <w:rsid w:val="00A34660"/>
    <w:rsid w:val="00A35A28"/>
    <w:rsid w:val="00A35E1B"/>
    <w:rsid w:val="00A3631C"/>
    <w:rsid w:val="00A37221"/>
    <w:rsid w:val="00A37927"/>
    <w:rsid w:val="00A40082"/>
    <w:rsid w:val="00A40647"/>
    <w:rsid w:val="00A40665"/>
    <w:rsid w:val="00A4178A"/>
    <w:rsid w:val="00A41DC5"/>
    <w:rsid w:val="00A44148"/>
    <w:rsid w:val="00A449B0"/>
    <w:rsid w:val="00A449FE"/>
    <w:rsid w:val="00A452B6"/>
    <w:rsid w:val="00A454BC"/>
    <w:rsid w:val="00A45941"/>
    <w:rsid w:val="00A45BC3"/>
    <w:rsid w:val="00A463D2"/>
    <w:rsid w:val="00A46601"/>
    <w:rsid w:val="00A46C4F"/>
    <w:rsid w:val="00A476F0"/>
    <w:rsid w:val="00A478BB"/>
    <w:rsid w:val="00A47B48"/>
    <w:rsid w:val="00A47BD0"/>
    <w:rsid w:val="00A510B7"/>
    <w:rsid w:val="00A51116"/>
    <w:rsid w:val="00A51B8E"/>
    <w:rsid w:val="00A51C82"/>
    <w:rsid w:val="00A51FDF"/>
    <w:rsid w:val="00A52861"/>
    <w:rsid w:val="00A52DE9"/>
    <w:rsid w:val="00A52FB3"/>
    <w:rsid w:val="00A534CB"/>
    <w:rsid w:val="00A5541D"/>
    <w:rsid w:val="00A55F47"/>
    <w:rsid w:val="00A561C3"/>
    <w:rsid w:val="00A572A5"/>
    <w:rsid w:val="00A573D2"/>
    <w:rsid w:val="00A57CA9"/>
    <w:rsid w:val="00A57D16"/>
    <w:rsid w:val="00A60165"/>
    <w:rsid w:val="00A60F22"/>
    <w:rsid w:val="00A610A7"/>
    <w:rsid w:val="00A619FE"/>
    <w:rsid w:val="00A61AF0"/>
    <w:rsid w:val="00A63021"/>
    <w:rsid w:val="00A636D3"/>
    <w:rsid w:val="00A6424C"/>
    <w:rsid w:val="00A6427E"/>
    <w:rsid w:val="00A64A90"/>
    <w:rsid w:val="00A64F44"/>
    <w:rsid w:val="00A65012"/>
    <w:rsid w:val="00A66730"/>
    <w:rsid w:val="00A66980"/>
    <w:rsid w:val="00A66A13"/>
    <w:rsid w:val="00A67E01"/>
    <w:rsid w:val="00A70E0C"/>
    <w:rsid w:val="00A70E86"/>
    <w:rsid w:val="00A70F1E"/>
    <w:rsid w:val="00A7124D"/>
    <w:rsid w:val="00A71977"/>
    <w:rsid w:val="00A71BC4"/>
    <w:rsid w:val="00A721B5"/>
    <w:rsid w:val="00A72390"/>
    <w:rsid w:val="00A7294B"/>
    <w:rsid w:val="00A72D77"/>
    <w:rsid w:val="00A73E8C"/>
    <w:rsid w:val="00A73FCD"/>
    <w:rsid w:val="00A75963"/>
    <w:rsid w:val="00A762B5"/>
    <w:rsid w:val="00A76D0E"/>
    <w:rsid w:val="00A77570"/>
    <w:rsid w:val="00A801CB"/>
    <w:rsid w:val="00A80D8B"/>
    <w:rsid w:val="00A81FCE"/>
    <w:rsid w:val="00A82A54"/>
    <w:rsid w:val="00A83EEF"/>
    <w:rsid w:val="00A8458E"/>
    <w:rsid w:val="00A8492A"/>
    <w:rsid w:val="00A8493F"/>
    <w:rsid w:val="00A84E08"/>
    <w:rsid w:val="00A85180"/>
    <w:rsid w:val="00A8696D"/>
    <w:rsid w:val="00A87184"/>
    <w:rsid w:val="00A87CC4"/>
    <w:rsid w:val="00A9014E"/>
    <w:rsid w:val="00A904EC"/>
    <w:rsid w:val="00A90A45"/>
    <w:rsid w:val="00A914A4"/>
    <w:rsid w:val="00A92F98"/>
    <w:rsid w:val="00A932EC"/>
    <w:rsid w:val="00A94332"/>
    <w:rsid w:val="00A954FB"/>
    <w:rsid w:val="00A95734"/>
    <w:rsid w:val="00A95DDF"/>
    <w:rsid w:val="00A962C2"/>
    <w:rsid w:val="00A96B79"/>
    <w:rsid w:val="00A96D5D"/>
    <w:rsid w:val="00A971C1"/>
    <w:rsid w:val="00A97B5D"/>
    <w:rsid w:val="00A97C2A"/>
    <w:rsid w:val="00A97CBB"/>
    <w:rsid w:val="00A97D30"/>
    <w:rsid w:val="00AA00DB"/>
    <w:rsid w:val="00AA0150"/>
    <w:rsid w:val="00AA1C24"/>
    <w:rsid w:val="00AA5676"/>
    <w:rsid w:val="00AA595F"/>
    <w:rsid w:val="00AA5FB3"/>
    <w:rsid w:val="00AA60EE"/>
    <w:rsid w:val="00AA641B"/>
    <w:rsid w:val="00AA657E"/>
    <w:rsid w:val="00AA6612"/>
    <w:rsid w:val="00AA698C"/>
    <w:rsid w:val="00AA6F52"/>
    <w:rsid w:val="00AA7903"/>
    <w:rsid w:val="00AB0872"/>
    <w:rsid w:val="00AB1634"/>
    <w:rsid w:val="00AB193A"/>
    <w:rsid w:val="00AB1EFA"/>
    <w:rsid w:val="00AB21BF"/>
    <w:rsid w:val="00AB24CB"/>
    <w:rsid w:val="00AB2604"/>
    <w:rsid w:val="00AB2B78"/>
    <w:rsid w:val="00AB37AA"/>
    <w:rsid w:val="00AB5DB3"/>
    <w:rsid w:val="00AB6207"/>
    <w:rsid w:val="00AB6668"/>
    <w:rsid w:val="00AB6A1F"/>
    <w:rsid w:val="00AB7186"/>
    <w:rsid w:val="00AB770C"/>
    <w:rsid w:val="00AB7BEF"/>
    <w:rsid w:val="00AC0197"/>
    <w:rsid w:val="00AC0C84"/>
    <w:rsid w:val="00AC160C"/>
    <w:rsid w:val="00AC1D60"/>
    <w:rsid w:val="00AC2066"/>
    <w:rsid w:val="00AC2C55"/>
    <w:rsid w:val="00AC365D"/>
    <w:rsid w:val="00AC5C74"/>
    <w:rsid w:val="00AC5EC0"/>
    <w:rsid w:val="00AC6E0A"/>
    <w:rsid w:val="00AC703B"/>
    <w:rsid w:val="00AC7707"/>
    <w:rsid w:val="00AC787B"/>
    <w:rsid w:val="00AC7DBF"/>
    <w:rsid w:val="00AC7FAF"/>
    <w:rsid w:val="00AD005B"/>
    <w:rsid w:val="00AD03B5"/>
    <w:rsid w:val="00AD14B4"/>
    <w:rsid w:val="00AD1EE6"/>
    <w:rsid w:val="00AD318A"/>
    <w:rsid w:val="00AD3957"/>
    <w:rsid w:val="00AD4054"/>
    <w:rsid w:val="00AD463B"/>
    <w:rsid w:val="00AD464F"/>
    <w:rsid w:val="00AD4B07"/>
    <w:rsid w:val="00AD4DCB"/>
    <w:rsid w:val="00AD7094"/>
    <w:rsid w:val="00AD77A8"/>
    <w:rsid w:val="00AD7BCA"/>
    <w:rsid w:val="00AD7BCB"/>
    <w:rsid w:val="00AE008A"/>
    <w:rsid w:val="00AE2347"/>
    <w:rsid w:val="00AE38FB"/>
    <w:rsid w:val="00AE39E9"/>
    <w:rsid w:val="00AE4047"/>
    <w:rsid w:val="00AE4F7B"/>
    <w:rsid w:val="00AE759B"/>
    <w:rsid w:val="00AF073B"/>
    <w:rsid w:val="00AF101F"/>
    <w:rsid w:val="00AF1345"/>
    <w:rsid w:val="00AF173D"/>
    <w:rsid w:val="00AF1F76"/>
    <w:rsid w:val="00AF2668"/>
    <w:rsid w:val="00AF2987"/>
    <w:rsid w:val="00AF320D"/>
    <w:rsid w:val="00AF34D5"/>
    <w:rsid w:val="00AF34F3"/>
    <w:rsid w:val="00AF3678"/>
    <w:rsid w:val="00AF391B"/>
    <w:rsid w:val="00AF66C1"/>
    <w:rsid w:val="00AF67B9"/>
    <w:rsid w:val="00AF6C31"/>
    <w:rsid w:val="00AF7547"/>
    <w:rsid w:val="00AF78A2"/>
    <w:rsid w:val="00AF7A6D"/>
    <w:rsid w:val="00B00156"/>
    <w:rsid w:val="00B00759"/>
    <w:rsid w:val="00B018E9"/>
    <w:rsid w:val="00B01FAE"/>
    <w:rsid w:val="00B02761"/>
    <w:rsid w:val="00B02D49"/>
    <w:rsid w:val="00B03760"/>
    <w:rsid w:val="00B03A09"/>
    <w:rsid w:val="00B03C15"/>
    <w:rsid w:val="00B0478B"/>
    <w:rsid w:val="00B05059"/>
    <w:rsid w:val="00B070F1"/>
    <w:rsid w:val="00B10111"/>
    <w:rsid w:val="00B10E74"/>
    <w:rsid w:val="00B11096"/>
    <w:rsid w:val="00B12971"/>
    <w:rsid w:val="00B14551"/>
    <w:rsid w:val="00B158EC"/>
    <w:rsid w:val="00B15E12"/>
    <w:rsid w:val="00B16353"/>
    <w:rsid w:val="00B16478"/>
    <w:rsid w:val="00B167B0"/>
    <w:rsid w:val="00B16D71"/>
    <w:rsid w:val="00B171CA"/>
    <w:rsid w:val="00B17407"/>
    <w:rsid w:val="00B174A1"/>
    <w:rsid w:val="00B17D06"/>
    <w:rsid w:val="00B203A5"/>
    <w:rsid w:val="00B20D1B"/>
    <w:rsid w:val="00B21407"/>
    <w:rsid w:val="00B21CDA"/>
    <w:rsid w:val="00B21CDE"/>
    <w:rsid w:val="00B221CC"/>
    <w:rsid w:val="00B23388"/>
    <w:rsid w:val="00B24B16"/>
    <w:rsid w:val="00B24B7F"/>
    <w:rsid w:val="00B24BED"/>
    <w:rsid w:val="00B259C3"/>
    <w:rsid w:val="00B25E07"/>
    <w:rsid w:val="00B274BD"/>
    <w:rsid w:val="00B3054A"/>
    <w:rsid w:val="00B30560"/>
    <w:rsid w:val="00B307AB"/>
    <w:rsid w:val="00B30B56"/>
    <w:rsid w:val="00B30BB2"/>
    <w:rsid w:val="00B319A8"/>
    <w:rsid w:val="00B330B3"/>
    <w:rsid w:val="00B33B0F"/>
    <w:rsid w:val="00B34D24"/>
    <w:rsid w:val="00B36064"/>
    <w:rsid w:val="00B36587"/>
    <w:rsid w:val="00B36A2B"/>
    <w:rsid w:val="00B36B70"/>
    <w:rsid w:val="00B37C66"/>
    <w:rsid w:val="00B37C96"/>
    <w:rsid w:val="00B40BFD"/>
    <w:rsid w:val="00B40D0D"/>
    <w:rsid w:val="00B42D85"/>
    <w:rsid w:val="00B43CF4"/>
    <w:rsid w:val="00B444DA"/>
    <w:rsid w:val="00B45E55"/>
    <w:rsid w:val="00B4666A"/>
    <w:rsid w:val="00B466F4"/>
    <w:rsid w:val="00B46AD7"/>
    <w:rsid w:val="00B46F88"/>
    <w:rsid w:val="00B472BD"/>
    <w:rsid w:val="00B477AA"/>
    <w:rsid w:val="00B477AD"/>
    <w:rsid w:val="00B47E84"/>
    <w:rsid w:val="00B50C46"/>
    <w:rsid w:val="00B50D82"/>
    <w:rsid w:val="00B50F45"/>
    <w:rsid w:val="00B5103A"/>
    <w:rsid w:val="00B513D6"/>
    <w:rsid w:val="00B516BA"/>
    <w:rsid w:val="00B51B81"/>
    <w:rsid w:val="00B51C6C"/>
    <w:rsid w:val="00B52230"/>
    <w:rsid w:val="00B52617"/>
    <w:rsid w:val="00B53C5C"/>
    <w:rsid w:val="00B5431E"/>
    <w:rsid w:val="00B54A5B"/>
    <w:rsid w:val="00B54F82"/>
    <w:rsid w:val="00B554B0"/>
    <w:rsid w:val="00B556B7"/>
    <w:rsid w:val="00B55BAB"/>
    <w:rsid w:val="00B56118"/>
    <w:rsid w:val="00B57B34"/>
    <w:rsid w:val="00B60156"/>
    <w:rsid w:val="00B602EC"/>
    <w:rsid w:val="00B60B1A"/>
    <w:rsid w:val="00B60C57"/>
    <w:rsid w:val="00B60D71"/>
    <w:rsid w:val="00B60EE7"/>
    <w:rsid w:val="00B6117C"/>
    <w:rsid w:val="00B61266"/>
    <w:rsid w:val="00B61756"/>
    <w:rsid w:val="00B6191E"/>
    <w:rsid w:val="00B61AC6"/>
    <w:rsid w:val="00B61E63"/>
    <w:rsid w:val="00B61F42"/>
    <w:rsid w:val="00B62357"/>
    <w:rsid w:val="00B62605"/>
    <w:rsid w:val="00B62D6A"/>
    <w:rsid w:val="00B6303E"/>
    <w:rsid w:val="00B645E6"/>
    <w:rsid w:val="00B66342"/>
    <w:rsid w:val="00B66C74"/>
    <w:rsid w:val="00B672B9"/>
    <w:rsid w:val="00B677AE"/>
    <w:rsid w:val="00B67AB1"/>
    <w:rsid w:val="00B67D57"/>
    <w:rsid w:val="00B701ED"/>
    <w:rsid w:val="00B70818"/>
    <w:rsid w:val="00B709A4"/>
    <w:rsid w:val="00B711B9"/>
    <w:rsid w:val="00B71BAF"/>
    <w:rsid w:val="00B72F04"/>
    <w:rsid w:val="00B731EF"/>
    <w:rsid w:val="00B736A7"/>
    <w:rsid w:val="00B7378B"/>
    <w:rsid w:val="00B753D2"/>
    <w:rsid w:val="00B75400"/>
    <w:rsid w:val="00B755FD"/>
    <w:rsid w:val="00B75CBE"/>
    <w:rsid w:val="00B76757"/>
    <w:rsid w:val="00B76FD9"/>
    <w:rsid w:val="00B774CA"/>
    <w:rsid w:val="00B77E27"/>
    <w:rsid w:val="00B80F82"/>
    <w:rsid w:val="00B81020"/>
    <w:rsid w:val="00B81A42"/>
    <w:rsid w:val="00B81A8B"/>
    <w:rsid w:val="00B823E1"/>
    <w:rsid w:val="00B826A1"/>
    <w:rsid w:val="00B829DA"/>
    <w:rsid w:val="00B8342F"/>
    <w:rsid w:val="00B8382F"/>
    <w:rsid w:val="00B84730"/>
    <w:rsid w:val="00B85AAF"/>
    <w:rsid w:val="00B85F6B"/>
    <w:rsid w:val="00B8646E"/>
    <w:rsid w:val="00B87810"/>
    <w:rsid w:val="00B900F3"/>
    <w:rsid w:val="00B905FA"/>
    <w:rsid w:val="00B906E2"/>
    <w:rsid w:val="00B90763"/>
    <w:rsid w:val="00B91007"/>
    <w:rsid w:val="00B913BA"/>
    <w:rsid w:val="00B92521"/>
    <w:rsid w:val="00B92B58"/>
    <w:rsid w:val="00B92BA6"/>
    <w:rsid w:val="00B93E50"/>
    <w:rsid w:val="00B95445"/>
    <w:rsid w:val="00B97A27"/>
    <w:rsid w:val="00B97DAF"/>
    <w:rsid w:val="00BA0776"/>
    <w:rsid w:val="00BA09AE"/>
    <w:rsid w:val="00BA2744"/>
    <w:rsid w:val="00BA2E3D"/>
    <w:rsid w:val="00BA3234"/>
    <w:rsid w:val="00BA3CA2"/>
    <w:rsid w:val="00BA4147"/>
    <w:rsid w:val="00BA4C09"/>
    <w:rsid w:val="00BA580B"/>
    <w:rsid w:val="00BA5FE4"/>
    <w:rsid w:val="00BA7173"/>
    <w:rsid w:val="00BA7F10"/>
    <w:rsid w:val="00BB02F9"/>
    <w:rsid w:val="00BB044C"/>
    <w:rsid w:val="00BB1D0A"/>
    <w:rsid w:val="00BB2246"/>
    <w:rsid w:val="00BB2D36"/>
    <w:rsid w:val="00BB2DC3"/>
    <w:rsid w:val="00BB2E2C"/>
    <w:rsid w:val="00BB36FB"/>
    <w:rsid w:val="00BB444F"/>
    <w:rsid w:val="00BB4985"/>
    <w:rsid w:val="00BB67DF"/>
    <w:rsid w:val="00BB6B3D"/>
    <w:rsid w:val="00BB765C"/>
    <w:rsid w:val="00BB7E25"/>
    <w:rsid w:val="00BC0822"/>
    <w:rsid w:val="00BC2FC9"/>
    <w:rsid w:val="00BC3043"/>
    <w:rsid w:val="00BC33FD"/>
    <w:rsid w:val="00BC3720"/>
    <w:rsid w:val="00BC4C60"/>
    <w:rsid w:val="00BC51E2"/>
    <w:rsid w:val="00BC5A2E"/>
    <w:rsid w:val="00BC63B4"/>
    <w:rsid w:val="00BC71D6"/>
    <w:rsid w:val="00BC7A6E"/>
    <w:rsid w:val="00BD0414"/>
    <w:rsid w:val="00BD1E61"/>
    <w:rsid w:val="00BD207F"/>
    <w:rsid w:val="00BD292F"/>
    <w:rsid w:val="00BD33A0"/>
    <w:rsid w:val="00BD3AAF"/>
    <w:rsid w:val="00BD3D0B"/>
    <w:rsid w:val="00BD3F45"/>
    <w:rsid w:val="00BD451D"/>
    <w:rsid w:val="00BD4747"/>
    <w:rsid w:val="00BD59B9"/>
    <w:rsid w:val="00BD5FCF"/>
    <w:rsid w:val="00BD6F52"/>
    <w:rsid w:val="00BD72C7"/>
    <w:rsid w:val="00BD7839"/>
    <w:rsid w:val="00BE01DC"/>
    <w:rsid w:val="00BE1DE2"/>
    <w:rsid w:val="00BE2B82"/>
    <w:rsid w:val="00BE3ABB"/>
    <w:rsid w:val="00BE3B76"/>
    <w:rsid w:val="00BE3E29"/>
    <w:rsid w:val="00BE510D"/>
    <w:rsid w:val="00BE5F54"/>
    <w:rsid w:val="00BE7AB1"/>
    <w:rsid w:val="00BE7BC7"/>
    <w:rsid w:val="00BF00C5"/>
    <w:rsid w:val="00BF0138"/>
    <w:rsid w:val="00BF0762"/>
    <w:rsid w:val="00BF12AD"/>
    <w:rsid w:val="00BF13A4"/>
    <w:rsid w:val="00BF1AE0"/>
    <w:rsid w:val="00BF1B05"/>
    <w:rsid w:val="00BF2D92"/>
    <w:rsid w:val="00BF2E5A"/>
    <w:rsid w:val="00BF3C85"/>
    <w:rsid w:val="00BF3CA2"/>
    <w:rsid w:val="00BF3D83"/>
    <w:rsid w:val="00BF3E08"/>
    <w:rsid w:val="00BF5B0C"/>
    <w:rsid w:val="00C004E6"/>
    <w:rsid w:val="00C00FFB"/>
    <w:rsid w:val="00C012AD"/>
    <w:rsid w:val="00C01700"/>
    <w:rsid w:val="00C02731"/>
    <w:rsid w:val="00C03859"/>
    <w:rsid w:val="00C04D59"/>
    <w:rsid w:val="00C05151"/>
    <w:rsid w:val="00C05743"/>
    <w:rsid w:val="00C05E3E"/>
    <w:rsid w:val="00C06CD8"/>
    <w:rsid w:val="00C07DAE"/>
    <w:rsid w:val="00C101B7"/>
    <w:rsid w:val="00C10B0D"/>
    <w:rsid w:val="00C11DC7"/>
    <w:rsid w:val="00C11E9A"/>
    <w:rsid w:val="00C130E1"/>
    <w:rsid w:val="00C157BF"/>
    <w:rsid w:val="00C15A3F"/>
    <w:rsid w:val="00C15CAA"/>
    <w:rsid w:val="00C164E6"/>
    <w:rsid w:val="00C1742C"/>
    <w:rsid w:val="00C17509"/>
    <w:rsid w:val="00C20B68"/>
    <w:rsid w:val="00C20CC6"/>
    <w:rsid w:val="00C210B2"/>
    <w:rsid w:val="00C2297A"/>
    <w:rsid w:val="00C22B45"/>
    <w:rsid w:val="00C2329D"/>
    <w:rsid w:val="00C23B2B"/>
    <w:rsid w:val="00C23E6B"/>
    <w:rsid w:val="00C2412B"/>
    <w:rsid w:val="00C24F32"/>
    <w:rsid w:val="00C257F7"/>
    <w:rsid w:val="00C2734A"/>
    <w:rsid w:val="00C276B4"/>
    <w:rsid w:val="00C27DFE"/>
    <w:rsid w:val="00C3090C"/>
    <w:rsid w:val="00C30A36"/>
    <w:rsid w:val="00C30A6F"/>
    <w:rsid w:val="00C31086"/>
    <w:rsid w:val="00C317A5"/>
    <w:rsid w:val="00C31D70"/>
    <w:rsid w:val="00C31EA2"/>
    <w:rsid w:val="00C3241F"/>
    <w:rsid w:val="00C32685"/>
    <w:rsid w:val="00C336AA"/>
    <w:rsid w:val="00C3373B"/>
    <w:rsid w:val="00C33F1D"/>
    <w:rsid w:val="00C341E1"/>
    <w:rsid w:val="00C3455B"/>
    <w:rsid w:val="00C34652"/>
    <w:rsid w:val="00C36348"/>
    <w:rsid w:val="00C36C90"/>
    <w:rsid w:val="00C37259"/>
    <w:rsid w:val="00C372F9"/>
    <w:rsid w:val="00C41B3F"/>
    <w:rsid w:val="00C42853"/>
    <w:rsid w:val="00C4367F"/>
    <w:rsid w:val="00C44170"/>
    <w:rsid w:val="00C4432C"/>
    <w:rsid w:val="00C444BE"/>
    <w:rsid w:val="00C44E0A"/>
    <w:rsid w:val="00C45C06"/>
    <w:rsid w:val="00C45CFE"/>
    <w:rsid w:val="00C460F8"/>
    <w:rsid w:val="00C4687B"/>
    <w:rsid w:val="00C478E0"/>
    <w:rsid w:val="00C47964"/>
    <w:rsid w:val="00C50191"/>
    <w:rsid w:val="00C5126A"/>
    <w:rsid w:val="00C51CC4"/>
    <w:rsid w:val="00C51DCA"/>
    <w:rsid w:val="00C51E22"/>
    <w:rsid w:val="00C52483"/>
    <w:rsid w:val="00C53050"/>
    <w:rsid w:val="00C531F6"/>
    <w:rsid w:val="00C54DA5"/>
    <w:rsid w:val="00C559B0"/>
    <w:rsid w:val="00C568A2"/>
    <w:rsid w:val="00C56C2D"/>
    <w:rsid w:val="00C576CF"/>
    <w:rsid w:val="00C60F82"/>
    <w:rsid w:val="00C63881"/>
    <w:rsid w:val="00C63C2A"/>
    <w:rsid w:val="00C65E2D"/>
    <w:rsid w:val="00C663C7"/>
    <w:rsid w:val="00C672A4"/>
    <w:rsid w:val="00C70470"/>
    <w:rsid w:val="00C70F90"/>
    <w:rsid w:val="00C716CE"/>
    <w:rsid w:val="00C71DA4"/>
    <w:rsid w:val="00C72675"/>
    <w:rsid w:val="00C73E09"/>
    <w:rsid w:val="00C73F51"/>
    <w:rsid w:val="00C74717"/>
    <w:rsid w:val="00C7473D"/>
    <w:rsid w:val="00C75408"/>
    <w:rsid w:val="00C755D8"/>
    <w:rsid w:val="00C77B41"/>
    <w:rsid w:val="00C80481"/>
    <w:rsid w:val="00C810E7"/>
    <w:rsid w:val="00C81DB2"/>
    <w:rsid w:val="00C82875"/>
    <w:rsid w:val="00C828AD"/>
    <w:rsid w:val="00C82DC8"/>
    <w:rsid w:val="00C833CA"/>
    <w:rsid w:val="00C84D31"/>
    <w:rsid w:val="00C85D1F"/>
    <w:rsid w:val="00C867C9"/>
    <w:rsid w:val="00C903F6"/>
    <w:rsid w:val="00C90BE4"/>
    <w:rsid w:val="00C92885"/>
    <w:rsid w:val="00C932D6"/>
    <w:rsid w:val="00C9368F"/>
    <w:rsid w:val="00C9405F"/>
    <w:rsid w:val="00C943EE"/>
    <w:rsid w:val="00C95944"/>
    <w:rsid w:val="00C959D5"/>
    <w:rsid w:val="00C95EB6"/>
    <w:rsid w:val="00C96509"/>
    <w:rsid w:val="00C97B58"/>
    <w:rsid w:val="00C97C70"/>
    <w:rsid w:val="00CA05B5"/>
    <w:rsid w:val="00CA1683"/>
    <w:rsid w:val="00CA172B"/>
    <w:rsid w:val="00CA23BF"/>
    <w:rsid w:val="00CA2C8B"/>
    <w:rsid w:val="00CA3046"/>
    <w:rsid w:val="00CA3AAE"/>
    <w:rsid w:val="00CA5351"/>
    <w:rsid w:val="00CA62D1"/>
    <w:rsid w:val="00CA6475"/>
    <w:rsid w:val="00CA6CB5"/>
    <w:rsid w:val="00CA71AF"/>
    <w:rsid w:val="00CA7253"/>
    <w:rsid w:val="00CB07B0"/>
    <w:rsid w:val="00CB0D02"/>
    <w:rsid w:val="00CB0FCE"/>
    <w:rsid w:val="00CB116E"/>
    <w:rsid w:val="00CB23B1"/>
    <w:rsid w:val="00CB2E83"/>
    <w:rsid w:val="00CB4E95"/>
    <w:rsid w:val="00CB6E0E"/>
    <w:rsid w:val="00CB6FBF"/>
    <w:rsid w:val="00CB73EA"/>
    <w:rsid w:val="00CB78C4"/>
    <w:rsid w:val="00CC0191"/>
    <w:rsid w:val="00CC032A"/>
    <w:rsid w:val="00CC1C14"/>
    <w:rsid w:val="00CC1C7D"/>
    <w:rsid w:val="00CC320C"/>
    <w:rsid w:val="00CC3C0C"/>
    <w:rsid w:val="00CC5C40"/>
    <w:rsid w:val="00CC5E86"/>
    <w:rsid w:val="00CC63A9"/>
    <w:rsid w:val="00CC6BA3"/>
    <w:rsid w:val="00CC6C80"/>
    <w:rsid w:val="00CC6DF0"/>
    <w:rsid w:val="00CC77C9"/>
    <w:rsid w:val="00CD0BAF"/>
    <w:rsid w:val="00CD171D"/>
    <w:rsid w:val="00CD1DD8"/>
    <w:rsid w:val="00CD22DE"/>
    <w:rsid w:val="00CD24F0"/>
    <w:rsid w:val="00CD2524"/>
    <w:rsid w:val="00CD38F4"/>
    <w:rsid w:val="00CD3B11"/>
    <w:rsid w:val="00CD3F40"/>
    <w:rsid w:val="00CD4B95"/>
    <w:rsid w:val="00CD58B8"/>
    <w:rsid w:val="00CD77A2"/>
    <w:rsid w:val="00CD7815"/>
    <w:rsid w:val="00CD7D00"/>
    <w:rsid w:val="00CD7D8F"/>
    <w:rsid w:val="00CE0B8C"/>
    <w:rsid w:val="00CE1294"/>
    <w:rsid w:val="00CE147F"/>
    <w:rsid w:val="00CE14BF"/>
    <w:rsid w:val="00CE160C"/>
    <w:rsid w:val="00CE2877"/>
    <w:rsid w:val="00CE2ACB"/>
    <w:rsid w:val="00CE300C"/>
    <w:rsid w:val="00CE30AC"/>
    <w:rsid w:val="00CE3321"/>
    <w:rsid w:val="00CE353F"/>
    <w:rsid w:val="00CE394B"/>
    <w:rsid w:val="00CE5756"/>
    <w:rsid w:val="00CE5AC4"/>
    <w:rsid w:val="00CE675D"/>
    <w:rsid w:val="00CE6DC2"/>
    <w:rsid w:val="00CE7058"/>
    <w:rsid w:val="00CE76F9"/>
    <w:rsid w:val="00CF14C1"/>
    <w:rsid w:val="00CF25EB"/>
    <w:rsid w:val="00CF273D"/>
    <w:rsid w:val="00CF2DD7"/>
    <w:rsid w:val="00CF3AB5"/>
    <w:rsid w:val="00CF4103"/>
    <w:rsid w:val="00CF4D85"/>
    <w:rsid w:val="00CF5CCA"/>
    <w:rsid w:val="00CF5CE8"/>
    <w:rsid w:val="00CF70B1"/>
    <w:rsid w:val="00D0047D"/>
    <w:rsid w:val="00D00549"/>
    <w:rsid w:val="00D00B5E"/>
    <w:rsid w:val="00D012E3"/>
    <w:rsid w:val="00D01315"/>
    <w:rsid w:val="00D01A40"/>
    <w:rsid w:val="00D0278A"/>
    <w:rsid w:val="00D036ED"/>
    <w:rsid w:val="00D037B1"/>
    <w:rsid w:val="00D03A72"/>
    <w:rsid w:val="00D04678"/>
    <w:rsid w:val="00D04CF6"/>
    <w:rsid w:val="00D04E5F"/>
    <w:rsid w:val="00D064C8"/>
    <w:rsid w:val="00D07DFA"/>
    <w:rsid w:val="00D101D8"/>
    <w:rsid w:val="00D10523"/>
    <w:rsid w:val="00D107C5"/>
    <w:rsid w:val="00D1095F"/>
    <w:rsid w:val="00D119C0"/>
    <w:rsid w:val="00D11C89"/>
    <w:rsid w:val="00D11F40"/>
    <w:rsid w:val="00D11F7C"/>
    <w:rsid w:val="00D11FB3"/>
    <w:rsid w:val="00D13331"/>
    <w:rsid w:val="00D1358C"/>
    <w:rsid w:val="00D13A7E"/>
    <w:rsid w:val="00D140B9"/>
    <w:rsid w:val="00D14945"/>
    <w:rsid w:val="00D14E55"/>
    <w:rsid w:val="00D14F6D"/>
    <w:rsid w:val="00D15075"/>
    <w:rsid w:val="00D15D7B"/>
    <w:rsid w:val="00D16B54"/>
    <w:rsid w:val="00D16DB2"/>
    <w:rsid w:val="00D16E40"/>
    <w:rsid w:val="00D17AA1"/>
    <w:rsid w:val="00D17E2F"/>
    <w:rsid w:val="00D17EF0"/>
    <w:rsid w:val="00D207D5"/>
    <w:rsid w:val="00D20C08"/>
    <w:rsid w:val="00D20DE8"/>
    <w:rsid w:val="00D2244D"/>
    <w:rsid w:val="00D234A0"/>
    <w:rsid w:val="00D23A3E"/>
    <w:rsid w:val="00D240B7"/>
    <w:rsid w:val="00D252FA"/>
    <w:rsid w:val="00D25C19"/>
    <w:rsid w:val="00D26DFC"/>
    <w:rsid w:val="00D26ED4"/>
    <w:rsid w:val="00D27428"/>
    <w:rsid w:val="00D27892"/>
    <w:rsid w:val="00D311EE"/>
    <w:rsid w:val="00D32638"/>
    <w:rsid w:val="00D3501F"/>
    <w:rsid w:val="00D35B49"/>
    <w:rsid w:val="00D35CBA"/>
    <w:rsid w:val="00D35CD8"/>
    <w:rsid w:val="00D35E31"/>
    <w:rsid w:val="00D35F92"/>
    <w:rsid w:val="00D36808"/>
    <w:rsid w:val="00D36883"/>
    <w:rsid w:val="00D369CF"/>
    <w:rsid w:val="00D36AD4"/>
    <w:rsid w:val="00D375CC"/>
    <w:rsid w:val="00D37EA0"/>
    <w:rsid w:val="00D40061"/>
    <w:rsid w:val="00D40E9A"/>
    <w:rsid w:val="00D4356C"/>
    <w:rsid w:val="00D4418D"/>
    <w:rsid w:val="00D44B88"/>
    <w:rsid w:val="00D44BA1"/>
    <w:rsid w:val="00D45966"/>
    <w:rsid w:val="00D468D6"/>
    <w:rsid w:val="00D46E7B"/>
    <w:rsid w:val="00D470C1"/>
    <w:rsid w:val="00D5039F"/>
    <w:rsid w:val="00D50692"/>
    <w:rsid w:val="00D51396"/>
    <w:rsid w:val="00D51B98"/>
    <w:rsid w:val="00D5372B"/>
    <w:rsid w:val="00D53B81"/>
    <w:rsid w:val="00D54032"/>
    <w:rsid w:val="00D551A5"/>
    <w:rsid w:val="00D5683E"/>
    <w:rsid w:val="00D57D88"/>
    <w:rsid w:val="00D6057D"/>
    <w:rsid w:val="00D610F4"/>
    <w:rsid w:val="00D6146F"/>
    <w:rsid w:val="00D614D3"/>
    <w:rsid w:val="00D619D4"/>
    <w:rsid w:val="00D62577"/>
    <w:rsid w:val="00D62B08"/>
    <w:rsid w:val="00D634BE"/>
    <w:rsid w:val="00D66DA7"/>
    <w:rsid w:val="00D7045E"/>
    <w:rsid w:val="00D7099F"/>
    <w:rsid w:val="00D710CB"/>
    <w:rsid w:val="00D73002"/>
    <w:rsid w:val="00D73FAA"/>
    <w:rsid w:val="00D751B5"/>
    <w:rsid w:val="00D75A71"/>
    <w:rsid w:val="00D75EE6"/>
    <w:rsid w:val="00D760ED"/>
    <w:rsid w:val="00D76955"/>
    <w:rsid w:val="00D778F6"/>
    <w:rsid w:val="00D77A30"/>
    <w:rsid w:val="00D80DD2"/>
    <w:rsid w:val="00D816AE"/>
    <w:rsid w:val="00D81C2E"/>
    <w:rsid w:val="00D81D20"/>
    <w:rsid w:val="00D81DED"/>
    <w:rsid w:val="00D822DC"/>
    <w:rsid w:val="00D850DC"/>
    <w:rsid w:val="00D853B8"/>
    <w:rsid w:val="00D859E4"/>
    <w:rsid w:val="00D867FC"/>
    <w:rsid w:val="00D90D45"/>
    <w:rsid w:val="00D92F3D"/>
    <w:rsid w:val="00D93050"/>
    <w:rsid w:val="00D94359"/>
    <w:rsid w:val="00D95184"/>
    <w:rsid w:val="00D959B4"/>
    <w:rsid w:val="00D96B42"/>
    <w:rsid w:val="00D97449"/>
    <w:rsid w:val="00D97899"/>
    <w:rsid w:val="00DA1554"/>
    <w:rsid w:val="00DA1A7B"/>
    <w:rsid w:val="00DA20BE"/>
    <w:rsid w:val="00DA2845"/>
    <w:rsid w:val="00DA2999"/>
    <w:rsid w:val="00DA38FD"/>
    <w:rsid w:val="00DA4D4F"/>
    <w:rsid w:val="00DA4ED1"/>
    <w:rsid w:val="00DA5ED4"/>
    <w:rsid w:val="00DA6577"/>
    <w:rsid w:val="00DA6603"/>
    <w:rsid w:val="00DA6F4C"/>
    <w:rsid w:val="00DA7B43"/>
    <w:rsid w:val="00DA7FCD"/>
    <w:rsid w:val="00DB17CD"/>
    <w:rsid w:val="00DB1FF8"/>
    <w:rsid w:val="00DB2078"/>
    <w:rsid w:val="00DB2825"/>
    <w:rsid w:val="00DB31A5"/>
    <w:rsid w:val="00DB3A0D"/>
    <w:rsid w:val="00DB3F47"/>
    <w:rsid w:val="00DB46DA"/>
    <w:rsid w:val="00DB4AA4"/>
    <w:rsid w:val="00DB533B"/>
    <w:rsid w:val="00DB59DD"/>
    <w:rsid w:val="00DB67D6"/>
    <w:rsid w:val="00DB68DF"/>
    <w:rsid w:val="00DB69BC"/>
    <w:rsid w:val="00DB7182"/>
    <w:rsid w:val="00DB7301"/>
    <w:rsid w:val="00DB7A93"/>
    <w:rsid w:val="00DB7CDF"/>
    <w:rsid w:val="00DB7D30"/>
    <w:rsid w:val="00DC09FD"/>
    <w:rsid w:val="00DC0B87"/>
    <w:rsid w:val="00DC12B8"/>
    <w:rsid w:val="00DC2035"/>
    <w:rsid w:val="00DC212B"/>
    <w:rsid w:val="00DC27CA"/>
    <w:rsid w:val="00DC289D"/>
    <w:rsid w:val="00DC2BBC"/>
    <w:rsid w:val="00DC3CE9"/>
    <w:rsid w:val="00DC3E7F"/>
    <w:rsid w:val="00DC43E4"/>
    <w:rsid w:val="00DC4DDD"/>
    <w:rsid w:val="00DC5485"/>
    <w:rsid w:val="00DC5CB0"/>
    <w:rsid w:val="00DC5DC3"/>
    <w:rsid w:val="00DC5F2A"/>
    <w:rsid w:val="00DC6A90"/>
    <w:rsid w:val="00DC6E79"/>
    <w:rsid w:val="00DC6E98"/>
    <w:rsid w:val="00DC75FF"/>
    <w:rsid w:val="00DC7B11"/>
    <w:rsid w:val="00DD0C0A"/>
    <w:rsid w:val="00DD12B3"/>
    <w:rsid w:val="00DD22A4"/>
    <w:rsid w:val="00DD26C6"/>
    <w:rsid w:val="00DD2A47"/>
    <w:rsid w:val="00DD2AE5"/>
    <w:rsid w:val="00DD32BE"/>
    <w:rsid w:val="00DD35A5"/>
    <w:rsid w:val="00DD35BD"/>
    <w:rsid w:val="00DD3820"/>
    <w:rsid w:val="00DD3909"/>
    <w:rsid w:val="00DD3AA0"/>
    <w:rsid w:val="00DD5BDD"/>
    <w:rsid w:val="00DD62D6"/>
    <w:rsid w:val="00DD681B"/>
    <w:rsid w:val="00DD69D5"/>
    <w:rsid w:val="00DD7D8B"/>
    <w:rsid w:val="00DE134F"/>
    <w:rsid w:val="00DE19E8"/>
    <w:rsid w:val="00DE1DF6"/>
    <w:rsid w:val="00DE1EF5"/>
    <w:rsid w:val="00DE288C"/>
    <w:rsid w:val="00DE2BA8"/>
    <w:rsid w:val="00DE3F2A"/>
    <w:rsid w:val="00DE493A"/>
    <w:rsid w:val="00DE52C0"/>
    <w:rsid w:val="00DE591A"/>
    <w:rsid w:val="00DE5C51"/>
    <w:rsid w:val="00DF22B1"/>
    <w:rsid w:val="00DF25C8"/>
    <w:rsid w:val="00DF275C"/>
    <w:rsid w:val="00DF2D04"/>
    <w:rsid w:val="00DF2DD2"/>
    <w:rsid w:val="00DF52E0"/>
    <w:rsid w:val="00DF53A5"/>
    <w:rsid w:val="00DF5D86"/>
    <w:rsid w:val="00DF64E9"/>
    <w:rsid w:val="00DF7DE4"/>
    <w:rsid w:val="00DF7E78"/>
    <w:rsid w:val="00DF7EBB"/>
    <w:rsid w:val="00E02AA5"/>
    <w:rsid w:val="00E034B4"/>
    <w:rsid w:val="00E03F69"/>
    <w:rsid w:val="00E053EC"/>
    <w:rsid w:val="00E05C8B"/>
    <w:rsid w:val="00E063A7"/>
    <w:rsid w:val="00E0738F"/>
    <w:rsid w:val="00E077C9"/>
    <w:rsid w:val="00E07ED9"/>
    <w:rsid w:val="00E11931"/>
    <w:rsid w:val="00E11A0D"/>
    <w:rsid w:val="00E11C40"/>
    <w:rsid w:val="00E11C71"/>
    <w:rsid w:val="00E11DDD"/>
    <w:rsid w:val="00E11F05"/>
    <w:rsid w:val="00E12F95"/>
    <w:rsid w:val="00E139EA"/>
    <w:rsid w:val="00E13A70"/>
    <w:rsid w:val="00E1431C"/>
    <w:rsid w:val="00E152F8"/>
    <w:rsid w:val="00E154B4"/>
    <w:rsid w:val="00E15ED3"/>
    <w:rsid w:val="00E1602F"/>
    <w:rsid w:val="00E16033"/>
    <w:rsid w:val="00E16DFA"/>
    <w:rsid w:val="00E21136"/>
    <w:rsid w:val="00E21790"/>
    <w:rsid w:val="00E21F64"/>
    <w:rsid w:val="00E227C3"/>
    <w:rsid w:val="00E22CEA"/>
    <w:rsid w:val="00E23D1C"/>
    <w:rsid w:val="00E24286"/>
    <w:rsid w:val="00E244F7"/>
    <w:rsid w:val="00E248C7"/>
    <w:rsid w:val="00E24907"/>
    <w:rsid w:val="00E24E84"/>
    <w:rsid w:val="00E25817"/>
    <w:rsid w:val="00E263A5"/>
    <w:rsid w:val="00E26418"/>
    <w:rsid w:val="00E267B6"/>
    <w:rsid w:val="00E26EE0"/>
    <w:rsid w:val="00E30295"/>
    <w:rsid w:val="00E30FFE"/>
    <w:rsid w:val="00E31E41"/>
    <w:rsid w:val="00E3248A"/>
    <w:rsid w:val="00E3314D"/>
    <w:rsid w:val="00E33CE8"/>
    <w:rsid w:val="00E343BD"/>
    <w:rsid w:val="00E34A8A"/>
    <w:rsid w:val="00E35C3B"/>
    <w:rsid w:val="00E3611B"/>
    <w:rsid w:val="00E36E9D"/>
    <w:rsid w:val="00E3750D"/>
    <w:rsid w:val="00E3757A"/>
    <w:rsid w:val="00E378DC"/>
    <w:rsid w:val="00E37DCA"/>
    <w:rsid w:val="00E43099"/>
    <w:rsid w:val="00E43428"/>
    <w:rsid w:val="00E4389D"/>
    <w:rsid w:val="00E43C1C"/>
    <w:rsid w:val="00E43FE7"/>
    <w:rsid w:val="00E45436"/>
    <w:rsid w:val="00E45AEB"/>
    <w:rsid w:val="00E45CC4"/>
    <w:rsid w:val="00E469A6"/>
    <w:rsid w:val="00E47214"/>
    <w:rsid w:val="00E5079E"/>
    <w:rsid w:val="00E51660"/>
    <w:rsid w:val="00E51881"/>
    <w:rsid w:val="00E51F05"/>
    <w:rsid w:val="00E52DEB"/>
    <w:rsid w:val="00E53ADA"/>
    <w:rsid w:val="00E543E2"/>
    <w:rsid w:val="00E5716A"/>
    <w:rsid w:val="00E574E5"/>
    <w:rsid w:val="00E5762A"/>
    <w:rsid w:val="00E57637"/>
    <w:rsid w:val="00E57B85"/>
    <w:rsid w:val="00E57C96"/>
    <w:rsid w:val="00E57DCD"/>
    <w:rsid w:val="00E57F08"/>
    <w:rsid w:val="00E603CE"/>
    <w:rsid w:val="00E603F9"/>
    <w:rsid w:val="00E60CF0"/>
    <w:rsid w:val="00E60D6B"/>
    <w:rsid w:val="00E60F82"/>
    <w:rsid w:val="00E61128"/>
    <w:rsid w:val="00E61D2C"/>
    <w:rsid w:val="00E62AE2"/>
    <w:rsid w:val="00E63FD0"/>
    <w:rsid w:val="00E6409C"/>
    <w:rsid w:val="00E64438"/>
    <w:rsid w:val="00E64624"/>
    <w:rsid w:val="00E6505D"/>
    <w:rsid w:val="00E6513A"/>
    <w:rsid w:val="00E65F4B"/>
    <w:rsid w:val="00E66200"/>
    <w:rsid w:val="00E66415"/>
    <w:rsid w:val="00E665E7"/>
    <w:rsid w:val="00E66BB6"/>
    <w:rsid w:val="00E66D74"/>
    <w:rsid w:val="00E6725F"/>
    <w:rsid w:val="00E67811"/>
    <w:rsid w:val="00E678F2"/>
    <w:rsid w:val="00E67D06"/>
    <w:rsid w:val="00E70251"/>
    <w:rsid w:val="00E70942"/>
    <w:rsid w:val="00E710A4"/>
    <w:rsid w:val="00E714F7"/>
    <w:rsid w:val="00E717A1"/>
    <w:rsid w:val="00E72CD2"/>
    <w:rsid w:val="00E730A8"/>
    <w:rsid w:val="00E73593"/>
    <w:rsid w:val="00E73B52"/>
    <w:rsid w:val="00E73D51"/>
    <w:rsid w:val="00E74D26"/>
    <w:rsid w:val="00E752F8"/>
    <w:rsid w:val="00E75D90"/>
    <w:rsid w:val="00E76396"/>
    <w:rsid w:val="00E7740E"/>
    <w:rsid w:val="00E774BD"/>
    <w:rsid w:val="00E8039B"/>
    <w:rsid w:val="00E803D3"/>
    <w:rsid w:val="00E8064C"/>
    <w:rsid w:val="00E8175A"/>
    <w:rsid w:val="00E818B3"/>
    <w:rsid w:val="00E81AB2"/>
    <w:rsid w:val="00E81FCA"/>
    <w:rsid w:val="00E826BD"/>
    <w:rsid w:val="00E826FD"/>
    <w:rsid w:val="00E82D48"/>
    <w:rsid w:val="00E84003"/>
    <w:rsid w:val="00E84333"/>
    <w:rsid w:val="00E84B5D"/>
    <w:rsid w:val="00E85EFA"/>
    <w:rsid w:val="00E85FFF"/>
    <w:rsid w:val="00E86AFC"/>
    <w:rsid w:val="00E87521"/>
    <w:rsid w:val="00E87F2A"/>
    <w:rsid w:val="00E92275"/>
    <w:rsid w:val="00E924E7"/>
    <w:rsid w:val="00E93387"/>
    <w:rsid w:val="00E94A24"/>
    <w:rsid w:val="00E94B6E"/>
    <w:rsid w:val="00E94C6D"/>
    <w:rsid w:val="00E94D78"/>
    <w:rsid w:val="00E9520E"/>
    <w:rsid w:val="00E95727"/>
    <w:rsid w:val="00E95C3C"/>
    <w:rsid w:val="00E967BE"/>
    <w:rsid w:val="00E96DC1"/>
    <w:rsid w:val="00E972AD"/>
    <w:rsid w:val="00E9756F"/>
    <w:rsid w:val="00EA04CC"/>
    <w:rsid w:val="00EA05F5"/>
    <w:rsid w:val="00EA07E7"/>
    <w:rsid w:val="00EA18AA"/>
    <w:rsid w:val="00EA1E33"/>
    <w:rsid w:val="00EA201F"/>
    <w:rsid w:val="00EA2F43"/>
    <w:rsid w:val="00EA39CF"/>
    <w:rsid w:val="00EA461F"/>
    <w:rsid w:val="00EA46F8"/>
    <w:rsid w:val="00EA490D"/>
    <w:rsid w:val="00EA4A93"/>
    <w:rsid w:val="00EA5894"/>
    <w:rsid w:val="00EA5FEF"/>
    <w:rsid w:val="00EB00CB"/>
    <w:rsid w:val="00EB07D6"/>
    <w:rsid w:val="00EB1606"/>
    <w:rsid w:val="00EB1D55"/>
    <w:rsid w:val="00EB2505"/>
    <w:rsid w:val="00EB2B0C"/>
    <w:rsid w:val="00EB32A0"/>
    <w:rsid w:val="00EB38BC"/>
    <w:rsid w:val="00EB599A"/>
    <w:rsid w:val="00EB5BC0"/>
    <w:rsid w:val="00EB5E4B"/>
    <w:rsid w:val="00EB633D"/>
    <w:rsid w:val="00EB7098"/>
    <w:rsid w:val="00EC00FE"/>
    <w:rsid w:val="00EC0AB5"/>
    <w:rsid w:val="00EC0E98"/>
    <w:rsid w:val="00EC1585"/>
    <w:rsid w:val="00EC1D0D"/>
    <w:rsid w:val="00EC21E6"/>
    <w:rsid w:val="00EC2321"/>
    <w:rsid w:val="00EC23F8"/>
    <w:rsid w:val="00EC2511"/>
    <w:rsid w:val="00EC2F3D"/>
    <w:rsid w:val="00EC34CF"/>
    <w:rsid w:val="00EC3E66"/>
    <w:rsid w:val="00EC4B54"/>
    <w:rsid w:val="00EC5475"/>
    <w:rsid w:val="00EC5EEF"/>
    <w:rsid w:val="00EC638A"/>
    <w:rsid w:val="00EC6492"/>
    <w:rsid w:val="00EC6785"/>
    <w:rsid w:val="00EC690A"/>
    <w:rsid w:val="00EC7C23"/>
    <w:rsid w:val="00ED0BB4"/>
    <w:rsid w:val="00ED0CD9"/>
    <w:rsid w:val="00ED183E"/>
    <w:rsid w:val="00ED2598"/>
    <w:rsid w:val="00ED296C"/>
    <w:rsid w:val="00ED31CC"/>
    <w:rsid w:val="00ED4465"/>
    <w:rsid w:val="00ED4876"/>
    <w:rsid w:val="00ED4F5D"/>
    <w:rsid w:val="00ED55E5"/>
    <w:rsid w:val="00ED5EBC"/>
    <w:rsid w:val="00ED5FFC"/>
    <w:rsid w:val="00ED6418"/>
    <w:rsid w:val="00ED64D3"/>
    <w:rsid w:val="00ED681A"/>
    <w:rsid w:val="00ED6B8A"/>
    <w:rsid w:val="00ED7FA0"/>
    <w:rsid w:val="00EE00BF"/>
    <w:rsid w:val="00EE1316"/>
    <w:rsid w:val="00EE2747"/>
    <w:rsid w:val="00EE2F64"/>
    <w:rsid w:val="00EE347C"/>
    <w:rsid w:val="00EE3769"/>
    <w:rsid w:val="00EE37BA"/>
    <w:rsid w:val="00EE3E01"/>
    <w:rsid w:val="00EE3E69"/>
    <w:rsid w:val="00EE4423"/>
    <w:rsid w:val="00EE493F"/>
    <w:rsid w:val="00EE4BE6"/>
    <w:rsid w:val="00EE4C5C"/>
    <w:rsid w:val="00EE52AE"/>
    <w:rsid w:val="00EE59C0"/>
    <w:rsid w:val="00EE6F9A"/>
    <w:rsid w:val="00EE7C51"/>
    <w:rsid w:val="00EF186E"/>
    <w:rsid w:val="00EF2E87"/>
    <w:rsid w:val="00EF3182"/>
    <w:rsid w:val="00EF346A"/>
    <w:rsid w:val="00EF4013"/>
    <w:rsid w:val="00EF5DC9"/>
    <w:rsid w:val="00EF6BCE"/>
    <w:rsid w:val="00EF6F58"/>
    <w:rsid w:val="00EF7010"/>
    <w:rsid w:val="00EF7639"/>
    <w:rsid w:val="00F017BF"/>
    <w:rsid w:val="00F01E48"/>
    <w:rsid w:val="00F028EF"/>
    <w:rsid w:val="00F0306B"/>
    <w:rsid w:val="00F03843"/>
    <w:rsid w:val="00F03C95"/>
    <w:rsid w:val="00F042DC"/>
    <w:rsid w:val="00F04382"/>
    <w:rsid w:val="00F046B4"/>
    <w:rsid w:val="00F047B0"/>
    <w:rsid w:val="00F048FA"/>
    <w:rsid w:val="00F04EC9"/>
    <w:rsid w:val="00F04EF9"/>
    <w:rsid w:val="00F05A8F"/>
    <w:rsid w:val="00F05D18"/>
    <w:rsid w:val="00F05E06"/>
    <w:rsid w:val="00F07605"/>
    <w:rsid w:val="00F07725"/>
    <w:rsid w:val="00F105B7"/>
    <w:rsid w:val="00F10B13"/>
    <w:rsid w:val="00F11FEB"/>
    <w:rsid w:val="00F12487"/>
    <w:rsid w:val="00F12890"/>
    <w:rsid w:val="00F12CC8"/>
    <w:rsid w:val="00F13283"/>
    <w:rsid w:val="00F13315"/>
    <w:rsid w:val="00F141CD"/>
    <w:rsid w:val="00F15245"/>
    <w:rsid w:val="00F16642"/>
    <w:rsid w:val="00F16A77"/>
    <w:rsid w:val="00F1775D"/>
    <w:rsid w:val="00F177C3"/>
    <w:rsid w:val="00F202A3"/>
    <w:rsid w:val="00F20F0E"/>
    <w:rsid w:val="00F21EB2"/>
    <w:rsid w:val="00F2269D"/>
    <w:rsid w:val="00F2269E"/>
    <w:rsid w:val="00F235D9"/>
    <w:rsid w:val="00F24140"/>
    <w:rsid w:val="00F24304"/>
    <w:rsid w:val="00F26432"/>
    <w:rsid w:val="00F26A3E"/>
    <w:rsid w:val="00F26AEB"/>
    <w:rsid w:val="00F275C0"/>
    <w:rsid w:val="00F27776"/>
    <w:rsid w:val="00F27ABF"/>
    <w:rsid w:val="00F30C7A"/>
    <w:rsid w:val="00F30CA9"/>
    <w:rsid w:val="00F31701"/>
    <w:rsid w:val="00F3219C"/>
    <w:rsid w:val="00F333C1"/>
    <w:rsid w:val="00F33EA6"/>
    <w:rsid w:val="00F341D3"/>
    <w:rsid w:val="00F34837"/>
    <w:rsid w:val="00F351D3"/>
    <w:rsid w:val="00F35BD7"/>
    <w:rsid w:val="00F36827"/>
    <w:rsid w:val="00F368C6"/>
    <w:rsid w:val="00F37225"/>
    <w:rsid w:val="00F3722D"/>
    <w:rsid w:val="00F37669"/>
    <w:rsid w:val="00F4047B"/>
    <w:rsid w:val="00F4061E"/>
    <w:rsid w:val="00F4065E"/>
    <w:rsid w:val="00F41512"/>
    <w:rsid w:val="00F421B2"/>
    <w:rsid w:val="00F428DD"/>
    <w:rsid w:val="00F42BD7"/>
    <w:rsid w:val="00F43A57"/>
    <w:rsid w:val="00F43E3B"/>
    <w:rsid w:val="00F448C0"/>
    <w:rsid w:val="00F45CAA"/>
    <w:rsid w:val="00F46728"/>
    <w:rsid w:val="00F46F9A"/>
    <w:rsid w:val="00F474D0"/>
    <w:rsid w:val="00F47608"/>
    <w:rsid w:val="00F47EA1"/>
    <w:rsid w:val="00F5023B"/>
    <w:rsid w:val="00F50991"/>
    <w:rsid w:val="00F513BA"/>
    <w:rsid w:val="00F526C3"/>
    <w:rsid w:val="00F54024"/>
    <w:rsid w:val="00F54099"/>
    <w:rsid w:val="00F5441E"/>
    <w:rsid w:val="00F55E40"/>
    <w:rsid w:val="00F56780"/>
    <w:rsid w:val="00F572A3"/>
    <w:rsid w:val="00F57A25"/>
    <w:rsid w:val="00F612A5"/>
    <w:rsid w:val="00F61786"/>
    <w:rsid w:val="00F62A5E"/>
    <w:rsid w:val="00F62FCF"/>
    <w:rsid w:val="00F63B9F"/>
    <w:rsid w:val="00F644AE"/>
    <w:rsid w:val="00F66009"/>
    <w:rsid w:val="00F6630C"/>
    <w:rsid w:val="00F6658B"/>
    <w:rsid w:val="00F66F6F"/>
    <w:rsid w:val="00F67A46"/>
    <w:rsid w:val="00F70064"/>
    <w:rsid w:val="00F703A5"/>
    <w:rsid w:val="00F7251A"/>
    <w:rsid w:val="00F731DC"/>
    <w:rsid w:val="00F74294"/>
    <w:rsid w:val="00F74D18"/>
    <w:rsid w:val="00F750C2"/>
    <w:rsid w:val="00F759C2"/>
    <w:rsid w:val="00F7700F"/>
    <w:rsid w:val="00F775CD"/>
    <w:rsid w:val="00F778EF"/>
    <w:rsid w:val="00F77A52"/>
    <w:rsid w:val="00F77DCB"/>
    <w:rsid w:val="00F77E88"/>
    <w:rsid w:val="00F80511"/>
    <w:rsid w:val="00F82CAC"/>
    <w:rsid w:val="00F832F2"/>
    <w:rsid w:val="00F83885"/>
    <w:rsid w:val="00F83B77"/>
    <w:rsid w:val="00F8410F"/>
    <w:rsid w:val="00F8576D"/>
    <w:rsid w:val="00F85DBD"/>
    <w:rsid w:val="00F8653C"/>
    <w:rsid w:val="00F86F8C"/>
    <w:rsid w:val="00F86F8F"/>
    <w:rsid w:val="00F87228"/>
    <w:rsid w:val="00F90533"/>
    <w:rsid w:val="00F906A5"/>
    <w:rsid w:val="00F914BD"/>
    <w:rsid w:val="00F91E2A"/>
    <w:rsid w:val="00F91F99"/>
    <w:rsid w:val="00F93119"/>
    <w:rsid w:val="00F9316D"/>
    <w:rsid w:val="00F932F7"/>
    <w:rsid w:val="00F9366B"/>
    <w:rsid w:val="00F93DB7"/>
    <w:rsid w:val="00F949CE"/>
    <w:rsid w:val="00F94C45"/>
    <w:rsid w:val="00F9501D"/>
    <w:rsid w:val="00F952DC"/>
    <w:rsid w:val="00F95A0C"/>
    <w:rsid w:val="00F95B40"/>
    <w:rsid w:val="00FA12F6"/>
    <w:rsid w:val="00FA1391"/>
    <w:rsid w:val="00FA1D17"/>
    <w:rsid w:val="00FA2205"/>
    <w:rsid w:val="00FA23D4"/>
    <w:rsid w:val="00FA240B"/>
    <w:rsid w:val="00FA28E2"/>
    <w:rsid w:val="00FA299C"/>
    <w:rsid w:val="00FA3847"/>
    <w:rsid w:val="00FA3BBE"/>
    <w:rsid w:val="00FA4201"/>
    <w:rsid w:val="00FA54B7"/>
    <w:rsid w:val="00FA56DC"/>
    <w:rsid w:val="00FA615C"/>
    <w:rsid w:val="00FA68A7"/>
    <w:rsid w:val="00FA7083"/>
    <w:rsid w:val="00FA79A0"/>
    <w:rsid w:val="00FA7E72"/>
    <w:rsid w:val="00FB02ED"/>
    <w:rsid w:val="00FB0535"/>
    <w:rsid w:val="00FB1ABC"/>
    <w:rsid w:val="00FB1D09"/>
    <w:rsid w:val="00FB20AE"/>
    <w:rsid w:val="00FB3EEE"/>
    <w:rsid w:val="00FB5E44"/>
    <w:rsid w:val="00FB6079"/>
    <w:rsid w:val="00FB637C"/>
    <w:rsid w:val="00FB63CA"/>
    <w:rsid w:val="00FB72D6"/>
    <w:rsid w:val="00FB76F9"/>
    <w:rsid w:val="00FB79D2"/>
    <w:rsid w:val="00FB7FCC"/>
    <w:rsid w:val="00FC062F"/>
    <w:rsid w:val="00FC0831"/>
    <w:rsid w:val="00FC0BC9"/>
    <w:rsid w:val="00FC0EE0"/>
    <w:rsid w:val="00FC0F07"/>
    <w:rsid w:val="00FC0FF8"/>
    <w:rsid w:val="00FC109E"/>
    <w:rsid w:val="00FC123D"/>
    <w:rsid w:val="00FC14E9"/>
    <w:rsid w:val="00FC1E35"/>
    <w:rsid w:val="00FC20EC"/>
    <w:rsid w:val="00FC2506"/>
    <w:rsid w:val="00FC2AF9"/>
    <w:rsid w:val="00FC36D0"/>
    <w:rsid w:val="00FC3894"/>
    <w:rsid w:val="00FC3EA6"/>
    <w:rsid w:val="00FC46DF"/>
    <w:rsid w:val="00FC5847"/>
    <w:rsid w:val="00FC646D"/>
    <w:rsid w:val="00FC6BDA"/>
    <w:rsid w:val="00FC709C"/>
    <w:rsid w:val="00FC7382"/>
    <w:rsid w:val="00FC7387"/>
    <w:rsid w:val="00FD0F05"/>
    <w:rsid w:val="00FD1162"/>
    <w:rsid w:val="00FD1232"/>
    <w:rsid w:val="00FD1296"/>
    <w:rsid w:val="00FD3173"/>
    <w:rsid w:val="00FD3334"/>
    <w:rsid w:val="00FD3967"/>
    <w:rsid w:val="00FD3CF7"/>
    <w:rsid w:val="00FD3E3D"/>
    <w:rsid w:val="00FD4367"/>
    <w:rsid w:val="00FD51A0"/>
    <w:rsid w:val="00FD5800"/>
    <w:rsid w:val="00FD7337"/>
    <w:rsid w:val="00FD76E1"/>
    <w:rsid w:val="00FE0B27"/>
    <w:rsid w:val="00FE0CBD"/>
    <w:rsid w:val="00FE1357"/>
    <w:rsid w:val="00FE217C"/>
    <w:rsid w:val="00FE2DAA"/>
    <w:rsid w:val="00FE3BE7"/>
    <w:rsid w:val="00FE563E"/>
    <w:rsid w:val="00FE5E31"/>
    <w:rsid w:val="00FE70B0"/>
    <w:rsid w:val="00FE72EE"/>
    <w:rsid w:val="00FE747D"/>
    <w:rsid w:val="00FE7D7D"/>
    <w:rsid w:val="00FE7DC8"/>
    <w:rsid w:val="00FF0C2B"/>
    <w:rsid w:val="00FF0DDA"/>
    <w:rsid w:val="00FF1F9B"/>
    <w:rsid w:val="00FF20F1"/>
    <w:rsid w:val="00FF2AD6"/>
    <w:rsid w:val="00FF2C41"/>
    <w:rsid w:val="00FF2FEA"/>
    <w:rsid w:val="00FF3382"/>
    <w:rsid w:val="00FF3BCF"/>
    <w:rsid w:val="00FF4357"/>
    <w:rsid w:val="00FF4A46"/>
    <w:rsid w:val="00FF5208"/>
    <w:rsid w:val="00FF6005"/>
    <w:rsid w:val="00FF62BC"/>
    <w:rsid w:val="00FF6BB3"/>
    <w:rsid w:val="00FF77A8"/>
  </w:rsids>
  <m:mathPr>
    <m:mathFont m:val="Cambria Math"/>
    <m:brkBin m:val="before"/>
    <m:brkBinSub m:val="--"/>
    <m:smallFrac m:val="0"/>
    <m:dispDef m:val="0"/>
    <m:lMargin m:val="0"/>
    <m:rMargin m:val="0"/>
    <m:defJc m:val="centerGroup"/>
    <m:wrapRight/>
    <m:intLim m:val="subSup"/>
    <m:naryLim m:val="subSup"/>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A98318C"/>
  <w15:docId w15:val="{EBC84945-CF80-4FC2-95E7-3461D47C11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uiPriority="29"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E6937"/>
    <w:rPr>
      <w:rFonts w:ascii="Verdana" w:hAnsi="Verdana"/>
      <w:szCs w:val="24"/>
      <w:lang w:eastAsia="en-US"/>
    </w:rPr>
  </w:style>
  <w:style w:type="paragraph" w:styleId="Titre1">
    <w:name w:val="heading 1"/>
    <w:aliases w:val="Titre 1 Car1"/>
    <w:basedOn w:val="Normal"/>
    <w:next w:val="Normal"/>
    <w:link w:val="Titre1Car"/>
    <w:qFormat/>
    <w:rsid w:val="00B54A5B"/>
    <w:pPr>
      <w:keepNext/>
      <w:keepLines/>
      <w:numPr>
        <w:ilvl w:val="1"/>
        <w:numId w:val="32"/>
      </w:numPr>
      <w:spacing w:before="100" w:beforeAutospacing="1" w:after="100" w:afterAutospacing="1"/>
      <w:outlineLvl w:val="0"/>
    </w:pPr>
    <w:rPr>
      <w:rFonts w:eastAsia="Times New Roman"/>
      <w:b/>
      <w:bCs/>
      <w:color w:val="931638"/>
      <w:sz w:val="48"/>
      <w:szCs w:val="32"/>
    </w:rPr>
  </w:style>
  <w:style w:type="paragraph" w:styleId="Titre2">
    <w:name w:val="heading 2"/>
    <w:basedOn w:val="Normal"/>
    <w:next w:val="Normal"/>
    <w:link w:val="Titre2Car"/>
    <w:qFormat/>
    <w:rsid w:val="00B174A1"/>
    <w:pPr>
      <w:keepNext/>
      <w:keepLines/>
      <w:numPr>
        <w:ilvl w:val="2"/>
        <w:numId w:val="32"/>
      </w:numPr>
      <w:pBdr>
        <w:bottom w:val="single" w:sz="12" w:space="1" w:color="931638"/>
      </w:pBdr>
      <w:tabs>
        <w:tab w:val="left" w:pos="709"/>
      </w:tabs>
      <w:spacing w:before="600"/>
      <w:outlineLvl w:val="1"/>
    </w:pPr>
    <w:rPr>
      <w:rFonts w:eastAsia="Times New Roman"/>
      <w:b/>
      <w:bCs/>
      <w:color w:val="931638"/>
      <w:sz w:val="26"/>
      <w:szCs w:val="26"/>
    </w:rPr>
  </w:style>
  <w:style w:type="paragraph" w:styleId="Titre3">
    <w:name w:val="heading 3"/>
    <w:basedOn w:val="Normal"/>
    <w:next w:val="Normal"/>
    <w:link w:val="Titre3Car"/>
    <w:qFormat/>
    <w:rsid w:val="00EF4E2F"/>
    <w:pPr>
      <w:keepNext/>
      <w:numPr>
        <w:ilvl w:val="3"/>
        <w:numId w:val="32"/>
      </w:numPr>
      <w:spacing w:before="600"/>
      <w:outlineLvl w:val="2"/>
    </w:pPr>
    <w:rPr>
      <w:rFonts w:eastAsia="Times New Roman"/>
      <w:b/>
      <w:bCs/>
      <w:color w:val="414B46"/>
      <w:sz w:val="24"/>
    </w:rPr>
  </w:style>
  <w:style w:type="paragraph" w:styleId="Titre4">
    <w:name w:val="heading 4"/>
    <w:basedOn w:val="Normal"/>
    <w:next w:val="Normal"/>
    <w:link w:val="Titre4Car"/>
    <w:qFormat/>
    <w:rsid w:val="005E18A2"/>
    <w:pPr>
      <w:keepNext/>
      <w:keepLines/>
      <w:numPr>
        <w:ilvl w:val="4"/>
        <w:numId w:val="32"/>
      </w:numPr>
      <w:spacing w:before="200"/>
      <w:outlineLvl w:val="3"/>
    </w:pPr>
    <w:rPr>
      <w:rFonts w:eastAsia="Times New Roman"/>
      <w:bCs/>
      <w:i/>
      <w:iCs/>
      <w:color w:val="931638"/>
      <w:szCs w:val="20"/>
    </w:rPr>
  </w:style>
  <w:style w:type="paragraph" w:styleId="Titre5">
    <w:name w:val="heading 5"/>
    <w:basedOn w:val="Normal"/>
    <w:next w:val="Normal"/>
    <w:link w:val="Titre5Car"/>
    <w:qFormat/>
    <w:rsid w:val="00813102"/>
    <w:pPr>
      <w:keepNext/>
      <w:keepLines/>
      <w:numPr>
        <w:ilvl w:val="5"/>
        <w:numId w:val="32"/>
      </w:numPr>
      <w:tabs>
        <w:tab w:val="left" w:pos="1985"/>
      </w:tabs>
      <w:spacing w:before="200"/>
      <w:outlineLvl w:val="4"/>
    </w:pPr>
    <w:rPr>
      <w:rFonts w:ascii="Calibri" w:eastAsia="Times New Roman" w:hAnsi="Calibri"/>
      <w:b/>
      <w:color w:val="414B46"/>
    </w:rPr>
  </w:style>
  <w:style w:type="paragraph" w:styleId="Titre6">
    <w:name w:val="heading 6"/>
    <w:basedOn w:val="Normal"/>
    <w:next w:val="Normal"/>
    <w:link w:val="Titre6Car"/>
    <w:qFormat/>
    <w:rsid w:val="008A27AC"/>
    <w:pPr>
      <w:keepNext/>
      <w:keepLines/>
      <w:numPr>
        <w:ilvl w:val="6"/>
        <w:numId w:val="32"/>
      </w:numPr>
      <w:spacing w:before="200"/>
      <w:outlineLvl w:val="5"/>
    </w:pPr>
    <w:rPr>
      <w:rFonts w:ascii="Calibri" w:eastAsia="Times New Roman" w:hAnsi="Calibri"/>
      <w:i/>
      <w:iCs/>
      <w:color w:val="244061"/>
    </w:rPr>
  </w:style>
  <w:style w:type="paragraph" w:styleId="Titre7">
    <w:name w:val="heading 7"/>
    <w:basedOn w:val="Normal"/>
    <w:next w:val="Normal"/>
    <w:link w:val="Titre7Car"/>
    <w:uiPriority w:val="9"/>
    <w:qFormat/>
    <w:rsid w:val="008A27AC"/>
    <w:pPr>
      <w:keepNext/>
      <w:keepLines/>
      <w:numPr>
        <w:ilvl w:val="7"/>
        <w:numId w:val="32"/>
      </w:numPr>
      <w:spacing w:before="200"/>
      <w:outlineLvl w:val="6"/>
    </w:pPr>
    <w:rPr>
      <w:rFonts w:ascii="Calibri" w:eastAsia="Times New Roman" w:hAnsi="Calibri"/>
      <w:i/>
      <w:iCs/>
      <w:color w:val="404040"/>
    </w:rPr>
  </w:style>
  <w:style w:type="paragraph" w:styleId="Titre8">
    <w:name w:val="heading 8"/>
    <w:basedOn w:val="Normal"/>
    <w:next w:val="Normal"/>
    <w:link w:val="Titre8Car"/>
    <w:uiPriority w:val="9"/>
    <w:qFormat/>
    <w:rsid w:val="008A27AC"/>
    <w:pPr>
      <w:keepNext/>
      <w:keepLines/>
      <w:numPr>
        <w:ilvl w:val="8"/>
        <w:numId w:val="32"/>
      </w:numPr>
      <w:spacing w:before="200"/>
      <w:outlineLvl w:val="7"/>
    </w:pPr>
    <w:rPr>
      <w:rFonts w:ascii="Calibri" w:eastAsia="Times New Roman" w:hAnsi="Calibri"/>
      <w:color w:val="363636"/>
      <w:szCs w:val="20"/>
    </w:rPr>
  </w:style>
  <w:style w:type="paragraph" w:styleId="Titre9">
    <w:name w:val="heading 9"/>
    <w:basedOn w:val="Normal"/>
    <w:next w:val="Normal"/>
    <w:link w:val="Titre9Car"/>
    <w:uiPriority w:val="9"/>
    <w:qFormat/>
    <w:rsid w:val="008A27AC"/>
    <w:pPr>
      <w:keepNext/>
      <w:keepLines/>
      <w:spacing w:before="200"/>
      <w:outlineLvl w:val="8"/>
    </w:pPr>
    <w:rPr>
      <w:rFonts w:ascii="Calibri" w:eastAsia="Times New Roman" w:hAnsi="Calibri"/>
      <w:i/>
      <w:iCs/>
      <w:color w:val="363636"/>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6A17AF"/>
    <w:pPr>
      <w:tabs>
        <w:tab w:val="center" w:pos="4703"/>
        <w:tab w:val="right" w:pos="9406"/>
      </w:tabs>
    </w:pPr>
  </w:style>
  <w:style w:type="character" w:customStyle="1" w:styleId="En-tteCar">
    <w:name w:val="En-tête Car"/>
    <w:link w:val="En-tte"/>
    <w:rsid w:val="006A17AF"/>
    <w:rPr>
      <w:rFonts w:ascii="Arial" w:hAnsi="Arial"/>
      <w:sz w:val="22"/>
    </w:rPr>
  </w:style>
  <w:style w:type="paragraph" w:styleId="Pieddepage">
    <w:name w:val="footer"/>
    <w:basedOn w:val="Normal"/>
    <w:link w:val="PieddepageCar"/>
    <w:uiPriority w:val="99"/>
    <w:rsid w:val="00412502"/>
    <w:pPr>
      <w:tabs>
        <w:tab w:val="center" w:pos="-851"/>
        <w:tab w:val="left" w:pos="-284"/>
        <w:tab w:val="center" w:pos="4703"/>
        <w:tab w:val="right" w:pos="9406"/>
      </w:tabs>
      <w:ind w:left="-1134"/>
    </w:pPr>
    <w:rPr>
      <w:i/>
      <w:sz w:val="18"/>
    </w:rPr>
  </w:style>
  <w:style w:type="character" w:customStyle="1" w:styleId="PieddepageCar">
    <w:name w:val="Pied de page Car"/>
    <w:link w:val="Pieddepage"/>
    <w:uiPriority w:val="99"/>
    <w:rsid w:val="00412502"/>
    <w:rPr>
      <w:rFonts w:ascii="Verdana" w:hAnsi="Verdana"/>
      <w:i/>
      <w:sz w:val="18"/>
    </w:rPr>
  </w:style>
  <w:style w:type="paragraph" w:customStyle="1" w:styleId="Sommaire">
    <w:name w:val="Sommaire"/>
    <w:basedOn w:val="Normal"/>
    <w:rsid w:val="00412502"/>
    <w:pPr>
      <w:spacing w:after="480"/>
    </w:pPr>
    <w:rPr>
      <w:b/>
      <w:color w:val="931638"/>
      <w:sz w:val="56"/>
    </w:rPr>
  </w:style>
  <w:style w:type="character" w:customStyle="1" w:styleId="Titre1Car">
    <w:name w:val="Titre 1 Car"/>
    <w:aliases w:val="Titre 1 Car1 Car"/>
    <w:link w:val="Titre1"/>
    <w:rsid w:val="00B54A5B"/>
    <w:rPr>
      <w:rFonts w:ascii="Verdana" w:eastAsia="Times New Roman" w:hAnsi="Verdana"/>
      <w:b/>
      <w:bCs/>
      <w:color w:val="931638"/>
      <w:sz w:val="48"/>
      <w:szCs w:val="32"/>
      <w:lang w:eastAsia="en-US"/>
    </w:rPr>
  </w:style>
  <w:style w:type="paragraph" w:styleId="TM1">
    <w:name w:val="toc 1"/>
    <w:basedOn w:val="Normal"/>
    <w:next w:val="Normal"/>
    <w:autoRedefine/>
    <w:uiPriority w:val="39"/>
    <w:rsid w:val="00140417"/>
    <w:pPr>
      <w:pBdr>
        <w:bottom w:val="single" w:sz="8" w:space="6" w:color="931638"/>
      </w:pBdr>
      <w:tabs>
        <w:tab w:val="left" w:pos="425"/>
        <w:tab w:val="right" w:pos="9781"/>
      </w:tabs>
      <w:ind w:left="425" w:right="-6" w:hanging="425"/>
    </w:pPr>
    <w:rPr>
      <w:b/>
      <w:noProof/>
      <w:color w:val="931638"/>
      <w:sz w:val="24"/>
    </w:rPr>
  </w:style>
  <w:style w:type="paragraph" w:styleId="TM2">
    <w:name w:val="toc 2"/>
    <w:basedOn w:val="Normal"/>
    <w:next w:val="Normal"/>
    <w:autoRedefine/>
    <w:uiPriority w:val="39"/>
    <w:rsid w:val="007F64E8"/>
    <w:pPr>
      <w:tabs>
        <w:tab w:val="left" w:pos="851"/>
        <w:tab w:val="right" w:leader="dot" w:pos="9639"/>
      </w:tabs>
      <w:spacing w:before="180" w:after="180" w:line="360" w:lineRule="auto"/>
      <w:ind w:left="851" w:right="641" w:hanging="709"/>
    </w:pPr>
    <w:rPr>
      <w:b/>
      <w:noProof/>
      <w:sz w:val="22"/>
    </w:rPr>
  </w:style>
  <w:style w:type="paragraph" w:styleId="TM3">
    <w:name w:val="toc 3"/>
    <w:basedOn w:val="Normal"/>
    <w:next w:val="Normal"/>
    <w:autoRedefine/>
    <w:uiPriority w:val="39"/>
    <w:rsid w:val="00280069"/>
    <w:pPr>
      <w:tabs>
        <w:tab w:val="left" w:pos="1246"/>
        <w:tab w:val="right" w:leader="dot" w:pos="9639"/>
      </w:tabs>
      <w:ind w:left="1276" w:right="641" w:hanging="851"/>
    </w:pPr>
    <w:rPr>
      <w:noProof/>
    </w:rPr>
  </w:style>
  <w:style w:type="paragraph" w:customStyle="1" w:styleId="DocTitre">
    <w:name w:val="DocTitre"/>
    <w:basedOn w:val="Normal"/>
    <w:rsid w:val="00FC6743"/>
    <w:pPr>
      <w:spacing w:after="200"/>
    </w:pPr>
    <w:rPr>
      <w:b/>
      <w:sz w:val="28"/>
    </w:rPr>
  </w:style>
  <w:style w:type="paragraph" w:customStyle="1" w:styleId="Nota">
    <w:name w:val="Nota"/>
    <w:basedOn w:val="Normal"/>
    <w:rsid w:val="00FC6743"/>
    <w:pPr>
      <w:pBdr>
        <w:top w:val="single" w:sz="8" w:space="1" w:color="931638"/>
        <w:left w:val="single" w:sz="8" w:space="4" w:color="931638"/>
        <w:bottom w:val="single" w:sz="8" w:space="4" w:color="931638"/>
        <w:right w:val="single" w:sz="8" w:space="4" w:color="931638"/>
      </w:pBdr>
      <w:shd w:val="clear" w:color="auto" w:fill="E6D8C3"/>
    </w:pPr>
    <w:rPr>
      <w:i/>
    </w:rPr>
  </w:style>
  <w:style w:type="paragraph" w:customStyle="1" w:styleId="Illustration">
    <w:name w:val="Illustration"/>
    <w:basedOn w:val="Normal"/>
    <w:rsid w:val="00FC6743"/>
    <w:pPr>
      <w:spacing w:before="120" w:line="180" w:lineRule="exact"/>
      <w:jc w:val="center"/>
    </w:pPr>
    <w:rPr>
      <w:i/>
      <w:color w:val="931638"/>
    </w:rPr>
  </w:style>
  <w:style w:type="paragraph" w:styleId="TM4">
    <w:name w:val="toc 4"/>
    <w:basedOn w:val="Normal"/>
    <w:next w:val="Normal"/>
    <w:autoRedefine/>
    <w:uiPriority w:val="39"/>
    <w:unhideWhenUsed/>
    <w:rsid w:val="004272D4"/>
    <w:pPr>
      <w:spacing w:after="100"/>
      <w:ind w:left="720"/>
    </w:pPr>
    <w:rPr>
      <w:rFonts w:ascii="Cambria" w:eastAsia="Times New Roman" w:hAnsi="Cambria"/>
      <w:sz w:val="24"/>
      <w:lang w:val="en-GB" w:eastAsia="fr-FR"/>
    </w:rPr>
  </w:style>
  <w:style w:type="paragraph" w:styleId="TM5">
    <w:name w:val="toc 5"/>
    <w:basedOn w:val="Normal"/>
    <w:next w:val="Normal"/>
    <w:autoRedefine/>
    <w:uiPriority w:val="39"/>
    <w:unhideWhenUsed/>
    <w:rsid w:val="004272D4"/>
    <w:pPr>
      <w:spacing w:after="100"/>
      <w:ind w:left="960"/>
    </w:pPr>
    <w:rPr>
      <w:rFonts w:ascii="Cambria" w:eastAsia="Times New Roman" w:hAnsi="Cambria"/>
      <w:sz w:val="24"/>
      <w:lang w:val="en-GB" w:eastAsia="fr-FR"/>
    </w:rPr>
  </w:style>
  <w:style w:type="paragraph" w:styleId="TM6">
    <w:name w:val="toc 6"/>
    <w:basedOn w:val="Normal"/>
    <w:next w:val="Normal"/>
    <w:autoRedefine/>
    <w:uiPriority w:val="39"/>
    <w:unhideWhenUsed/>
    <w:rsid w:val="004272D4"/>
    <w:pPr>
      <w:spacing w:after="100"/>
      <w:ind w:left="1200"/>
    </w:pPr>
    <w:rPr>
      <w:rFonts w:ascii="Cambria" w:eastAsia="Times New Roman" w:hAnsi="Cambria"/>
      <w:sz w:val="24"/>
      <w:lang w:val="en-GB" w:eastAsia="fr-FR"/>
    </w:rPr>
  </w:style>
  <w:style w:type="character" w:customStyle="1" w:styleId="Titre2Car">
    <w:name w:val="Titre 2 Car"/>
    <w:link w:val="Titre2"/>
    <w:rsid w:val="00B174A1"/>
    <w:rPr>
      <w:rFonts w:ascii="Verdana" w:eastAsia="Times New Roman" w:hAnsi="Verdana"/>
      <w:b/>
      <w:bCs/>
      <w:color w:val="931638"/>
      <w:sz w:val="26"/>
      <w:szCs w:val="26"/>
      <w:lang w:eastAsia="en-US"/>
    </w:rPr>
  </w:style>
  <w:style w:type="character" w:customStyle="1" w:styleId="Titre3Car">
    <w:name w:val="Titre 3 Car"/>
    <w:link w:val="Titre3"/>
    <w:rsid w:val="00EF4E2F"/>
    <w:rPr>
      <w:rFonts w:ascii="Verdana" w:eastAsia="Times New Roman" w:hAnsi="Verdana"/>
      <w:b/>
      <w:bCs/>
      <w:color w:val="414B46"/>
      <w:sz w:val="24"/>
      <w:szCs w:val="24"/>
      <w:lang w:eastAsia="en-US"/>
    </w:rPr>
  </w:style>
  <w:style w:type="character" w:customStyle="1" w:styleId="Titre4Car">
    <w:name w:val="Titre 4 Car"/>
    <w:link w:val="Titre4"/>
    <w:rsid w:val="005E18A2"/>
    <w:rPr>
      <w:rFonts w:ascii="Verdana" w:eastAsia="Times New Roman" w:hAnsi="Verdana"/>
      <w:bCs/>
      <w:i/>
      <w:iCs/>
      <w:color w:val="931638"/>
      <w:lang w:eastAsia="en-US"/>
    </w:rPr>
  </w:style>
  <w:style w:type="character" w:customStyle="1" w:styleId="Titre5Car">
    <w:name w:val="Titre 5 Car"/>
    <w:link w:val="Titre5"/>
    <w:rsid w:val="00813102"/>
    <w:rPr>
      <w:rFonts w:ascii="Calibri" w:eastAsia="Times New Roman" w:hAnsi="Calibri"/>
      <w:b/>
      <w:color w:val="414B46"/>
      <w:szCs w:val="24"/>
      <w:lang w:eastAsia="en-US"/>
    </w:rPr>
  </w:style>
  <w:style w:type="character" w:customStyle="1" w:styleId="Titre6Car">
    <w:name w:val="Titre 6 Car"/>
    <w:link w:val="Titre6"/>
    <w:rsid w:val="008A27AC"/>
    <w:rPr>
      <w:rFonts w:ascii="Calibri" w:eastAsia="Times New Roman" w:hAnsi="Calibri"/>
      <w:i/>
      <w:iCs/>
      <w:color w:val="244061"/>
      <w:szCs w:val="24"/>
      <w:lang w:eastAsia="en-US"/>
    </w:rPr>
  </w:style>
  <w:style w:type="character" w:customStyle="1" w:styleId="Titre7Car">
    <w:name w:val="Titre 7 Car"/>
    <w:link w:val="Titre7"/>
    <w:uiPriority w:val="9"/>
    <w:rsid w:val="008A27AC"/>
    <w:rPr>
      <w:rFonts w:ascii="Calibri" w:eastAsia="Times New Roman" w:hAnsi="Calibri"/>
      <w:i/>
      <w:iCs/>
      <w:color w:val="404040"/>
      <w:szCs w:val="24"/>
      <w:lang w:eastAsia="en-US"/>
    </w:rPr>
  </w:style>
  <w:style w:type="character" w:customStyle="1" w:styleId="Titre8Car">
    <w:name w:val="Titre 8 Car"/>
    <w:link w:val="Titre8"/>
    <w:uiPriority w:val="9"/>
    <w:rsid w:val="008A27AC"/>
    <w:rPr>
      <w:rFonts w:ascii="Calibri" w:eastAsia="Times New Roman" w:hAnsi="Calibri"/>
      <w:color w:val="363636"/>
      <w:lang w:eastAsia="en-US"/>
    </w:rPr>
  </w:style>
  <w:style w:type="character" w:customStyle="1" w:styleId="Titre9Car">
    <w:name w:val="Titre 9 Car"/>
    <w:link w:val="Titre9"/>
    <w:rsid w:val="008A27AC"/>
    <w:rPr>
      <w:rFonts w:ascii="Calibri" w:eastAsia="Times New Roman" w:hAnsi="Calibri" w:cs="Times New Roman"/>
      <w:i/>
      <w:iCs/>
      <w:color w:val="363636"/>
      <w:sz w:val="20"/>
      <w:szCs w:val="20"/>
    </w:rPr>
  </w:style>
  <w:style w:type="paragraph" w:customStyle="1" w:styleId="Puce1">
    <w:name w:val="Puce1"/>
    <w:basedOn w:val="Normal"/>
    <w:rsid w:val="00FC6743"/>
    <w:pPr>
      <w:numPr>
        <w:numId w:val="2"/>
      </w:numPr>
      <w:tabs>
        <w:tab w:val="left" w:pos="1134"/>
      </w:tabs>
    </w:pPr>
  </w:style>
  <w:style w:type="paragraph" w:styleId="TM7">
    <w:name w:val="toc 7"/>
    <w:basedOn w:val="Normal"/>
    <w:next w:val="Normal"/>
    <w:autoRedefine/>
    <w:uiPriority w:val="39"/>
    <w:unhideWhenUsed/>
    <w:rsid w:val="004272D4"/>
    <w:pPr>
      <w:spacing w:after="100"/>
      <w:ind w:left="1440"/>
    </w:pPr>
    <w:rPr>
      <w:rFonts w:ascii="Cambria" w:eastAsia="Times New Roman" w:hAnsi="Cambria"/>
      <w:sz w:val="24"/>
      <w:lang w:val="en-GB" w:eastAsia="fr-FR"/>
    </w:rPr>
  </w:style>
  <w:style w:type="paragraph" w:customStyle="1" w:styleId="Puce20">
    <w:name w:val="Puce2"/>
    <w:basedOn w:val="Normal"/>
    <w:rsid w:val="005E18A2"/>
    <w:pPr>
      <w:numPr>
        <w:numId w:val="3"/>
      </w:numPr>
      <w:tabs>
        <w:tab w:val="left" w:pos="1418"/>
      </w:tabs>
      <w:spacing w:after="200"/>
      <w:ind w:left="1418" w:hanging="284"/>
    </w:pPr>
    <w:rPr>
      <w:sz w:val="18"/>
    </w:rPr>
  </w:style>
  <w:style w:type="paragraph" w:styleId="TM8">
    <w:name w:val="toc 8"/>
    <w:basedOn w:val="Normal"/>
    <w:next w:val="Normal"/>
    <w:autoRedefine/>
    <w:uiPriority w:val="39"/>
    <w:unhideWhenUsed/>
    <w:rsid w:val="004272D4"/>
    <w:pPr>
      <w:spacing w:after="100"/>
      <w:ind w:left="1680"/>
    </w:pPr>
    <w:rPr>
      <w:rFonts w:ascii="Cambria" w:eastAsia="Times New Roman" w:hAnsi="Cambria"/>
      <w:sz w:val="24"/>
      <w:lang w:val="en-GB" w:eastAsia="fr-FR"/>
    </w:rPr>
  </w:style>
  <w:style w:type="character" w:styleId="Numrodepage">
    <w:name w:val="page number"/>
    <w:basedOn w:val="Policepardfaut"/>
    <w:rsid w:val="00012EC4"/>
  </w:style>
  <w:style w:type="paragraph" w:customStyle="1" w:styleId="DocsDtail">
    <w:name w:val="DocsDétail"/>
    <w:basedOn w:val="Normal"/>
    <w:rsid w:val="00B10D19"/>
    <w:rPr>
      <w:i/>
    </w:rPr>
  </w:style>
  <w:style w:type="paragraph" w:styleId="TM9">
    <w:name w:val="toc 9"/>
    <w:basedOn w:val="Normal"/>
    <w:next w:val="Normal"/>
    <w:autoRedefine/>
    <w:uiPriority w:val="39"/>
    <w:unhideWhenUsed/>
    <w:rsid w:val="004272D4"/>
    <w:pPr>
      <w:spacing w:after="100"/>
      <w:ind w:left="1920"/>
    </w:pPr>
    <w:rPr>
      <w:rFonts w:ascii="Cambria" w:eastAsia="Times New Roman" w:hAnsi="Cambria"/>
      <w:sz w:val="24"/>
      <w:lang w:val="en-GB" w:eastAsia="fr-FR"/>
    </w:rPr>
  </w:style>
  <w:style w:type="paragraph" w:styleId="Notedebasdepage">
    <w:name w:val="footnote text"/>
    <w:aliases w:val="Footnotes,Note de bas de page_SD,EC-NotesBAPAGE,Fußnote,NBP"/>
    <w:basedOn w:val="Normal"/>
    <w:link w:val="NotedebasdepageCar"/>
    <w:uiPriority w:val="99"/>
    <w:qFormat/>
    <w:rsid w:val="00730DDD"/>
    <w:rPr>
      <w:i/>
      <w:sz w:val="18"/>
    </w:rPr>
  </w:style>
  <w:style w:type="character" w:customStyle="1" w:styleId="NotedebasdepageCar">
    <w:name w:val="Note de bas de page Car"/>
    <w:aliases w:val="Footnotes Car,Note de bas de page_SD Car,EC-NotesBAPAGE Car,Fußnote Car,NBP Car"/>
    <w:link w:val="Notedebasdepage"/>
    <w:uiPriority w:val="99"/>
    <w:rsid w:val="00730DDD"/>
    <w:rPr>
      <w:rFonts w:ascii="Verdana" w:hAnsi="Verdana"/>
      <w:i/>
      <w:sz w:val="18"/>
    </w:rPr>
  </w:style>
  <w:style w:type="character" w:styleId="Appelnotedebasdep">
    <w:name w:val="footnote reference"/>
    <w:uiPriority w:val="99"/>
    <w:rsid w:val="004272D4"/>
    <w:rPr>
      <w:vertAlign w:val="superscript"/>
    </w:rPr>
  </w:style>
  <w:style w:type="paragraph" w:styleId="Liste">
    <w:name w:val="List"/>
    <w:basedOn w:val="Normal"/>
    <w:rsid w:val="006C6CD2"/>
    <w:pPr>
      <w:tabs>
        <w:tab w:val="num" w:pos="364"/>
      </w:tabs>
      <w:ind w:left="360" w:hanging="360"/>
    </w:pPr>
    <w:rPr>
      <w:rFonts w:ascii="Arial" w:eastAsia="Times New Roman" w:hAnsi="Arial" w:cs="Arial"/>
      <w:lang w:eastAsia="fr-FR"/>
    </w:rPr>
  </w:style>
  <w:style w:type="paragraph" w:styleId="Liste2">
    <w:name w:val="List 2"/>
    <w:basedOn w:val="Normal"/>
    <w:rsid w:val="006C6CD2"/>
    <w:pPr>
      <w:numPr>
        <w:numId w:val="1"/>
      </w:numPr>
      <w:tabs>
        <w:tab w:val="num" w:pos="900"/>
      </w:tabs>
      <w:spacing w:after="160"/>
      <w:ind w:left="896" w:hanging="539"/>
    </w:pPr>
    <w:rPr>
      <w:rFonts w:ascii="Arial" w:eastAsia="Times New Roman" w:hAnsi="Arial" w:cs="Arial"/>
      <w:lang w:eastAsia="fr-FR"/>
    </w:rPr>
  </w:style>
  <w:style w:type="character" w:customStyle="1" w:styleId="Appelnotedebasdep1">
    <w:name w:val="Appel note de bas de p.1"/>
    <w:aliases w:val="HAppel note de bas de p."/>
    <w:uiPriority w:val="99"/>
    <w:rsid w:val="006C6CD2"/>
    <w:rPr>
      <w:vertAlign w:val="superscript"/>
    </w:rPr>
  </w:style>
  <w:style w:type="paragraph" w:customStyle="1" w:styleId="ZAPF">
    <w:name w:val="ZAPF"/>
    <w:basedOn w:val="Normal"/>
    <w:rsid w:val="006C6CD2"/>
    <w:pPr>
      <w:tabs>
        <w:tab w:val="left" w:pos="709"/>
      </w:tabs>
      <w:jc w:val="center"/>
    </w:pPr>
    <w:rPr>
      <w:rFonts w:ascii="Zapf Dingbats" w:eastAsia="Times New Roman" w:hAnsi="Zapf Dingbats"/>
      <w:spacing w:val="60"/>
      <w:position w:val="6"/>
      <w:sz w:val="28"/>
      <w:szCs w:val="28"/>
      <w:lang w:eastAsia="fr-FR"/>
    </w:rPr>
  </w:style>
  <w:style w:type="paragraph" w:styleId="Textedebulles">
    <w:name w:val="Balloon Text"/>
    <w:basedOn w:val="Normal"/>
    <w:link w:val="TextedebullesCar"/>
    <w:uiPriority w:val="99"/>
    <w:rsid w:val="006C6CD2"/>
    <w:rPr>
      <w:rFonts w:ascii="Lucida Grande" w:eastAsia="Times New Roman" w:hAnsi="Lucida Grande"/>
      <w:sz w:val="18"/>
      <w:szCs w:val="18"/>
      <w:lang w:eastAsia="fr-FR"/>
    </w:rPr>
  </w:style>
  <w:style w:type="character" w:customStyle="1" w:styleId="TextedebullesCar">
    <w:name w:val="Texte de bulles Car"/>
    <w:link w:val="Textedebulles"/>
    <w:uiPriority w:val="99"/>
    <w:rsid w:val="006C6CD2"/>
    <w:rPr>
      <w:rFonts w:ascii="Lucida Grande" w:eastAsia="Times New Roman" w:hAnsi="Lucida Grande"/>
      <w:sz w:val="18"/>
      <w:szCs w:val="18"/>
      <w:lang w:val="fr-FR"/>
    </w:rPr>
  </w:style>
  <w:style w:type="paragraph" w:customStyle="1" w:styleId="Titre0">
    <w:name w:val="Titre 0"/>
    <w:basedOn w:val="Titre1"/>
    <w:qFormat/>
    <w:rsid w:val="00B54A5B"/>
    <w:pPr>
      <w:numPr>
        <w:ilvl w:val="0"/>
      </w:numPr>
      <w:pBdr>
        <w:bottom w:val="single" w:sz="12" w:space="1" w:color="943634"/>
      </w:pBdr>
    </w:pPr>
    <w:rPr>
      <w:sz w:val="56"/>
    </w:rPr>
  </w:style>
  <w:style w:type="table" w:styleId="Grilledutableau">
    <w:name w:val="Table Grid"/>
    <w:basedOn w:val="TableauNormal"/>
    <w:uiPriority w:val="39"/>
    <w:rsid w:val="00B54A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ure,légende Car Car Car,légende Car Car Car Car Car,légende Car Car Car1 Car Car,légende Car Car Car Car Car Car,Légende1,légende1 Car Car,légende1 C,légende1 Car Car Car,légende Car Car Car1 Car,légende Car Car Car1 Car Car Car Car Car"/>
    <w:basedOn w:val="Normal"/>
    <w:next w:val="Normal"/>
    <w:link w:val="LgendeCar"/>
    <w:uiPriority w:val="35"/>
    <w:unhideWhenUsed/>
    <w:qFormat/>
    <w:rsid w:val="007D7741"/>
    <w:pPr>
      <w:numPr>
        <w:numId w:val="5"/>
      </w:numPr>
      <w:spacing w:before="120"/>
      <w:jc w:val="center"/>
    </w:pPr>
    <w:rPr>
      <w:bCs/>
      <w:i/>
      <w:szCs w:val="20"/>
    </w:rPr>
  </w:style>
  <w:style w:type="paragraph" w:styleId="Sansinterligne">
    <w:name w:val="No Spacing"/>
    <w:uiPriority w:val="1"/>
    <w:qFormat/>
    <w:rsid w:val="00152316"/>
    <w:pPr>
      <w:jc w:val="both"/>
    </w:pPr>
    <w:rPr>
      <w:rFonts w:ascii="Verdana" w:hAnsi="Verdana"/>
      <w:szCs w:val="24"/>
      <w:lang w:eastAsia="en-US"/>
    </w:rPr>
  </w:style>
  <w:style w:type="paragraph" w:styleId="Sous-titre">
    <w:name w:val="Subtitle"/>
    <w:basedOn w:val="Normal"/>
    <w:next w:val="Normal"/>
    <w:link w:val="Sous-titreCar"/>
    <w:qFormat/>
    <w:rsid w:val="006971BB"/>
    <w:pPr>
      <w:spacing w:after="60"/>
      <w:jc w:val="center"/>
      <w:outlineLvl w:val="1"/>
    </w:pPr>
    <w:rPr>
      <w:rFonts w:eastAsia="Times New Roman"/>
      <w:i/>
    </w:rPr>
  </w:style>
  <w:style w:type="character" w:customStyle="1" w:styleId="Sous-titreCar">
    <w:name w:val="Sous-titre Car"/>
    <w:link w:val="Sous-titre"/>
    <w:rsid w:val="006971BB"/>
    <w:rPr>
      <w:rFonts w:ascii="Verdana" w:eastAsia="Times New Roman" w:hAnsi="Verdana"/>
      <w:i/>
      <w:szCs w:val="24"/>
      <w:lang w:eastAsia="en-US"/>
    </w:rPr>
  </w:style>
  <w:style w:type="paragraph" w:customStyle="1" w:styleId="Style1">
    <w:name w:val="Style1"/>
    <w:basedOn w:val="Lgende"/>
    <w:next w:val="Sansinterligne"/>
    <w:qFormat/>
    <w:rsid w:val="00152316"/>
    <w:rPr>
      <w:i w:val="0"/>
      <w:iCs/>
      <w:sz w:val="18"/>
      <w:szCs w:val="18"/>
    </w:rPr>
  </w:style>
  <w:style w:type="paragraph" w:styleId="Paragraphedeliste">
    <w:name w:val="List Paragraph"/>
    <w:aliases w:val="PADE_liste"/>
    <w:basedOn w:val="Normal"/>
    <w:link w:val="ParagraphedelisteCar"/>
    <w:uiPriority w:val="34"/>
    <w:qFormat/>
    <w:rsid w:val="006971BB"/>
    <w:pPr>
      <w:ind w:left="709"/>
    </w:pPr>
  </w:style>
  <w:style w:type="character" w:styleId="lev">
    <w:name w:val="Strong"/>
    <w:uiPriority w:val="22"/>
    <w:qFormat/>
    <w:rsid w:val="00E924E7"/>
    <w:rPr>
      <w:b/>
      <w:bCs/>
    </w:rPr>
  </w:style>
  <w:style w:type="paragraph" w:styleId="Citation">
    <w:name w:val="Quote"/>
    <w:basedOn w:val="Normal"/>
    <w:next w:val="Normal"/>
    <w:link w:val="CitationCar"/>
    <w:autoRedefine/>
    <w:uiPriority w:val="29"/>
    <w:qFormat/>
    <w:rsid w:val="00E924E7"/>
    <w:rPr>
      <w:rFonts w:ascii="Comic Sans MS" w:eastAsia="Times New Roman" w:hAnsi="Comic Sans MS"/>
      <w:iCs/>
      <w:sz w:val="16"/>
      <w:szCs w:val="16"/>
      <w:lang w:eastAsia="fr-FR" w:bidi="hi-IN"/>
    </w:rPr>
  </w:style>
  <w:style w:type="character" w:customStyle="1" w:styleId="CitationCar">
    <w:name w:val="Citation Car"/>
    <w:link w:val="Citation"/>
    <w:uiPriority w:val="29"/>
    <w:rsid w:val="00E924E7"/>
    <w:rPr>
      <w:rFonts w:ascii="Comic Sans MS" w:eastAsia="Times New Roman" w:hAnsi="Comic Sans MS"/>
      <w:iCs/>
      <w:sz w:val="16"/>
      <w:szCs w:val="16"/>
      <w:lang w:bidi="hi-IN"/>
    </w:rPr>
  </w:style>
  <w:style w:type="character" w:styleId="Lienhypertexte">
    <w:name w:val="Hyperlink"/>
    <w:uiPriority w:val="99"/>
    <w:unhideWhenUsed/>
    <w:rsid w:val="0003444D"/>
    <w:rPr>
      <w:color w:val="0000FF"/>
      <w:u w:val="single"/>
    </w:rPr>
  </w:style>
  <w:style w:type="paragraph" w:customStyle="1" w:styleId="TitreRapport">
    <w:name w:val="Titre_Rapport"/>
    <w:basedOn w:val="Normal"/>
    <w:qFormat/>
    <w:rsid w:val="005457E3"/>
    <w:pPr>
      <w:ind w:left="3119"/>
    </w:pPr>
    <w:rPr>
      <w:noProof/>
      <w:color w:val="FFFFFF"/>
      <w:sz w:val="96"/>
      <w:szCs w:val="96"/>
      <w:lang w:eastAsia="fr-FR"/>
    </w:rPr>
  </w:style>
  <w:style w:type="paragraph" w:customStyle="1" w:styleId="DUP7">
    <w:name w:val="DUP 7"/>
    <w:basedOn w:val="Sansinterligne"/>
    <w:qFormat/>
    <w:rsid w:val="00B81A8B"/>
    <w:pPr>
      <w:spacing w:before="240" w:after="120"/>
    </w:pPr>
    <w:rPr>
      <w:rFonts w:eastAsia="Calibri"/>
      <w:szCs w:val="20"/>
    </w:rPr>
  </w:style>
  <w:style w:type="character" w:customStyle="1" w:styleId="Caractredenotedebasdepage">
    <w:name w:val="Caractère de note de bas de page"/>
    <w:uiPriority w:val="99"/>
    <w:rsid w:val="008F4A8C"/>
    <w:rPr>
      <w:vertAlign w:val="superscript"/>
    </w:rPr>
  </w:style>
  <w:style w:type="paragraph" w:styleId="NormalWeb">
    <w:name w:val="Normal (Web)"/>
    <w:basedOn w:val="Normal"/>
    <w:uiPriority w:val="99"/>
    <w:rsid w:val="008F4A8C"/>
    <w:pPr>
      <w:spacing w:before="100" w:beforeAutospacing="1" w:after="100" w:afterAutospacing="1"/>
    </w:pPr>
    <w:rPr>
      <w:rFonts w:ascii="Times New Roman" w:eastAsia="Times New Roman" w:hAnsi="Times New Roman"/>
      <w:sz w:val="24"/>
      <w:lang w:eastAsia="fr-FR"/>
    </w:rPr>
  </w:style>
  <w:style w:type="paragraph" w:customStyle="1" w:styleId="Tableau">
    <w:name w:val="Tableau"/>
    <w:basedOn w:val="Lgende"/>
    <w:qFormat/>
    <w:rsid w:val="007D7741"/>
    <w:pPr>
      <w:numPr>
        <w:numId w:val="6"/>
      </w:numPr>
    </w:pPr>
  </w:style>
  <w:style w:type="character" w:styleId="Lienhypertextesuivivisit">
    <w:name w:val="FollowedHyperlink"/>
    <w:rsid w:val="009E6F49"/>
    <w:rPr>
      <w:color w:val="800080"/>
      <w:u w:val="single"/>
    </w:rPr>
  </w:style>
  <w:style w:type="character" w:styleId="Marquedecommentaire">
    <w:name w:val="annotation reference"/>
    <w:uiPriority w:val="99"/>
    <w:rsid w:val="00B823E1"/>
    <w:rPr>
      <w:sz w:val="16"/>
      <w:szCs w:val="16"/>
    </w:rPr>
  </w:style>
  <w:style w:type="paragraph" w:styleId="Commentaire">
    <w:name w:val="annotation text"/>
    <w:basedOn w:val="Normal"/>
    <w:link w:val="CommentaireCar"/>
    <w:uiPriority w:val="99"/>
    <w:rsid w:val="00B823E1"/>
    <w:rPr>
      <w:szCs w:val="20"/>
    </w:rPr>
  </w:style>
  <w:style w:type="character" w:customStyle="1" w:styleId="CommentaireCar">
    <w:name w:val="Commentaire Car"/>
    <w:link w:val="Commentaire"/>
    <w:uiPriority w:val="99"/>
    <w:rsid w:val="00B823E1"/>
    <w:rPr>
      <w:rFonts w:ascii="Verdana" w:hAnsi="Verdana"/>
      <w:lang w:eastAsia="en-US"/>
    </w:rPr>
  </w:style>
  <w:style w:type="paragraph" w:styleId="Objetducommentaire">
    <w:name w:val="annotation subject"/>
    <w:basedOn w:val="Commentaire"/>
    <w:next w:val="Commentaire"/>
    <w:link w:val="ObjetducommentaireCar"/>
    <w:rsid w:val="00B823E1"/>
    <w:rPr>
      <w:b/>
      <w:bCs/>
    </w:rPr>
  </w:style>
  <w:style w:type="character" w:customStyle="1" w:styleId="ObjetducommentaireCar">
    <w:name w:val="Objet du commentaire Car"/>
    <w:link w:val="Objetducommentaire"/>
    <w:rsid w:val="00B823E1"/>
    <w:rPr>
      <w:rFonts w:ascii="Verdana" w:hAnsi="Verdana"/>
      <w:b/>
      <w:bCs/>
      <w:lang w:eastAsia="en-US"/>
    </w:rPr>
  </w:style>
  <w:style w:type="paragraph" w:styleId="Rvision">
    <w:name w:val="Revision"/>
    <w:hidden/>
    <w:rsid w:val="00B40D0D"/>
    <w:rPr>
      <w:rFonts w:ascii="Verdana" w:hAnsi="Verdana"/>
      <w:szCs w:val="24"/>
      <w:lang w:eastAsia="en-US"/>
    </w:rPr>
  </w:style>
  <w:style w:type="paragraph" w:customStyle="1" w:styleId="TexteIntroduction">
    <w:name w:val="Texte Introduction"/>
    <w:basedOn w:val="Normal"/>
    <w:next w:val="Normal"/>
    <w:qFormat/>
    <w:rsid w:val="001415DC"/>
    <w:pPr>
      <w:keepNext/>
      <w:keepLines/>
      <w:spacing w:after="280" w:line="280" w:lineRule="atLeast"/>
    </w:pPr>
    <w:rPr>
      <w:rFonts w:eastAsia="MS PGothic"/>
      <w:color w:val="41464B"/>
      <w:sz w:val="22"/>
      <w:szCs w:val="22"/>
      <w:lang w:eastAsia="ja-JP"/>
    </w:rPr>
  </w:style>
  <w:style w:type="table" w:customStyle="1" w:styleId="Grilledutableau1">
    <w:name w:val="Grille du tableau1"/>
    <w:basedOn w:val="TableauNormal"/>
    <w:next w:val="Grilledutableau"/>
    <w:uiPriority w:val="59"/>
    <w:rsid w:val="0034441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defin">
    <w:name w:val="endnote text"/>
    <w:basedOn w:val="Normal"/>
    <w:link w:val="NotedefinCar"/>
    <w:rsid w:val="000C1081"/>
    <w:rPr>
      <w:szCs w:val="20"/>
    </w:rPr>
  </w:style>
  <w:style w:type="character" w:customStyle="1" w:styleId="NotedefinCar">
    <w:name w:val="Note de fin Car"/>
    <w:link w:val="Notedefin"/>
    <w:rsid w:val="000C1081"/>
    <w:rPr>
      <w:rFonts w:ascii="Verdana" w:hAnsi="Verdana"/>
      <w:lang w:eastAsia="en-US"/>
    </w:rPr>
  </w:style>
  <w:style w:type="character" w:styleId="Appeldenotedefin">
    <w:name w:val="endnote reference"/>
    <w:rsid w:val="000C1081"/>
    <w:rPr>
      <w:vertAlign w:val="superscript"/>
    </w:rPr>
  </w:style>
  <w:style w:type="numbering" w:customStyle="1" w:styleId="Aucuneliste1">
    <w:name w:val="Aucune liste1"/>
    <w:next w:val="Aucuneliste"/>
    <w:semiHidden/>
    <w:unhideWhenUsed/>
    <w:rsid w:val="00A636D3"/>
  </w:style>
  <w:style w:type="table" w:customStyle="1" w:styleId="Grilledutableau2">
    <w:name w:val="Grille du tableau2"/>
    <w:basedOn w:val="TableauNormal"/>
    <w:next w:val="Grilledutableau"/>
    <w:rsid w:val="00A636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1">
    <w:name w:val="Grille du tableau11"/>
    <w:basedOn w:val="TableauNormal"/>
    <w:next w:val="Grilledutableau"/>
    <w:uiPriority w:val="59"/>
    <w:rsid w:val="00A636D3"/>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ce3">
    <w:name w:val="Puce 3"/>
    <w:basedOn w:val="Puce2"/>
    <w:qFormat/>
    <w:rsid w:val="00495717"/>
    <w:pPr>
      <w:numPr>
        <w:ilvl w:val="2"/>
      </w:numPr>
      <w:ind w:left="720" w:hanging="720"/>
    </w:pPr>
  </w:style>
  <w:style w:type="paragraph" w:customStyle="1" w:styleId="Puce10">
    <w:name w:val="Puce 1"/>
    <w:basedOn w:val="Normal"/>
    <w:link w:val="Puce1Car"/>
    <w:qFormat/>
    <w:rsid w:val="00495717"/>
    <w:pPr>
      <w:autoSpaceDE w:val="0"/>
      <w:autoSpaceDN w:val="0"/>
      <w:adjustRightInd w:val="0"/>
    </w:pPr>
    <w:rPr>
      <w:szCs w:val="20"/>
      <w:lang w:val="x-none" w:eastAsia="x-none"/>
    </w:rPr>
  </w:style>
  <w:style w:type="paragraph" w:customStyle="1" w:styleId="Puce2">
    <w:name w:val="Puce 2"/>
    <w:basedOn w:val="Puce10"/>
    <w:qFormat/>
    <w:rsid w:val="00495717"/>
    <w:pPr>
      <w:numPr>
        <w:ilvl w:val="1"/>
        <w:numId w:val="10"/>
      </w:numPr>
      <w:ind w:left="3269" w:hanging="576"/>
    </w:pPr>
  </w:style>
  <w:style w:type="character" w:customStyle="1" w:styleId="Puce1Car">
    <w:name w:val="Puce 1 Car"/>
    <w:link w:val="Puce10"/>
    <w:rsid w:val="00495717"/>
    <w:rPr>
      <w:rFonts w:ascii="Verdana" w:hAnsi="Verdana"/>
      <w:lang w:val="x-none" w:eastAsia="x-none"/>
    </w:rPr>
  </w:style>
  <w:style w:type="numbering" w:customStyle="1" w:styleId="ListeBIOTOPE311">
    <w:name w:val="Liste BIOTOPE311"/>
    <w:rsid w:val="00495717"/>
    <w:pPr>
      <w:numPr>
        <w:numId w:val="10"/>
      </w:numPr>
    </w:pPr>
  </w:style>
  <w:style w:type="character" w:customStyle="1" w:styleId="ParagraphedelisteCar">
    <w:name w:val="Paragraphe de liste Car"/>
    <w:aliases w:val="PADE_liste Car"/>
    <w:link w:val="Paragraphedeliste"/>
    <w:uiPriority w:val="34"/>
    <w:rsid w:val="00495717"/>
    <w:rPr>
      <w:rFonts w:ascii="Verdana" w:hAnsi="Verdana"/>
      <w:szCs w:val="24"/>
      <w:lang w:eastAsia="en-US"/>
    </w:rPr>
  </w:style>
  <w:style w:type="table" w:customStyle="1" w:styleId="Grilledutableau3">
    <w:name w:val="Grille du tableau3"/>
    <w:basedOn w:val="TableauNormal"/>
    <w:next w:val="Grilledutableau"/>
    <w:uiPriority w:val="59"/>
    <w:rsid w:val="0049571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ces18">
    <w:name w:val="Puces 18"/>
    <w:basedOn w:val="Normal"/>
    <w:link w:val="Puces18Car"/>
    <w:qFormat/>
    <w:rsid w:val="00B330B3"/>
    <w:pPr>
      <w:numPr>
        <w:numId w:val="11"/>
      </w:numPr>
      <w:spacing w:before="80"/>
    </w:pPr>
  </w:style>
  <w:style w:type="character" w:customStyle="1" w:styleId="Puces18Car">
    <w:name w:val="Puces 18 Car"/>
    <w:link w:val="Puces18"/>
    <w:rsid w:val="00B330B3"/>
    <w:rPr>
      <w:rFonts w:ascii="Verdana" w:hAnsi="Verdana"/>
      <w:szCs w:val="24"/>
      <w:lang w:eastAsia="en-US"/>
    </w:rPr>
  </w:style>
  <w:style w:type="paragraph" w:customStyle="1" w:styleId="normal18">
    <w:name w:val="normal 18"/>
    <w:basedOn w:val="Normal"/>
    <w:link w:val="normal18Car"/>
    <w:qFormat/>
    <w:rsid w:val="00B330B3"/>
    <w:pPr>
      <w:spacing w:before="240"/>
    </w:pPr>
  </w:style>
  <w:style w:type="character" w:customStyle="1" w:styleId="normal18Car">
    <w:name w:val="normal 18 Car"/>
    <w:link w:val="normal18"/>
    <w:rsid w:val="00B330B3"/>
    <w:rPr>
      <w:rFonts w:ascii="Verdana" w:hAnsi="Verdana"/>
      <w:szCs w:val="24"/>
      <w:lang w:eastAsia="en-US"/>
    </w:rPr>
  </w:style>
  <w:style w:type="table" w:styleId="Colonnesdetableau1">
    <w:name w:val="Table Columns 1"/>
    <w:basedOn w:val="TableauNormal"/>
    <w:rsid w:val="00EE1316"/>
    <w:pPr>
      <w:spacing w:after="240"/>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Paragraphedeliste1">
    <w:name w:val="Paragraphe de liste1"/>
    <w:aliases w:val="Liste niveau 1"/>
    <w:basedOn w:val="Normal"/>
    <w:uiPriority w:val="34"/>
    <w:qFormat/>
    <w:rsid w:val="008C45C5"/>
    <w:pPr>
      <w:widowControl w:val="0"/>
      <w:numPr>
        <w:numId w:val="17"/>
      </w:numPr>
      <w:autoSpaceDE w:val="0"/>
      <w:autoSpaceDN w:val="0"/>
      <w:adjustRightInd w:val="0"/>
      <w:spacing w:line="280" w:lineRule="atLeast"/>
      <w:contextualSpacing/>
    </w:pPr>
    <w:rPr>
      <w:rFonts w:eastAsia="MS Mincho" w:cs="Arial"/>
      <w:b/>
      <w:szCs w:val="20"/>
      <w:lang w:eastAsia="ja-JP"/>
    </w:rPr>
  </w:style>
  <w:style w:type="paragraph" w:customStyle="1" w:styleId="Listeniveau2">
    <w:name w:val="Liste niveau 2"/>
    <w:basedOn w:val="Paragraphedeliste1"/>
    <w:qFormat/>
    <w:rsid w:val="008C45C5"/>
    <w:pPr>
      <w:numPr>
        <w:ilvl w:val="1"/>
      </w:numPr>
      <w:ind w:left="993" w:hanging="567"/>
    </w:pPr>
  </w:style>
  <w:style w:type="table" w:customStyle="1" w:styleId="Grilledutableau4">
    <w:name w:val="Grille du tableau4"/>
    <w:basedOn w:val="TableauNormal"/>
    <w:next w:val="Grilledutableau"/>
    <w:rsid w:val="00A51C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2">
    <w:name w:val="Aucune liste2"/>
    <w:next w:val="Aucuneliste"/>
    <w:semiHidden/>
    <w:unhideWhenUsed/>
    <w:rsid w:val="00A51C82"/>
  </w:style>
  <w:style w:type="table" w:customStyle="1" w:styleId="Grilledutableau5">
    <w:name w:val="Grille du tableau5"/>
    <w:basedOn w:val="TableauNormal"/>
    <w:next w:val="Grilledutableau"/>
    <w:rsid w:val="00A51C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2">
    <w:name w:val="Grille du tableau12"/>
    <w:basedOn w:val="TableauNormal"/>
    <w:next w:val="Grilledutableau"/>
    <w:uiPriority w:val="59"/>
    <w:rsid w:val="00A51C8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1">
    <w:name w:val="Aucune liste11"/>
    <w:next w:val="Aucuneliste"/>
    <w:semiHidden/>
    <w:unhideWhenUsed/>
    <w:rsid w:val="00A51C82"/>
  </w:style>
  <w:style w:type="table" w:customStyle="1" w:styleId="Grilledutableau21">
    <w:name w:val="Grille du tableau21"/>
    <w:basedOn w:val="TableauNormal"/>
    <w:next w:val="Grilledutableau"/>
    <w:rsid w:val="00A51C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11">
    <w:name w:val="Grille du tableau111"/>
    <w:basedOn w:val="TableauNormal"/>
    <w:next w:val="Grilledutableau"/>
    <w:uiPriority w:val="59"/>
    <w:rsid w:val="00A51C8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1">
    <w:name w:val="Grille du tableau31"/>
    <w:basedOn w:val="TableauNormal"/>
    <w:next w:val="Grilledutableau"/>
    <w:uiPriority w:val="59"/>
    <w:rsid w:val="00A51C8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nnesdetableau11">
    <w:name w:val="Colonnes de tableau 11"/>
    <w:basedOn w:val="TableauNormal"/>
    <w:next w:val="Colonnesdetableau1"/>
    <w:rsid w:val="00A51C82"/>
    <w:pPr>
      <w:spacing w:after="240"/>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Grilledutableau41">
    <w:name w:val="Grille du tableau41"/>
    <w:basedOn w:val="TableauNormal"/>
    <w:next w:val="Grilledutableau"/>
    <w:rsid w:val="00A51C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rsid w:val="00A51C82"/>
    <w:rPr>
      <w:color w:val="808080"/>
    </w:rPr>
  </w:style>
  <w:style w:type="paragraph" w:customStyle="1" w:styleId="Default">
    <w:name w:val="Default"/>
    <w:rsid w:val="003E3705"/>
    <w:pPr>
      <w:autoSpaceDE w:val="0"/>
      <w:autoSpaceDN w:val="0"/>
      <w:adjustRightInd w:val="0"/>
    </w:pPr>
    <w:rPr>
      <w:rFonts w:ascii="Arial" w:eastAsiaTheme="minorEastAsia" w:hAnsi="Arial" w:cs="Arial"/>
      <w:color w:val="000000"/>
      <w:sz w:val="24"/>
      <w:szCs w:val="24"/>
      <w:lang w:eastAsia="ja-JP"/>
    </w:rPr>
  </w:style>
  <w:style w:type="paragraph" w:customStyle="1" w:styleId="Pa8">
    <w:name w:val="Pa8"/>
    <w:basedOn w:val="Default"/>
    <w:next w:val="Default"/>
    <w:uiPriority w:val="99"/>
    <w:rsid w:val="003E3705"/>
    <w:pPr>
      <w:spacing w:line="211" w:lineRule="atLeast"/>
    </w:pPr>
    <w:rPr>
      <w:rFonts w:ascii="Gotham" w:eastAsiaTheme="minorHAnsi" w:hAnsi="Gotham" w:cstheme="minorBidi"/>
      <w:color w:val="auto"/>
      <w:lang w:eastAsia="en-US"/>
    </w:rPr>
  </w:style>
  <w:style w:type="character" w:customStyle="1" w:styleId="A4">
    <w:name w:val="A4"/>
    <w:uiPriority w:val="99"/>
    <w:rsid w:val="003E3705"/>
    <w:rPr>
      <w:rFonts w:cs="Swis721 Cn BT"/>
      <w:color w:val="000000"/>
      <w:sz w:val="22"/>
      <w:szCs w:val="22"/>
    </w:rPr>
  </w:style>
  <w:style w:type="paragraph" w:customStyle="1" w:styleId="Pucesniveau3">
    <w:name w:val="Puces niveau 3"/>
    <w:basedOn w:val="Normal"/>
    <w:rsid w:val="00467420"/>
    <w:pPr>
      <w:numPr>
        <w:numId w:val="29"/>
      </w:numPr>
      <w:jc w:val="both"/>
    </w:pPr>
    <w:rPr>
      <w:rFonts w:ascii="Arial" w:eastAsia="Times New Roman" w:hAnsi="Arial"/>
      <w:lang w:eastAsia="fr-FR"/>
    </w:rPr>
  </w:style>
  <w:style w:type="numbering" w:customStyle="1" w:styleId="ListeBIOTOPE3111">
    <w:name w:val="Liste BIOTOPE3111"/>
    <w:basedOn w:val="Aucuneliste"/>
    <w:rsid w:val="00017704"/>
    <w:pPr>
      <w:numPr>
        <w:numId w:val="30"/>
      </w:numPr>
    </w:pPr>
  </w:style>
  <w:style w:type="character" w:customStyle="1" w:styleId="LgendeCar">
    <w:name w:val="Légende Car"/>
    <w:aliases w:val="Figure Car,légende Car Car Car Car,légende Car Car Car Car Car Car1,légende Car Car Car1 Car Car Car,légende Car Car Car Car Car Car Car,Légende1 Car,légende1 Car Car Car1,légende1 C Car,légende1 Car Car Car Car,légende Car Car Car1 Car Car1"/>
    <w:link w:val="Lgende"/>
    <w:uiPriority w:val="35"/>
    <w:rsid w:val="00EE52AE"/>
    <w:rPr>
      <w:rFonts w:ascii="Verdana" w:hAnsi="Verdana"/>
      <w:bCs/>
      <w:i/>
      <w:lang w:eastAsia="en-US"/>
    </w:rPr>
  </w:style>
  <w:style w:type="paragraph" w:styleId="En-ttedetabledesmatires">
    <w:name w:val="TOC Heading"/>
    <w:basedOn w:val="Titre1"/>
    <w:next w:val="Normal"/>
    <w:uiPriority w:val="39"/>
    <w:unhideWhenUsed/>
    <w:qFormat/>
    <w:rsid w:val="00975A85"/>
    <w:pPr>
      <w:numPr>
        <w:ilvl w:val="0"/>
        <w:numId w:val="0"/>
      </w:numPr>
      <w:spacing w:before="240" w:beforeAutospacing="0" w:after="0" w:afterAutospacing="0" w:line="259" w:lineRule="auto"/>
      <w:outlineLvl w:val="9"/>
    </w:pPr>
    <w:rPr>
      <w:rFonts w:asciiTheme="majorHAnsi" w:eastAsiaTheme="majorEastAsia" w:hAnsiTheme="majorHAnsi" w:cstheme="majorBidi"/>
      <w:b w:val="0"/>
      <w:bCs w:val="0"/>
      <w:color w:val="365F91" w:themeColor="accent1" w:themeShade="BF"/>
      <w:sz w:val="32"/>
      <w:lang w:eastAsia="fr-FR"/>
    </w:rPr>
  </w:style>
  <w:style w:type="paragraph" w:customStyle="1" w:styleId="DIEniv3">
    <w:name w:val="DIE niv 3"/>
    <w:basedOn w:val="Normal"/>
    <w:link w:val="DIEniv3Car"/>
    <w:qFormat/>
    <w:rsid w:val="0088647D"/>
    <w:pPr>
      <w:keepNext/>
      <w:spacing w:before="600" w:after="240"/>
      <w:jc w:val="both"/>
      <w:outlineLvl w:val="2"/>
    </w:pPr>
    <w:rPr>
      <w:rFonts w:eastAsia="Times New Roman"/>
      <w:b/>
      <w:color w:val="414B46"/>
      <w:sz w:val="24"/>
      <w:lang w:val="x-none"/>
    </w:rPr>
  </w:style>
  <w:style w:type="character" w:customStyle="1" w:styleId="DIEniv3Car">
    <w:name w:val="DIE niv 3 Car"/>
    <w:link w:val="DIEniv3"/>
    <w:locked/>
    <w:rsid w:val="0088647D"/>
    <w:rPr>
      <w:rFonts w:ascii="Verdana" w:eastAsia="Times New Roman" w:hAnsi="Verdana"/>
      <w:b/>
      <w:color w:val="414B46"/>
      <w:sz w:val="24"/>
      <w:szCs w:val="24"/>
      <w:lang w:val="x-none" w:eastAsia="en-US"/>
    </w:rPr>
  </w:style>
  <w:style w:type="paragraph" w:styleId="Explorateurdedocuments">
    <w:name w:val="Document Map"/>
    <w:basedOn w:val="Normal"/>
    <w:link w:val="ExplorateurdedocumentsCar"/>
    <w:uiPriority w:val="99"/>
    <w:unhideWhenUsed/>
    <w:rsid w:val="000E0E7A"/>
    <w:rPr>
      <w:rFonts w:ascii="Tahoma" w:eastAsiaTheme="minorEastAsia" w:hAnsi="Tahoma" w:cs="Tahoma"/>
      <w:sz w:val="16"/>
      <w:szCs w:val="16"/>
      <w:lang w:eastAsia="fr-FR"/>
    </w:rPr>
  </w:style>
  <w:style w:type="character" w:customStyle="1" w:styleId="ExplorateurdedocumentsCar">
    <w:name w:val="Explorateur de documents Car"/>
    <w:basedOn w:val="Policepardfaut"/>
    <w:link w:val="Explorateurdedocuments"/>
    <w:uiPriority w:val="99"/>
    <w:rsid w:val="000E0E7A"/>
    <w:rPr>
      <w:rFonts w:ascii="Tahoma" w:eastAsiaTheme="minorEastAsia" w:hAnsi="Tahoma" w:cs="Tahoma"/>
      <w:sz w:val="16"/>
      <w:szCs w:val="16"/>
    </w:rPr>
  </w:style>
  <w:style w:type="paragraph" w:customStyle="1" w:styleId="Standard">
    <w:name w:val="Standard"/>
    <w:rsid w:val="00A15478"/>
    <w:pPr>
      <w:suppressAutoHyphens/>
      <w:autoSpaceDN w:val="0"/>
      <w:textAlignment w:val="baseline"/>
    </w:pPr>
    <w:rPr>
      <w:rFonts w:ascii="Liberation Serif" w:eastAsia="NSimSun" w:hAnsi="Liberation Serif" w:cs="Arial"/>
      <w:kern w:val="3"/>
      <w:sz w:val="24"/>
      <w:szCs w:val="24"/>
      <w:lang w:eastAsia="zh-CN" w:bidi="hi-IN"/>
    </w:rPr>
  </w:style>
  <w:style w:type="character" w:styleId="Mentionnonrsolue">
    <w:name w:val="Unresolved Mention"/>
    <w:basedOn w:val="Policepardfaut"/>
    <w:uiPriority w:val="99"/>
    <w:semiHidden/>
    <w:unhideWhenUsed/>
    <w:rsid w:val="00CB0FCE"/>
    <w:rPr>
      <w:color w:val="605E5C"/>
      <w:shd w:val="clear" w:color="auto" w:fill="E1DFDD"/>
    </w:rPr>
  </w:style>
  <w:style w:type="paragraph" w:customStyle="1" w:styleId="Textenormal">
    <w:name w:val="Texte normal"/>
    <w:basedOn w:val="Normal"/>
    <w:link w:val="TextenormalCar"/>
    <w:qFormat/>
    <w:rsid w:val="0021598D"/>
    <w:pPr>
      <w:spacing w:before="200" w:after="200"/>
      <w:jc w:val="both"/>
    </w:pPr>
    <w:rPr>
      <w:rFonts w:ascii="Cambria" w:eastAsia="Times New Roman" w:hAnsi="Cambria" w:cs="Cambria"/>
      <w:kern w:val="22"/>
      <w:sz w:val="22"/>
      <w:lang w:eastAsia="fr-FR"/>
    </w:rPr>
  </w:style>
  <w:style w:type="character" w:customStyle="1" w:styleId="TextenormalCar">
    <w:name w:val="Texte normal Car"/>
    <w:basedOn w:val="Policepardfaut"/>
    <w:link w:val="Textenormal"/>
    <w:rsid w:val="0021598D"/>
    <w:rPr>
      <w:rFonts w:eastAsia="Times New Roman" w:cs="Cambria"/>
      <w:kern w:val="22"/>
      <w:sz w:val="22"/>
      <w:szCs w:val="24"/>
    </w:rPr>
  </w:style>
  <w:style w:type="character" w:customStyle="1" w:styleId="NormalCECar">
    <w:name w:val="Normal CE Car"/>
    <w:link w:val="NormalCE"/>
    <w:locked/>
    <w:rsid w:val="00462944"/>
    <w:rPr>
      <w:rFonts w:ascii="Times New Roman" w:eastAsia="Times New Roman" w:hAnsi="Times New Roman" w:cs="Arial"/>
      <w:sz w:val="22"/>
      <w:szCs w:val="18"/>
    </w:rPr>
  </w:style>
  <w:style w:type="paragraph" w:customStyle="1" w:styleId="NormalCE">
    <w:name w:val="Normal CE"/>
    <w:basedOn w:val="Normal"/>
    <w:link w:val="NormalCECar"/>
    <w:qFormat/>
    <w:rsid w:val="00462944"/>
    <w:pPr>
      <w:spacing w:before="120" w:after="120"/>
      <w:jc w:val="both"/>
    </w:pPr>
    <w:rPr>
      <w:rFonts w:ascii="Times New Roman" w:eastAsia="Times New Roman" w:hAnsi="Times New Roman" w:cs="Arial"/>
      <w:sz w:val="22"/>
      <w:szCs w:val="18"/>
      <w:lang w:eastAsia="fr-FR"/>
    </w:rPr>
  </w:style>
  <w:style w:type="character" w:customStyle="1" w:styleId="AvisListeCar">
    <w:name w:val="Avis Liste Car"/>
    <w:basedOn w:val="Policepardfaut"/>
    <w:link w:val="AvisListe"/>
    <w:locked/>
    <w:rsid w:val="00462944"/>
    <w:rPr>
      <w:rFonts w:ascii="Times New Roman" w:eastAsia="Times New Roman" w:hAnsi="Times New Roman" w:cstheme="minorHAnsi"/>
      <w:sz w:val="22"/>
      <w:szCs w:val="22"/>
    </w:rPr>
  </w:style>
  <w:style w:type="paragraph" w:customStyle="1" w:styleId="AvisListe">
    <w:name w:val="Avis Liste"/>
    <w:basedOn w:val="Paragraphedeliste"/>
    <w:link w:val="AvisListeCar"/>
    <w:qFormat/>
    <w:rsid w:val="00462944"/>
    <w:pPr>
      <w:numPr>
        <w:numId w:val="43"/>
      </w:numPr>
      <w:spacing w:before="120" w:after="120"/>
      <w:ind w:left="714" w:hanging="357"/>
      <w:contextualSpacing/>
      <w:jc w:val="both"/>
    </w:pPr>
    <w:rPr>
      <w:rFonts w:ascii="Times New Roman" w:eastAsia="Times New Roman" w:hAnsi="Times New Roman" w:cstheme="minorHAnsi"/>
      <w:sz w:val="22"/>
      <w:szCs w:val="2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680472">
      <w:bodyDiv w:val="1"/>
      <w:marLeft w:val="0"/>
      <w:marRight w:val="0"/>
      <w:marTop w:val="0"/>
      <w:marBottom w:val="0"/>
      <w:divBdr>
        <w:top w:val="none" w:sz="0" w:space="0" w:color="auto"/>
        <w:left w:val="none" w:sz="0" w:space="0" w:color="auto"/>
        <w:bottom w:val="none" w:sz="0" w:space="0" w:color="auto"/>
        <w:right w:val="none" w:sz="0" w:space="0" w:color="auto"/>
      </w:divBdr>
      <w:divsChild>
        <w:div w:id="388236879">
          <w:marLeft w:val="864"/>
          <w:marRight w:val="0"/>
          <w:marTop w:val="187"/>
          <w:marBottom w:val="0"/>
          <w:divBdr>
            <w:top w:val="none" w:sz="0" w:space="0" w:color="auto"/>
            <w:left w:val="none" w:sz="0" w:space="0" w:color="auto"/>
            <w:bottom w:val="none" w:sz="0" w:space="0" w:color="auto"/>
            <w:right w:val="none" w:sz="0" w:space="0" w:color="auto"/>
          </w:divBdr>
        </w:div>
        <w:div w:id="536431721">
          <w:marLeft w:val="1886"/>
          <w:marRight w:val="0"/>
          <w:marTop w:val="154"/>
          <w:marBottom w:val="0"/>
          <w:divBdr>
            <w:top w:val="none" w:sz="0" w:space="0" w:color="auto"/>
            <w:left w:val="none" w:sz="0" w:space="0" w:color="auto"/>
            <w:bottom w:val="none" w:sz="0" w:space="0" w:color="auto"/>
            <w:right w:val="none" w:sz="0" w:space="0" w:color="auto"/>
          </w:divBdr>
        </w:div>
        <w:div w:id="668680567">
          <w:marLeft w:val="1886"/>
          <w:marRight w:val="0"/>
          <w:marTop w:val="154"/>
          <w:marBottom w:val="0"/>
          <w:divBdr>
            <w:top w:val="none" w:sz="0" w:space="0" w:color="auto"/>
            <w:left w:val="none" w:sz="0" w:space="0" w:color="auto"/>
            <w:bottom w:val="none" w:sz="0" w:space="0" w:color="auto"/>
            <w:right w:val="none" w:sz="0" w:space="0" w:color="auto"/>
          </w:divBdr>
        </w:div>
        <w:div w:id="808716677">
          <w:marLeft w:val="1886"/>
          <w:marRight w:val="0"/>
          <w:marTop w:val="154"/>
          <w:marBottom w:val="0"/>
          <w:divBdr>
            <w:top w:val="none" w:sz="0" w:space="0" w:color="auto"/>
            <w:left w:val="none" w:sz="0" w:space="0" w:color="auto"/>
            <w:bottom w:val="none" w:sz="0" w:space="0" w:color="auto"/>
            <w:right w:val="none" w:sz="0" w:space="0" w:color="auto"/>
          </w:divBdr>
        </w:div>
        <w:div w:id="1056466498">
          <w:marLeft w:val="1886"/>
          <w:marRight w:val="0"/>
          <w:marTop w:val="154"/>
          <w:marBottom w:val="0"/>
          <w:divBdr>
            <w:top w:val="none" w:sz="0" w:space="0" w:color="auto"/>
            <w:left w:val="none" w:sz="0" w:space="0" w:color="auto"/>
            <w:bottom w:val="none" w:sz="0" w:space="0" w:color="auto"/>
            <w:right w:val="none" w:sz="0" w:space="0" w:color="auto"/>
          </w:divBdr>
        </w:div>
        <w:div w:id="1214998143">
          <w:marLeft w:val="864"/>
          <w:marRight w:val="0"/>
          <w:marTop w:val="192"/>
          <w:marBottom w:val="0"/>
          <w:divBdr>
            <w:top w:val="none" w:sz="0" w:space="0" w:color="auto"/>
            <w:left w:val="none" w:sz="0" w:space="0" w:color="auto"/>
            <w:bottom w:val="none" w:sz="0" w:space="0" w:color="auto"/>
            <w:right w:val="none" w:sz="0" w:space="0" w:color="auto"/>
          </w:divBdr>
        </w:div>
        <w:div w:id="1785223281">
          <w:marLeft w:val="864"/>
          <w:marRight w:val="0"/>
          <w:marTop w:val="192"/>
          <w:marBottom w:val="0"/>
          <w:divBdr>
            <w:top w:val="none" w:sz="0" w:space="0" w:color="auto"/>
            <w:left w:val="none" w:sz="0" w:space="0" w:color="auto"/>
            <w:bottom w:val="none" w:sz="0" w:space="0" w:color="auto"/>
            <w:right w:val="none" w:sz="0" w:space="0" w:color="auto"/>
          </w:divBdr>
        </w:div>
      </w:divsChild>
    </w:div>
    <w:div w:id="72627824">
      <w:bodyDiv w:val="1"/>
      <w:marLeft w:val="0"/>
      <w:marRight w:val="0"/>
      <w:marTop w:val="0"/>
      <w:marBottom w:val="0"/>
      <w:divBdr>
        <w:top w:val="none" w:sz="0" w:space="0" w:color="auto"/>
        <w:left w:val="none" w:sz="0" w:space="0" w:color="auto"/>
        <w:bottom w:val="none" w:sz="0" w:space="0" w:color="auto"/>
        <w:right w:val="none" w:sz="0" w:space="0" w:color="auto"/>
      </w:divBdr>
    </w:div>
    <w:div w:id="77024422">
      <w:bodyDiv w:val="1"/>
      <w:marLeft w:val="0"/>
      <w:marRight w:val="0"/>
      <w:marTop w:val="0"/>
      <w:marBottom w:val="0"/>
      <w:divBdr>
        <w:top w:val="none" w:sz="0" w:space="0" w:color="auto"/>
        <w:left w:val="none" w:sz="0" w:space="0" w:color="auto"/>
        <w:bottom w:val="none" w:sz="0" w:space="0" w:color="auto"/>
        <w:right w:val="none" w:sz="0" w:space="0" w:color="auto"/>
      </w:divBdr>
    </w:div>
    <w:div w:id="93676622">
      <w:bodyDiv w:val="1"/>
      <w:marLeft w:val="0"/>
      <w:marRight w:val="0"/>
      <w:marTop w:val="0"/>
      <w:marBottom w:val="0"/>
      <w:divBdr>
        <w:top w:val="none" w:sz="0" w:space="0" w:color="auto"/>
        <w:left w:val="none" w:sz="0" w:space="0" w:color="auto"/>
        <w:bottom w:val="none" w:sz="0" w:space="0" w:color="auto"/>
        <w:right w:val="none" w:sz="0" w:space="0" w:color="auto"/>
      </w:divBdr>
    </w:div>
    <w:div w:id="99105842">
      <w:bodyDiv w:val="1"/>
      <w:marLeft w:val="0"/>
      <w:marRight w:val="0"/>
      <w:marTop w:val="0"/>
      <w:marBottom w:val="0"/>
      <w:divBdr>
        <w:top w:val="none" w:sz="0" w:space="0" w:color="auto"/>
        <w:left w:val="none" w:sz="0" w:space="0" w:color="auto"/>
        <w:bottom w:val="none" w:sz="0" w:space="0" w:color="auto"/>
        <w:right w:val="none" w:sz="0" w:space="0" w:color="auto"/>
      </w:divBdr>
    </w:div>
    <w:div w:id="102462024">
      <w:bodyDiv w:val="1"/>
      <w:marLeft w:val="0"/>
      <w:marRight w:val="0"/>
      <w:marTop w:val="0"/>
      <w:marBottom w:val="0"/>
      <w:divBdr>
        <w:top w:val="none" w:sz="0" w:space="0" w:color="auto"/>
        <w:left w:val="none" w:sz="0" w:space="0" w:color="auto"/>
        <w:bottom w:val="none" w:sz="0" w:space="0" w:color="auto"/>
        <w:right w:val="none" w:sz="0" w:space="0" w:color="auto"/>
      </w:divBdr>
    </w:div>
    <w:div w:id="119542478">
      <w:bodyDiv w:val="1"/>
      <w:marLeft w:val="0"/>
      <w:marRight w:val="0"/>
      <w:marTop w:val="0"/>
      <w:marBottom w:val="0"/>
      <w:divBdr>
        <w:top w:val="none" w:sz="0" w:space="0" w:color="auto"/>
        <w:left w:val="none" w:sz="0" w:space="0" w:color="auto"/>
        <w:bottom w:val="none" w:sz="0" w:space="0" w:color="auto"/>
        <w:right w:val="none" w:sz="0" w:space="0" w:color="auto"/>
      </w:divBdr>
    </w:div>
    <w:div w:id="152918752">
      <w:bodyDiv w:val="1"/>
      <w:marLeft w:val="0"/>
      <w:marRight w:val="0"/>
      <w:marTop w:val="0"/>
      <w:marBottom w:val="0"/>
      <w:divBdr>
        <w:top w:val="none" w:sz="0" w:space="0" w:color="auto"/>
        <w:left w:val="none" w:sz="0" w:space="0" w:color="auto"/>
        <w:bottom w:val="none" w:sz="0" w:space="0" w:color="auto"/>
        <w:right w:val="none" w:sz="0" w:space="0" w:color="auto"/>
      </w:divBdr>
      <w:divsChild>
        <w:div w:id="128017111">
          <w:marLeft w:val="864"/>
          <w:marRight w:val="0"/>
          <w:marTop w:val="115"/>
          <w:marBottom w:val="0"/>
          <w:divBdr>
            <w:top w:val="none" w:sz="0" w:space="0" w:color="auto"/>
            <w:left w:val="none" w:sz="0" w:space="0" w:color="auto"/>
            <w:bottom w:val="none" w:sz="0" w:space="0" w:color="auto"/>
            <w:right w:val="none" w:sz="0" w:space="0" w:color="auto"/>
          </w:divBdr>
        </w:div>
      </w:divsChild>
    </w:div>
    <w:div w:id="174881347">
      <w:bodyDiv w:val="1"/>
      <w:marLeft w:val="0"/>
      <w:marRight w:val="0"/>
      <w:marTop w:val="0"/>
      <w:marBottom w:val="0"/>
      <w:divBdr>
        <w:top w:val="none" w:sz="0" w:space="0" w:color="auto"/>
        <w:left w:val="none" w:sz="0" w:space="0" w:color="auto"/>
        <w:bottom w:val="none" w:sz="0" w:space="0" w:color="auto"/>
        <w:right w:val="none" w:sz="0" w:space="0" w:color="auto"/>
      </w:divBdr>
    </w:div>
    <w:div w:id="227614213">
      <w:bodyDiv w:val="1"/>
      <w:marLeft w:val="0"/>
      <w:marRight w:val="0"/>
      <w:marTop w:val="0"/>
      <w:marBottom w:val="0"/>
      <w:divBdr>
        <w:top w:val="none" w:sz="0" w:space="0" w:color="auto"/>
        <w:left w:val="none" w:sz="0" w:space="0" w:color="auto"/>
        <w:bottom w:val="none" w:sz="0" w:space="0" w:color="auto"/>
        <w:right w:val="none" w:sz="0" w:space="0" w:color="auto"/>
      </w:divBdr>
    </w:div>
    <w:div w:id="284120151">
      <w:bodyDiv w:val="1"/>
      <w:marLeft w:val="0"/>
      <w:marRight w:val="0"/>
      <w:marTop w:val="0"/>
      <w:marBottom w:val="0"/>
      <w:divBdr>
        <w:top w:val="none" w:sz="0" w:space="0" w:color="auto"/>
        <w:left w:val="none" w:sz="0" w:space="0" w:color="auto"/>
        <w:bottom w:val="none" w:sz="0" w:space="0" w:color="auto"/>
        <w:right w:val="none" w:sz="0" w:space="0" w:color="auto"/>
      </w:divBdr>
    </w:div>
    <w:div w:id="300885360">
      <w:bodyDiv w:val="1"/>
      <w:marLeft w:val="0"/>
      <w:marRight w:val="0"/>
      <w:marTop w:val="0"/>
      <w:marBottom w:val="0"/>
      <w:divBdr>
        <w:top w:val="none" w:sz="0" w:space="0" w:color="auto"/>
        <w:left w:val="none" w:sz="0" w:space="0" w:color="auto"/>
        <w:bottom w:val="none" w:sz="0" w:space="0" w:color="auto"/>
        <w:right w:val="none" w:sz="0" w:space="0" w:color="auto"/>
      </w:divBdr>
    </w:div>
    <w:div w:id="312490191">
      <w:bodyDiv w:val="1"/>
      <w:marLeft w:val="0"/>
      <w:marRight w:val="0"/>
      <w:marTop w:val="0"/>
      <w:marBottom w:val="0"/>
      <w:divBdr>
        <w:top w:val="none" w:sz="0" w:space="0" w:color="auto"/>
        <w:left w:val="none" w:sz="0" w:space="0" w:color="auto"/>
        <w:bottom w:val="none" w:sz="0" w:space="0" w:color="auto"/>
        <w:right w:val="none" w:sz="0" w:space="0" w:color="auto"/>
      </w:divBdr>
    </w:div>
    <w:div w:id="313337128">
      <w:bodyDiv w:val="1"/>
      <w:marLeft w:val="0"/>
      <w:marRight w:val="0"/>
      <w:marTop w:val="0"/>
      <w:marBottom w:val="0"/>
      <w:divBdr>
        <w:top w:val="none" w:sz="0" w:space="0" w:color="auto"/>
        <w:left w:val="none" w:sz="0" w:space="0" w:color="auto"/>
        <w:bottom w:val="none" w:sz="0" w:space="0" w:color="auto"/>
        <w:right w:val="none" w:sz="0" w:space="0" w:color="auto"/>
      </w:divBdr>
    </w:div>
    <w:div w:id="463695345">
      <w:bodyDiv w:val="1"/>
      <w:marLeft w:val="0"/>
      <w:marRight w:val="0"/>
      <w:marTop w:val="0"/>
      <w:marBottom w:val="0"/>
      <w:divBdr>
        <w:top w:val="none" w:sz="0" w:space="0" w:color="auto"/>
        <w:left w:val="none" w:sz="0" w:space="0" w:color="auto"/>
        <w:bottom w:val="none" w:sz="0" w:space="0" w:color="auto"/>
        <w:right w:val="none" w:sz="0" w:space="0" w:color="auto"/>
      </w:divBdr>
    </w:div>
    <w:div w:id="478763830">
      <w:bodyDiv w:val="1"/>
      <w:marLeft w:val="0"/>
      <w:marRight w:val="0"/>
      <w:marTop w:val="0"/>
      <w:marBottom w:val="0"/>
      <w:divBdr>
        <w:top w:val="none" w:sz="0" w:space="0" w:color="auto"/>
        <w:left w:val="none" w:sz="0" w:space="0" w:color="auto"/>
        <w:bottom w:val="none" w:sz="0" w:space="0" w:color="auto"/>
        <w:right w:val="none" w:sz="0" w:space="0" w:color="auto"/>
      </w:divBdr>
      <w:divsChild>
        <w:div w:id="557520741">
          <w:marLeft w:val="1166"/>
          <w:marRight w:val="0"/>
          <w:marTop w:val="67"/>
          <w:marBottom w:val="0"/>
          <w:divBdr>
            <w:top w:val="none" w:sz="0" w:space="0" w:color="auto"/>
            <w:left w:val="none" w:sz="0" w:space="0" w:color="auto"/>
            <w:bottom w:val="none" w:sz="0" w:space="0" w:color="auto"/>
            <w:right w:val="none" w:sz="0" w:space="0" w:color="auto"/>
          </w:divBdr>
        </w:div>
      </w:divsChild>
    </w:div>
    <w:div w:id="546065469">
      <w:bodyDiv w:val="1"/>
      <w:marLeft w:val="0"/>
      <w:marRight w:val="0"/>
      <w:marTop w:val="0"/>
      <w:marBottom w:val="0"/>
      <w:divBdr>
        <w:top w:val="none" w:sz="0" w:space="0" w:color="auto"/>
        <w:left w:val="none" w:sz="0" w:space="0" w:color="auto"/>
        <w:bottom w:val="none" w:sz="0" w:space="0" w:color="auto"/>
        <w:right w:val="none" w:sz="0" w:space="0" w:color="auto"/>
      </w:divBdr>
      <w:divsChild>
        <w:div w:id="95711476">
          <w:marLeft w:val="274"/>
          <w:marRight w:val="0"/>
          <w:marTop w:val="0"/>
          <w:marBottom w:val="0"/>
          <w:divBdr>
            <w:top w:val="none" w:sz="0" w:space="0" w:color="auto"/>
            <w:left w:val="none" w:sz="0" w:space="0" w:color="auto"/>
            <w:bottom w:val="none" w:sz="0" w:space="0" w:color="auto"/>
            <w:right w:val="none" w:sz="0" w:space="0" w:color="auto"/>
          </w:divBdr>
        </w:div>
        <w:div w:id="294722209">
          <w:marLeft w:val="274"/>
          <w:marRight w:val="0"/>
          <w:marTop w:val="0"/>
          <w:marBottom w:val="0"/>
          <w:divBdr>
            <w:top w:val="none" w:sz="0" w:space="0" w:color="auto"/>
            <w:left w:val="none" w:sz="0" w:space="0" w:color="auto"/>
            <w:bottom w:val="none" w:sz="0" w:space="0" w:color="auto"/>
            <w:right w:val="none" w:sz="0" w:space="0" w:color="auto"/>
          </w:divBdr>
        </w:div>
        <w:div w:id="1116216802">
          <w:marLeft w:val="274"/>
          <w:marRight w:val="0"/>
          <w:marTop w:val="0"/>
          <w:marBottom w:val="0"/>
          <w:divBdr>
            <w:top w:val="none" w:sz="0" w:space="0" w:color="auto"/>
            <w:left w:val="none" w:sz="0" w:space="0" w:color="auto"/>
            <w:bottom w:val="none" w:sz="0" w:space="0" w:color="auto"/>
            <w:right w:val="none" w:sz="0" w:space="0" w:color="auto"/>
          </w:divBdr>
        </w:div>
      </w:divsChild>
    </w:div>
    <w:div w:id="561261200">
      <w:bodyDiv w:val="1"/>
      <w:marLeft w:val="0"/>
      <w:marRight w:val="0"/>
      <w:marTop w:val="0"/>
      <w:marBottom w:val="0"/>
      <w:divBdr>
        <w:top w:val="none" w:sz="0" w:space="0" w:color="auto"/>
        <w:left w:val="none" w:sz="0" w:space="0" w:color="auto"/>
        <w:bottom w:val="none" w:sz="0" w:space="0" w:color="auto"/>
        <w:right w:val="none" w:sz="0" w:space="0" w:color="auto"/>
      </w:divBdr>
    </w:div>
    <w:div w:id="620694836">
      <w:bodyDiv w:val="1"/>
      <w:marLeft w:val="0"/>
      <w:marRight w:val="0"/>
      <w:marTop w:val="0"/>
      <w:marBottom w:val="0"/>
      <w:divBdr>
        <w:top w:val="none" w:sz="0" w:space="0" w:color="auto"/>
        <w:left w:val="none" w:sz="0" w:space="0" w:color="auto"/>
        <w:bottom w:val="none" w:sz="0" w:space="0" w:color="auto"/>
        <w:right w:val="none" w:sz="0" w:space="0" w:color="auto"/>
      </w:divBdr>
      <w:divsChild>
        <w:div w:id="253973087">
          <w:marLeft w:val="274"/>
          <w:marRight w:val="0"/>
          <w:marTop w:val="80"/>
          <w:marBottom w:val="0"/>
          <w:divBdr>
            <w:top w:val="none" w:sz="0" w:space="0" w:color="auto"/>
            <w:left w:val="none" w:sz="0" w:space="0" w:color="auto"/>
            <w:bottom w:val="none" w:sz="0" w:space="0" w:color="auto"/>
            <w:right w:val="none" w:sz="0" w:space="0" w:color="auto"/>
          </w:divBdr>
        </w:div>
        <w:div w:id="1863979908">
          <w:marLeft w:val="274"/>
          <w:marRight w:val="0"/>
          <w:marTop w:val="80"/>
          <w:marBottom w:val="0"/>
          <w:divBdr>
            <w:top w:val="none" w:sz="0" w:space="0" w:color="auto"/>
            <w:left w:val="none" w:sz="0" w:space="0" w:color="auto"/>
            <w:bottom w:val="none" w:sz="0" w:space="0" w:color="auto"/>
            <w:right w:val="none" w:sz="0" w:space="0" w:color="auto"/>
          </w:divBdr>
        </w:div>
      </w:divsChild>
    </w:div>
    <w:div w:id="647319104">
      <w:bodyDiv w:val="1"/>
      <w:marLeft w:val="0"/>
      <w:marRight w:val="0"/>
      <w:marTop w:val="0"/>
      <w:marBottom w:val="0"/>
      <w:divBdr>
        <w:top w:val="none" w:sz="0" w:space="0" w:color="auto"/>
        <w:left w:val="none" w:sz="0" w:space="0" w:color="auto"/>
        <w:bottom w:val="none" w:sz="0" w:space="0" w:color="auto"/>
        <w:right w:val="none" w:sz="0" w:space="0" w:color="auto"/>
      </w:divBdr>
      <w:divsChild>
        <w:div w:id="1950699546">
          <w:marLeft w:val="864"/>
          <w:marRight w:val="0"/>
          <w:marTop w:val="115"/>
          <w:marBottom w:val="0"/>
          <w:divBdr>
            <w:top w:val="none" w:sz="0" w:space="0" w:color="auto"/>
            <w:left w:val="none" w:sz="0" w:space="0" w:color="auto"/>
            <w:bottom w:val="none" w:sz="0" w:space="0" w:color="auto"/>
            <w:right w:val="none" w:sz="0" w:space="0" w:color="auto"/>
          </w:divBdr>
        </w:div>
      </w:divsChild>
    </w:div>
    <w:div w:id="690300375">
      <w:bodyDiv w:val="1"/>
      <w:marLeft w:val="0"/>
      <w:marRight w:val="0"/>
      <w:marTop w:val="0"/>
      <w:marBottom w:val="0"/>
      <w:divBdr>
        <w:top w:val="none" w:sz="0" w:space="0" w:color="auto"/>
        <w:left w:val="none" w:sz="0" w:space="0" w:color="auto"/>
        <w:bottom w:val="none" w:sz="0" w:space="0" w:color="auto"/>
        <w:right w:val="none" w:sz="0" w:space="0" w:color="auto"/>
      </w:divBdr>
    </w:div>
    <w:div w:id="721560268">
      <w:bodyDiv w:val="1"/>
      <w:marLeft w:val="0"/>
      <w:marRight w:val="0"/>
      <w:marTop w:val="0"/>
      <w:marBottom w:val="0"/>
      <w:divBdr>
        <w:top w:val="none" w:sz="0" w:space="0" w:color="auto"/>
        <w:left w:val="none" w:sz="0" w:space="0" w:color="auto"/>
        <w:bottom w:val="none" w:sz="0" w:space="0" w:color="auto"/>
        <w:right w:val="none" w:sz="0" w:space="0" w:color="auto"/>
      </w:divBdr>
    </w:div>
    <w:div w:id="763843565">
      <w:bodyDiv w:val="1"/>
      <w:marLeft w:val="0"/>
      <w:marRight w:val="0"/>
      <w:marTop w:val="0"/>
      <w:marBottom w:val="0"/>
      <w:divBdr>
        <w:top w:val="none" w:sz="0" w:space="0" w:color="auto"/>
        <w:left w:val="none" w:sz="0" w:space="0" w:color="auto"/>
        <w:bottom w:val="none" w:sz="0" w:space="0" w:color="auto"/>
        <w:right w:val="none" w:sz="0" w:space="0" w:color="auto"/>
      </w:divBdr>
    </w:div>
    <w:div w:id="791872575">
      <w:bodyDiv w:val="1"/>
      <w:marLeft w:val="0"/>
      <w:marRight w:val="0"/>
      <w:marTop w:val="0"/>
      <w:marBottom w:val="0"/>
      <w:divBdr>
        <w:top w:val="none" w:sz="0" w:space="0" w:color="auto"/>
        <w:left w:val="none" w:sz="0" w:space="0" w:color="auto"/>
        <w:bottom w:val="none" w:sz="0" w:space="0" w:color="auto"/>
        <w:right w:val="none" w:sz="0" w:space="0" w:color="auto"/>
      </w:divBdr>
    </w:div>
    <w:div w:id="840245235">
      <w:bodyDiv w:val="1"/>
      <w:marLeft w:val="0"/>
      <w:marRight w:val="0"/>
      <w:marTop w:val="0"/>
      <w:marBottom w:val="0"/>
      <w:divBdr>
        <w:top w:val="none" w:sz="0" w:space="0" w:color="auto"/>
        <w:left w:val="none" w:sz="0" w:space="0" w:color="auto"/>
        <w:bottom w:val="none" w:sz="0" w:space="0" w:color="auto"/>
        <w:right w:val="none" w:sz="0" w:space="0" w:color="auto"/>
      </w:divBdr>
    </w:div>
    <w:div w:id="922496378">
      <w:bodyDiv w:val="1"/>
      <w:marLeft w:val="0"/>
      <w:marRight w:val="0"/>
      <w:marTop w:val="0"/>
      <w:marBottom w:val="0"/>
      <w:divBdr>
        <w:top w:val="none" w:sz="0" w:space="0" w:color="auto"/>
        <w:left w:val="none" w:sz="0" w:space="0" w:color="auto"/>
        <w:bottom w:val="none" w:sz="0" w:space="0" w:color="auto"/>
        <w:right w:val="none" w:sz="0" w:space="0" w:color="auto"/>
      </w:divBdr>
    </w:div>
    <w:div w:id="938752903">
      <w:bodyDiv w:val="1"/>
      <w:marLeft w:val="0"/>
      <w:marRight w:val="0"/>
      <w:marTop w:val="0"/>
      <w:marBottom w:val="0"/>
      <w:divBdr>
        <w:top w:val="none" w:sz="0" w:space="0" w:color="auto"/>
        <w:left w:val="none" w:sz="0" w:space="0" w:color="auto"/>
        <w:bottom w:val="none" w:sz="0" w:space="0" w:color="auto"/>
        <w:right w:val="none" w:sz="0" w:space="0" w:color="auto"/>
      </w:divBdr>
    </w:div>
    <w:div w:id="949821521">
      <w:bodyDiv w:val="1"/>
      <w:marLeft w:val="0"/>
      <w:marRight w:val="0"/>
      <w:marTop w:val="0"/>
      <w:marBottom w:val="0"/>
      <w:divBdr>
        <w:top w:val="none" w:sz="0" w:space="0" w:color="auto"/>
        <w:left w:val="none" w:sz="0" w:space="0" w:color="auto"/>
        <w:bottom w:val="none" w:sz="0" w:space="0" w:color="auto"/>
        <w:right w:val="none" w:sz="0" w:space="0" w:color="auto"/>
      </w:divBdr>
    </w:div>
    <w:div w:id="952246869">
      <w:bodyDiv w:val="1"/>
      <w:marLeft w:val="0"/>
      <w:marRight w:val="0"/>
      <w:marTop w:val="0"/>
      <w:marBottom w:val="0"/>
      <w:divBdr>
        <w:top w:val="none" w:sz="0" w:space="0" w:color="auto"/>
        <w:left w:val="none" w:sz="0" w:space="0" w:color="auto"/>
        <w:bottom w:val="none" w:sz="0" w:space="0" w:color="auto"/>
        <w:right w:val="none" w:sz="0" w:space="0" w:color="auto"/>
      </w:divBdr>
    </w:div>
    <w:div w:id="969827311">
      <w:bodyDiv w:val="1"/>
      <w:marLeft w:val="0"/>
      <w:marRight w:val="0"/>
      <w:marTop w:val="0"/>
      <w:marBottom w:val="0"/>
      <w:divBdr>
        <w:top w:val="none" w:sz="0" w:space="0" w:color="auto"/>
        <w:left w:val="none" w:sz="0" w:space="0" w:color="auto"/>
        <w:bottom w:val="none" w:sz="0" w:space="0" w:color="auto"/>
        <w:right w:val="none" w:sz="0" w:space="0" w:color="auto"/>
      </w:divBdr>
    </w:div>
    <w:div w:id="1013722150">
      <w:bodyDiv w:val="1"/>
      <w:marLeft w:val="0"/>
      <w:marRight w:val="0"/>
      <w:marTop w:val="0"/>
      <w:marBottom w:val="0"/>
      <w:divBdr>
        <w:top w:val="none" w:sz="0" w:space="0" w:color="auto"/>
        <w:left w:val="none" w:sz="0" w:space="0" w:color="auto"/>
        <w:bottom w:val="none" w:sz="0" w:space="0" w:color="auto"/>
        <w:right w:val="none" w:sz="0" w:space="0" w:color="auto"/>
      </w:divBdr>
    </w:div>
    <w:div w:id="1025910281">
      <w:bodyDiv w:val="1"/>
      <w:marLeft w:val="0"/>
      <w:marRight w:val="0"/>
      <w:marTop w:val="0"/>
      <w:marBottom w:val="0"/>
      <w:divBdr>
        <w:top w:val="none" w:sz="0" w:space="0" w:color="auto"/>
        <w:left w:val="none" w:sz="0" w:space="0" w:color="auto"/>
        <w:bottom w:val="none" w:sz="0" w:space="0" w:color="auto"/>
        <w:right w:val="none" w:sz="0" w:space="0" w:color="auto"/>
      </w:divBdr>
      <w:divsChild>
        <w:div w:id="31270393">
          <w:marLeft w:val="720"/>
          <w:marRight w:val="0"/>
          <w:marTop w:val="120"/>
          <w:marBottom w:val="0"/>
          <w:divBdr>
            <w:top w:val="none" w:sz="0" w:space="0" w:color="auto"/>
            <w:left w:val="none" w:sz="0" w:space="0" w:color="auto"/>
            <w:bottom w:val="none" w:sz="0" w:space="0" w:color="auto"/>
            <w:right w:val="none" w:sz="0" w:space="0" w:color="auto"/>
          </w:divBdr>
        </w:div>
        <w:div w:id="110633326">
          <w:marLeft w:val="360"/>
          <w:marRight w:val="0"/>
          <w:marTop w:val="200"/>
          <w:marBottom w:val="0"/>
          <w:divBdr>
            <w:top w:val="none" w:sz="0" w:space="0" w:color="auto"/>
            <w:left w:val="none" w:sz="0" w:space="0" w:color="auto"/>
            <w:bottom w:val="none" w:sz="0" w:space="0" w:color="auto"/>
            <w:right w:val="none" w:sz="0" w:space="0" w:color="auto"/>
          </w:divBdr>
        </w:div>
        <w:div w:id="263614391">
          <w:marLeft w:val="0"/>
          <w:marRight w:val="0"/>
          <w:marTop w:val="120"/>
          <w:marBottom w:val="0"/>
          <w:divBdr>
            <w:top w:val="none" w:sz="0" w:space="0" w:color="auto"/>
            <w:left w:val="none" w:sz="0" w:space="0" w:color="auto"/>
            <w:bottom w:val="none" w:sz="0" w:space="0" w:color="auto"/>
            <w:right w:val="none" w:sz="0" w:space="0" w:color="auto"/>
          </w:divBdr>
        </w:div>
        <w:div w:id="861743061">
          <w:marLeft w:val="1080"/>
          <w:marRight w:val="0"/>
          <w:marTop w:val="100"/>
          <w:marBottom w:val="0"/>
          <w:divBdr>
            <w:top w:val="none" w:sz="0" w:space="0" w:color="auto"/>
            <w:left w:val="none" w:sz="0" w:space="0" w:color="auto"/>
            <w:bottom w:val="none" w:sz="0" w:space="0" w:color="auto"/>
            <w:right w:val="none" w:sz="0" w:space="0" w:color="auto"/>
          </w:divBdr>
        </w:div>
        <w:div w:id="896891889">
          <w:marLeft w:val="720"/>
          <w:marRight w:val="0"/>
          <w:marTop w:val="120"/>
          <w:marBottom w:val="0"/>
          <w:divBdr>
            <w:top w:val="none" w:sz="0" w:space="0" w:color="auto"/>
            <w:left w:val="none" w:sz="0" w:space="0" w:color="auto"/>
            <w:bottom w:val="none" w:sz="0" w:space="0" w:color="auto"/>
            <w:right w:val="none" w:sz="0" w:space="0" w:color="auto"/>
          </w:divBdr>
        </w:div>
        <w:div w:id="1183208174">
          <w:marLeft w:val="1080"/>
          <w:marRight w:val="0"/>
          <w:marTop w:val="100"/>
          <w:marBottom w:val="0"/>
          <w:divBdr>
            <w:top w:val="none" w:sz="0" w:space="0" w:color="auto"/>
            <w:left w:val="none" w:sz="0" w:space="0" w:color="auto"/>
            <w:bottom w:val="none" w:sz="0" w:space="0" w:color="auto"/>
            <w:right w:val="none" w:sz="0" w:space="0" w:color="auto"/>
          </w:divBdr>
        </w:div>
        <w:div w:id="1516454149">
          <w:marLeft w:val="0"/>
          <w:marRight w:val="0"/>
          <w:marTop w:val="120"/>
          <w:marBottom w:val="0"/>
          <w:divBdr>
            <w:top w:val="none" w:sz="0" w:space="0" w:color="auto"/>
            <w:left w:val="none" w:sz="0" w:space="0" w:color="auto"/>
            <w:bottom w:val="none" w:sz="0" w:space="0" w:color="auto"/>
            <w:right w:val="none" w:sz="0" w:space="0" w:color="auto"/>
          </w:divBdr>
        </w:div>
        <w:div w:id="1788506703">
          <w:marLeft w:val="0"/>
          <w:marRight w:val="0"/>
          <w:marTop w:val="120"/>
          <w:marBottom w:val="0"/>
          <w:divBdr>
            <w:top w:val="none" w:sz="0" w:space="0" w:color="auto"/>
            <w:left w:val="none" w:sz="0" w:space="0" w:color="auto"/>
            <w:bottom w:val="none" w:sz="0" w:space="0" w:color="auto"/>
            <w:right w:val="none" w:sz="0" w:space="0" w:color="auto"/>
          </w:divBdr>
        </w:div>
      </w:divsChild>
    </w:div>
    <w:div w:id="1065176895">
      <w:bodyDiv w:val="1"/>
      <w:marLeft w:val="0"/>
      <w:marRight w:val="0"/>
      <w:marTop w:val="0"/>
      <w:marBottom w:val="0"/>
      <w:divBdr>
        <w:top w:val="none" w:sz="0" w:space="0" w:color="auto"/>
        <w:left w:val="none" w:sz="0" w:space="0" w:color="auto"/>
        <w:bottom w:val="none" w:sz="0" w:space="0" w:color="auto"/>
        <w:right w:val="none" w:sz="0" w:space="0" w:color="auto"/>
      </w:divBdr>
    </w:div>
    <w:div w:id="1089278950">
      <w:bodyDiv w:val="1"/>
      <w:marLeft w:val="0"/>
      <w:marRight w:val="0"/>
      <w:marTop w:val="0"/>
      <w:marBottom w:val="0"/>
      <w:divBdr>
        <w:top w:val="none" w:sz="0" w:space="0" w:color="auto"/>
        <w:left w:val="none" w:sz="0" w:space="0" w:color="auto"/>
        <w:bottom w:val="none" w:sz="0" w:space="0" w:color="auto"/>
        <w:right w:val="none" w:sz="0" w:space="0" w:color="auto"/>
      </w:divBdr>
    </w:div>
    <w:div w:id="1096364916">
      <w:bodyDiv w:val="1"/>
      <w:marLeft w:val="0"/>
      <w:marRight w:val="0"/>
      <w:marTop w:val="0"/>
      <w:marBottom w:val="0"/>
      <w:divBdr>
        <w:top w:val="none" w:sz="0" w:space="0" w:color="auto"/>
        <w:left w:val="none" w:sz="0" w:space="0" w:color="auto"/>
        <w:bottom w:val="none" w:sz="0" w:space="0" w:color="auto"/>
        <w:right w:val="none" w:sz="0" w:space="0" w:color="auto"/>
      </w:divBdr>
    </w:div>
    <w:div w:id="1150831070">
      <w:bodyDiv w:val="1"/>
      <w:marLeft w:val="0"/>
      <w:marRight w:val="0"/>
      <w:marTop w:val="0"/>
      <w:marBottom w:val="0"/>
      <w:divBdr>
        <w:top w:val="none" w:sz="0" w:space="0" w:color="auto"/>
        <w:left w:val="none" w:sz="0" w:space="0" w:color="auto"/>
        <w:bottom w:val="none" w:sz="0" w:space="0" w:color="auto"/>
        <w:right w:val="none" w:sz="0" w:space="0" w:color="auto"/>
      </w:divBdr>
    </w:div>
    <w:div w:id="1182819807">
      <w:bodyDiv w:val="1"/>
      <w:marLeft w:val="0"/>
      <w:marRight w:val="0"/>
      <w:marTop w:val="0"/>
      <w:marBottom w:val="0"/>
      <w:divBdr>
        <w:top w:val="none" w:sz="0" w:space="0" w:color="auto"/>
        <w:left w:val="none" w:sz="0" w:space="0" w:color="auto"/>
        <w:bottom w:val="none" w:sz="0" w:space="0" w:color="auto"/>
        <w:right w:val="none" w:sz="0" w:space="0" w:color="auto"/>
      </w:divBdr>
    </w:div>
    <w:div w:id="1205367266">
      <w:bodyDiv w:val="1"/>
      <w:marLeft w:val="0"/>
      <w:marRight w:val="0"/>
      <w:marTop w:val="0"/>
      <w:marBottom w:val="0"/>
      <w:divBdr>
        <w:top w:val="none" w:sz="0" w:space="0" w:color="auto"/>
        <w:left w:val="none" w:sz="0" w:space="0" w:color="auto"/>
        <w:bottom w:val="none" w:sz="0" w:space="0" w:color="auto"/>
        <w:right w:val="none" w:sz="0" w:space="0" w:color="auto"/>
      </w:divBdr>
      <w:divsChild>
        <w:div w:id="211037612">
          <w:marLeft w:val="1800"/>
          <w:marRight w:val="0"/>
          <w:marTop w:val="67"/>
          <w:marBottom w:val="0"/>
          <w:divBdr>
            <w:top w:val="none" w:sz="0" w:space="0" w:color="auto"/>
            <w:left w:val="none" w:sz="0" w:space="0" w:color="auto"/>
            <w:bottom w:val="none" w:sz="0" w:space="0" w:color="auto"/>
            <w:right w:val="none" w:sz="0" w:space="0" w:color="auto"/>
          </w:divBdr>
        </w:div>
      </w:divsChild>
    </w:div>
    <w:div w:id="1217469900">
      <w:bodyDiv w:val="1"/>
      <w:marLeft w:val="0"/>
      <w:marRight w:val="0"/>
      <w:marTop w:val="0"/>
      <w:marBottom w:val="0"/>
      <w:divBdr>
        <w:top w:val="none" w:sz="0" w:space="0" w:color="auto"/>
        <w:left w:val="none" w:sz="0" w:space="0" w:color="auto"/>
        <w:bottom w:val="none" w:sz="0" w:space="0" w:color="auto"/>
        <w:right w:val="none" w:sz="0" w:space="0" w:color="auto"/>
      </w:divBdr>
    </w:div>
    <w:div w:id="1239748106">
      <w:bodyDiv w:val="1"/>
      <w:marLeft w:val="0"/>
      <w:marRight w:val="0"/>
      <w:marTop w:val="0"/>
      <w:marBottom w:val="0"/>
      <w:divBdr>
        <w:top w:val="none" w:sz="0" w:space="0" w:color="auto"/>
        <w:left w:val="none" w:sz="0" w:space="0" w:color="auto"/>
        <w:bottom w:val="none" w:sz="0" w:space="0" w:color="auto"/>
        <w:right w:val="none" w:sz="0" w:space="0" w:color="auto"/>
      </w:divBdr>
    </w:div>
    <w:div w:id="1257249732">
      <w:bodyDiv w:val="1"/>
      <w:marLeft w:val="0"/>
      <w:marRight w:val="0"/>
      <w:marTop w:val="0"/>
      <w:marBottom w:val="0"/>
      <w:divBdr>
        <w:top w:val="none" w:sz="0" w:space="0" w:color="auto"/>
        <w:left w:val="none" w:sz="0" w:space="0" w:color="auto"/>
        <w:bottom w:val="none" w:sz="0" w:space="0" w:color="auto"/>
        <w:right w:val="none" w:sz="0" w:space="0" w:color="auto"/>
      </w:divBdr>
    </w:div>
    <w:div w:id="1327977210">
      <w:bodyDiv w:val="1"/>
      <w:marLeft w:val="0"/>
      <w:marRight w:val="0"/>
      <w:marTop w:val="0"/>
      <w:marBottom w:val="0"/>
      <w:divBdr>
        <w:top w:val="none" w:sz="0" w:space="0" w:color="auto"/>
        <w:left w:val="none" w:sz="0" w:space="0" w:color="auto"/>
        <w:bottom w:val="none" w:sz="0" w:space="0" w:color="auto"/>
        <w:right w:val="none" w:sz="0" w:space="0" w:color="auto"/>
      </w:divBdr>
    </w:div>
    <w:div w:id="1353342194">
      <w:bodyDiv w:val="1"/>
      <w:marLeft w:val="0"/>
      <w:marRight w:val="0"/>
      <w:marTop w:val="0"/>
      <w:marBottom w:val="0"/>
      <w:divBdr>
        <w:top w:val="none" w:sz="0" w:space="0" w:color="auto"/>
        <w:left w:val="none" w:sz="0" w:space="0" w:color="auto"/>
        <w:bottom w:val="none" w:sz="0" w:space="0" w:color="auto"/>
        <w:right w:val="none" w:sz="0" w:space="0" w:color="auto"/>
      </w:divBdr>
    </w:div>
    <w:div w:id="1419249474">
      <w:bodyDiv w:val="1"/>
      <w:marLeft w:val="0"/>
      <w:marRight w:val="0"/>
      <w:marTop w:val="0"/>
      <w:marBottom w:val="0"/>
      <w:divBdr>
        <w:top w:val="none" w:sz="0" w:space="0" w:color="auto"/>
        <w:left w:val="none" w:sz="0" w:space="0" w:color="auto"/>
        <w:bottom w:val="none" w:sz="0" w:space="0" w:color="auto"/>
        <w:right w:val="none" w:sz="0" w:space="0" w:color="auto"/>
      </w:divBdr>
    </w:div>
    <w:div w:id="1445229398">
      <w:bodyDiv w:val="1"/>
      <w:marLeft w:val="0"/>
      <w:marRight w:val="0"/>
      <w:marTop w:val="0"/>
      <w:marBottom w:val="0"/>
      <w:divBdr>
        <w:top w:val="none" w:sz="0" w:space="0" w:color="auto"/>
        <w:left w:val="none" w:sz="0" w:space="0" w:color="auto"/>
        <w:bottom w:val="none" w:sz="0" w:space="0" w:color="auto"/>
        <w:right w:val="none" w:sz="0" w:space="0" w:color="auto"/>
      </w:divBdr>
    </w:div>
    <w:div w:id="1460681220">
      <w:bodyDiv w:val="1"/>
      <w:marLeft w:val="0"/>
      <w:marRight w:val="0"/>
      <w:marTop w:val="0"/>
      <w:marBottom w:val="0"/>
      <w:divBdr>
        <w:top w:val="none" w:sz="0" w:space="0" w:color="auto"/>
        <w:left w:val="none" w:sz="0" w:space="0" w:color="auto"/>
        <w:bottom w:val="none" w:sz="0" w:space="0" w:color="auto"/>
        <w:right w:val="none" w:sz="0" w:space="0" w:color="auto"/>
      </w:divBdr>
    </w:div>
    <w:div w:id="1466966690">
      <w:bodyDiv w:val="1"/>
      <w:marLeft w:val="0"/>
      <w:marRight w:val="0"/>
      <w:marTop w:val="0"/>
      <w:marBottom w:val="0"/>
      <w:divBdr>
        <w:top w:val="none" w:sz="0" w:space="0" w:color="auto"/>
        <w:left w:val="none" w:sz="0" w:space="0" w:color="auto"/>
        <w:bottom w:val="none" w:sz="0" w:space="0" w:color="auto"/>
        <w:right w:val="none" w:sz="0" w:space="0" w:color="auto"/>
      </w:divBdr>
    </w:div>
    <w:div w:id="1475566448">
      <w:bodyDiv w:val="1"/>
      <w:marLeft w:val="0"/>
      <w:marRight w:val="0"/>
      <w:marTop w:val="0"/>
      <w:marBottom w:val="0"/>
      <w:divBdr>
        <w:top w:val="none" w:sz="0" w:space="0" w:color="auto"/>
        <w:left w:val="none" w:sz="0" w:space="0" w:color="auto"/>
        <w:bottom w:val="none" w:sz="0" w:space="0" w:color="auto"/>
        <w:right w:val="none" w:sz="0" w:space="0" w:color="auto"/>
      </w:divBdr>
    </w:div>
    <w:div w:id="1560748165">
      <w:bodyDiv w:val="1"/>
      <w:marLeft w:val="0"/>
      <w:marRight w:val="0"/>
      <w:marTop w:val="0"/>
      <w:marBottom w:val="0"/>
      <w:divBdr>
        <w:top w:val="none" w:sz="0" w:space="0" w:color="auto"/>
        <w:left w:val="none" w:sz="0" w:space="0" w:color="auto"/>
        <w:bottom w:val="none" w:sz="0" w:space="0" w:color="auto"/>
        <w:right w:val="none" w:sz="0" w:space="0" w:color="auto"/>
      </w:divBdr>
    </w:div>
    <w:div w:id="1570113591">
      <w:bodyDiv w:val="1"/>
      <w:marLeft w:val="0"/>
      <w:marRight w:val="0"/>
      <w:marTop w:val="0"/>
      <w:marBottom w:val="0"/>
      <w:divBdr>
        <w:top w:val="none" w:sz="0" w:space="0" w:color="auto"/>
        <w:left w:val="none" w:sz="0" w:space="0" w:color="auto"/>
        <w:bottom w:val="none" w:sz="0" w:space="0" w:color="auto"/>
        <w:right w:val="none" w:sz="0" w:space="0" w:color="auto"/>
      </w:divBdr>
    </w:div>
    <w:div w:id="1748646845">
      <w:bodyDiv w:val="1"/>
      <w:marLeft w:val="0"/>
      <w:marRight w:val="0"/>
      <w:marTop w:val="0"/>
      <w:marBottom w:val="0"/>
      <w:divBdr>
        <w:top w:val="none" w:sz="0" w:space="0" w:color="auto"/>
        <w:left w:val="none" w:sz="0" w:space="0" w:color="auto"/>
        <w:bottom w:val="none" w:sz="0" w:space="0" w:color="auto"/>
        <w:right w:val="none" w:sz="0" w:space="0" w:color="auto"/>
      </w:divBdr>
    </w:div>
    <w:div w:id="1752307903">
      <w:bodyDiv w:val="1"/>
      <w:marLeft w:val="0"/>
      <w:marRight w:val="0"/>
      <w:marTop w:val="0"/>
      <w:marBottom w:val="0"/>
      <w:divBdr>
        <w:top w:val="none" w:sz="0" w:space="0" w:color="auto"/>
        <w:left w:val="none" w:sz="0" w:space="0" w:color="auto"/>
        <w:bottom w:val="none" w:sz="0" w:space="0" w:color="auto"/>
        <w:right w:val="none" w:sz="0" w:space="0" w:color="auto"/>
      </w:divBdr>
    </w:div>
    <w:div w:id="1795442674">
      <w:bodyDiv w:val="1"/>
      <w:marLeft w:val="0"/>
      <w:marRight w:val="0"/>
      <w:marTop w:val="0"/>
      <w:marBottom w:val="0"/>
      <w:divBdr>
        <w:top w:val="none" w:sz="0" w:space="0" w:color="auto"/>
        <w:left w:val="none" w:sz="0" w:space="0" w:color="auto"/>
        <w:bottom w:val="none" w:sz="0" w:space="0" w:color="auto"/>
        <w:right w:val="none" w:sz="0" w:space="0" w:color="auto"/>
      </w:divBdr>
      <w:divsChild>
        <w:div w:id="1102185044">
          <w:marLeft w:val="274"/>
          <w:marRight w:val="0"/>
          <w:marTop w:val="120"/>
          <w:marBottom w:val="0"/>
          <w:divBdr>
            <w:top w:val="none" w:sz="0" w:space="0" w:color="auto"/>
            <w:left w:val="none" w:sz="0" w:space="0" w:color="auto"/>
            <w:bottom w:val="none" w:sz="0" w:space="0" w:color="auto"/>
            <w:right w:val="none" w:sz="0" w:space="0" w:color="auto"/>
          </w:divBdr>
        </w:div>
        <w:div w:id="2065519767">
          <w:marLeft w:val="274"/>
          <w:marRight w:val="0"/>
          <w:marTop w:val="120"/>
          <w:marBottom w:val="0"/>
          <w:divBdr>
            <w:top w:val="none" w:sz="0" w:space="0" w:color="auto"/>
            <w:left w:val="none" w:sz="0" w:space="0" w:color="auto"/>
            <w:bottom w:val="none" w:sz="0" w:space="0" w:color="auto"/>
            <w:right w:val="none" w:sz="0" w:space="0" w:color="auto"/>
          </w:divBdr>
        </w:div>
      </w:divsChild>
    </w:div>
    <w:div w:id="1809394154">
      <w:bodyDiv w:val="1"/>
      <w:marLeft w:val="0"/>
      <w:marRight w:val="0"/>
      <w:marTop w:val="0"/>
      <w:marBottom w:val="0"/>
      <w:divBdr>
        <w:top w:val="none" w:sz="0" w:space="0" w:color="auto"/>
        <w:left w:val="none" w:sz="0" w:space="0" w:color="auto"/>
        <w:bottom w:val="none" w:sz="0" w:space="0" w:color="auto"/>
        <w:right w:val="none" w:sz="0" w:space="0" w:color="auto"/>
      </w:divBdr>
    </w:div>
    <w:div w:id="1814637734">
      <w:bodyDiv w:val="1"/>
      <w:marLeft w:val="0"/>
      <w:marRight w:val="0"/>
      <w:marTop w:val="0"/>
      <w:marBottom w:val="0"/>
      <w:divBdr>
        <w:top w:val="none" w:sz="0" w:space="0" w:color="auto"/>
        <w:left w:val="none" w:sz="0" w:space="0" w:color="auto"/>
        <w:bottom w:val="none" w:sz="0" w:space="0" w:color="auto"/>
        <w:right w:val="none" w:sz="0" w:space="0" w:color="auto"/>
      </w:divBdr>
    </w:div>
    <w:div w:id="1833568069">
      <w:bodyDiv w:val="1"/>
      <w:marLeft w:val="0"/>
      <w:marRight w:val="0"/>
      <w:marTop w:val="0"/>
      <w:marBottom w:val="0"/>
      <w:divBdr>
        <w:top w:val="none" w:sz="0" w:space="0" w:color="auto"/>
        <w:left w:val="none" w:sz="0" w:space="0" w:color="auto"/>
        <w:bottom w:val="none" w:sz="0" w:space="0" w:color="auto"/>
        <w:right w:val="none" w:sz="0" w:space="0" w:color="auto"/>
      </w:divBdr>
    </w:div>
    <w:div w:id="1850607592">
      <w:bodyDiv w:val="1"/>
      <w:marLeft w:val="0"/>
      <w:marRight w:val="0"/>
      <w:marTop w:val="0"/>
      <w:marBottom w:val="0"/>
      <w:divBdr>
        <w:top w:val="none" w:sz="0" w:space="0" w:color="auto"/>
        <w:left w:val="none" w:sz="0" w:space="0" w:color="auto"/>
        <w:bottom w:val="none" w:sz="0" w:space="0" w:color="auto"/>
        <w:right w:val="none" w:sz="0" w:space="0" w:color="auto"/>
      </w:divBdr>
    </w:div>
    <w:div w:id="1911885089">
      <w:bodyDiv w:val="1"/>
      <w:marLeft w:val="0"/>
      <w:marRight w:val="0"/>
      <w:marTop w:val="0"/>
      <w:marBottom w:val="0"/>
      <w:divBdr>
        <w:top w:val="none" w:sz="0" w:space="0" w:color="auto"/>
        <w:left w:val="none" w:sz="0" w:space="0" w:color="auto"/>
        <w:bottom w:val="none" w:sz="0" w:space="0" w:color="auto"/>
        <w:right w:val="none" w:sz="0" w:space="0" w:color="auto"/>
      </w:divBdr>
    </w:div>
    <w:div w:id="1989942800">
      <w:bodyDiv w:val="1"/>
      <w:marLeft w:val="0"/>
      <w:marRight w:val="0"/>
      <w:marTop w:val="0"/>
      <w:marBottom w:val="0"/>
      <w:divBdr>
        <w:top w:val="none" w:sz="0" w:space="0" w:color="auto"/>
        <w:left w:val="none" w:sz="0" w:space="0" w:color="auto"/>
        <w:bottom w:val="none" w:sz="0" w:space="0" w:color="auto"/>
        <w:right w:val="none" w:sz="0" w:space="0" w:color="auto"/>
      </w:divBdr>
    </w:div>
    <w:div w:id="2006932118">
      <w:bodyDiv w:val="1"/>
      <w:marLeft w:val="0"/>
      <w:marRight w:val="0"/>
      <w:marTop w:val="0"/>
      <w:marBottom w:val="0"/>
      <w:divBdr>
        <w:top w:val="none" w:sz="0" w:space="0" w:color="auto"/>
        <w:left w:val="none" w:sz="0" w:space="0" w:color="auto"/>
        <w:bottom w:val="none" w:sz="0" w:space="0" w:color="auto"/>
        <w:right w:val="none" w:sz="0" w:space="0" w:color="auto"/>
      </w:divBdr>
    </w:div>
    <w:div w:id="2068793803">
      <w:bodyDiv w:val="1"/>
      <w:marLeft w:val="0"/>
      <w:marRight w:val="0"/>
      <w:marTop w:val="0"/>
      <w:marBottom w:val="0"/>
      <w:divBdr>
        <w:top w:val="none" w:sz="0" w:space="0" w:color="auto"/>
        <w:left w:val="none" w:sz="0" w:space="0" w:color="auto"/>
        <w:bottom w:val="none" w:sz="0" w:space="0" w:color="auto"/>
        <w:right w:val="none" w:sz="0" w:space="0" w:color="auto"/>
      </w:divBdr>
    </w:div>
    <w:div w:id="2068988571">
      <w:bodyDiv w:val="1"/>
      <w:marLeft w:val="0"/>
      <w:marRight w:val="0"/>
      <w:marTop w:val="0"/>
      <w:marBottom w:val="0"/>
      <w:divBdr>
        <w:top w:val="none" w:sz="0" w:space="0" w:color="auto"/>
        <w:left w:val="none" w:sz="0" w:space="0" w:color="auto"/>
        <w:bottom w:val="none" w:sz="0" w:space="0" w:color="auto"/>
        <w:right w:val="none" w:sz="0" w:space="0" w:color="auto"/>
      </w:divBdr>
    </w:div>
    <w:div w:id="2069841882">
      <w:bodyDiv w:val="1"/>
      <w:marLeft w:val="0"/>
      <w:marRight w:val="0"/>
      <w:marTop w:val="0"/>
      <w:marBottom w:val="0"/>
      <w:divBdr>
        <w:top w:val="none" w:sz="0" w:space="0" w:color="auto"/>
        <w:left w:val="none" w:sz="0" w:space="0" w:color="auto"/>
        <w:bottom w:val="none" w:sz="0" w:space="0" w:color="auto"/>
        <w:right w:val="none" w:sz="0" w:space="0" w:color="auto"/>
      </w:divBdr>
    </w:div>
    <w:div w:id="21219942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21" Type="http://schemas.openxmlformats.org/officeDocument/2006/relationships/header" Target="header5.xml"/><Relationship Id="rId42" Type="http://schemas.openxmlformats.org/officeDocument/2006/relationships/image" Target="media/image16.png"/><Relationship Id="rId47" Type="http://schemas.openxmlformats.org/officeDocument/2006/relationships/image" Target="media/image21.jpeg"/><Relationship Id="rId63" Type="http://schemas.openxmlformats.org/officeDocument/2006/relationships/image" Target="media/image35.png"/><Relationship Id="rId68" Type="http://schemas.openxmlformats.org/officeDocument/2006/relationships/image" Target="media/image40.png"/><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oleObject" Target="embeddings/oleObject2.bin"/><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image" Target="media/image11.wmf"/><Relationship Id="rId37" Type="http://schemas.openxmlformats.org/officeDocument/2006/relationships/footer" Target="footer8.xml"/><Relationship Id="rId40" Type="http://schemas.openxmlformats.org/officeDocument/2006/relationships/image" Target="media/image14.jpeg"/><Relationship Id="rId45" Type="http://schemas.openxmlformats.org/officeDocument/2006/relationships/image" Target="media/image19.jpeg"/><Relationship Id="rId53" Type="http://schemas.microsoft.com/office/2007/relationships/hdphoto" Target="media/hdphoto1.wdp"/><Relationship Id="rId58" Type="http://schemas.openxmlformats.org/officeDocument/2006/relationships/image" Target="media/image31.jpeg"/><Relationship Id="rId66" Type="http://schemas.openxmlformats.org/officeDocument/2006/relationships/image" Target="media/image38.png"/><Relationship Id="rId74" Type="http://schemas.openxmlformats.org/officeDocument/2006/relationships/header" Target="header10.xml"/><Relationship Id="rId5" Type="http://schemas.openxmlformats.org/officeDocument/2006/relationships/settings" Target="settings.xml"/><Relationship Id="rId61" Type="http://schemas.openxmlformats.org/officeDocument/2006/relationships/header" Target="header9.xml"/><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footer" Target="footer5.xml"/><Relationship Id="rId27" Type="http://schemas.openxmlformats.org/officeDocument/2006/relationships/oleObject" Target="embeddings/oleObject1.bin"/><Relationship Id="rId30" Type="http://schemas.openxmlformats.org/officeDocument/2006/relationships/image" Target="media/image10.wmf"/><Relationship Id="rId35" Type="http://schemas.openxmlformats.org/officeDocument/2006/relationships/footer" Target="footer7.xml"/><Relationship Id="rId43" Type="http://schemas.openxmlformats.org/officeDocument/2006/relationships/image" Target="media/image17.emf"/><Relationship Id="rId48" Type="http://schemas.openxmlformats.org/officeDocument/2006/relationships/image" Target="media/image22.emf"/><Relationship Id="rId56" Type="http://schemas.openxmlformats.org/officeDocument/2006/relationships/image" Target="media/image29.png"/><Relationship Id="rId64" Type="http://schemas.openxmlformats.org/officeDocument/2006/relationships/image" Target="media/image36.png"/><Relationship Id="rId69" Type="http://schemas.openxmlformats.org/officeDocument/2006/relationships/image" Target="media/image41.png"/><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footer" Target="footer9.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7.emf"/><Relationship Id="rId33" Type="http://schemas.openxmlformats.org/officeDocument/2006/relationships/oleObject" Target="embeddings/oleObject4.bin"/><Relationship Id="rId38" Type="http://schemas.openxmlformats.org/officeDocument/2006/relationships/image" Target="media/image12.png"/><Relationship Id="rId46" Type="http://schemas.openxmlformats.org/officeDocument/2006/relationships/image" Target="media/image20.jpeg"/><Relationship Id="rId59" Type="http://schemas.openxmlformats.org/officeDocument/2006/relationships/image" Target="media/image32.png"/><Relationship Id="rId67" Type="http://schemas.openxmlformats.org/officeDocument/2006/relationships/image" Target="media/image39.png"/><Relationship Id="rId20" Type="http://schemas.openxmlformats.org/officeDocument/2006/relationships/image" Target="media/image6.png"/><Relationship Id="rId41" Type="http://schemas.openxmlformats.org/officeDocument/2006/relationships/image" Target="media/image15.emf"/><Relationship Id="rId54" Type="http://schemas.openxmlformats.org/officeDocument/2006/relationships/image" Target="media/image27.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6.xml"/><Relationship Id="rId28" Type="http://schemas.openxmlformats.org/officeDocument/2006/relationships/image" Target="media/image9.wmf"/><Relationship Id="rId36" Type="http://schemas.openxmlformats.org/officeDocument/2006/relationships/header" Target="header8.xml"/><Relationship Id="rId49" Type="http://schemas.openxmlformats.org/officeDocument/2006/relationships/image" Target="media/image23.emf"/><Relationship Id="rId57" Type="http://schemas.openxmlformats.org/officeDocument/2006/relationships/image" Target="media/image30.jpeg"/><Relationship Id="rId10" Type="http://schemas.openxmlformats.org/officeDocument/2006/relationships/package" Target="embeddings/Microsoft_PowerPoint_Slide.sldx"/><Relationship Id="rId31" Type="http://schemas.openxmlformats.org/officeDocument/2006/relationships/oleObject" Target="embeddings/oleObject3.bin"/><Relationship Id="rId44" Type="http://schemas.openxmlformats.org/officeDocument/2006/relationships/image" Target="media/image18.jpeg"/><Relationship Id="rId52" Type="http://schemas.openxmlformats.org/officeDocument/2006/relationships/image" Target="media/image26.png"/><Relationship Id="rId60" Type="http://schemas.openxmlformats.org/officeDocument/2006/relationships/image" Target="media/image33.png"/><Relationship Id="rId65" Type="http://schemas.openxmlformats.org/officeDocument/2006/relationships/image" Target="media/image37.png"/><Relationship Id="rId73" Type="http://schemas.openxmlformats.org/officeDocument/2006/relationships/image" Target="media/image44.JP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image" Target="media/image13.png"/><Relationship Id="rId34" Type="http://schemas.openxmlformats.org/officeDocument/2006/relationships/header" Target="header7.xml"/><Relationship Id="rId50" Type="http://schemas.openxmlformats.org/officeDocument/2006/relationships/image" Target="media/image24.emf"/><Relationship Id="rId55" Type="http://schemas.openxmlformats.org/officeDocument/2006/relationships/image" Target="media/image28.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3.png"/></Relationships>
</file>

<file path=word/_rels/footnotes.xml.rels><?xml version="1.0" encoding="UTF-8" standalone="yes"?>
<Relationships xmlns="http://schemas.openxmlformats.org/package/2006/relationships"><Relationship Id="rId2" Type="http://schemas.openxmlformats.org/officeDocument/2006/relationships/hyperlink" Target="https://thema.u-cergy.fr/IMG/pdf/2021-06.pdf" TargetMode="External"/><Relationship Id="rId1" Type="http://schemas.openxmlformats.org/officeDocument/2006/relationships/hyperlink" Target="https://www.airparif.asso.fr/etat-air/air-et-climat-bilan-emissions" TargetMode="External"/></Relationships>
</file>

<file path=word/_rels/header10.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58CB4A-EF50-4389-B019-105E2F033B30}">
  <ds:schemaRefs>
    <ds:schemaRef ds:uri="http://schemas.openxmlformats.org/officeDocument/2006/bibliography"/>
  </ds:schemaRefs>
</ds:datastoreItem>
</file>

<file path=customXml/itemProps2.xml><?xml version="1.0" encoding="utf-8"?>
<ds:datastoreItem xmlns:ds="http://schemas.openxmlformats.org/officeDocument/2006/customXml" ds:itemID="{F3EBCC42-66A7-415F-A184-95250CDBB6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83</Pages>
  <Words>59194</Words>
  <Characters>325567</Characters>
  <Application>Microsoft Office Word</Application>
  <DocSecurity>0</DocSecurity>
  <Lines>2713</Lines>
  <Paragraphs>767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Company>
  <LinksUpToDate>false</LinksUpToDate>
  <CharactersWithSpaces>383994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Philippe</dc:creator>
  <cp:keywords/>
  <dc:description/>
  <cp:lastModifiedBy>PRAGER Jean-Claude</cp:lastModifiedBy>
  <cp:revision>18</cp:revision>
  <cp:lastPrinted>2020-09-03T12:33:00Z</cp:lastPrinted>
  <dcterms:created xsi:type="dcterms:W3CDTF">2021-04-18T11:24:00Z</dcterms:created>
  <dcterms:modified xsi:type="dcterms:W3CDTF">2021-04-30T10:17:00Z</dcterms:modified>
</cp:coreProperties>
</file>