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0606" w14:textId="77777777" w:rsidR="00564E47" w:rsidRPr="00564E47" w:rsidRDefault="00564E47" w:rsidP="00D1019A">
      <w:pPr>
        <w:pStyle w:val="3Bibliitem"/>
        <w:rPr>
          <w:color w:val="333333"/>
          <w:sz w:val="28"/>
          <w:szCs w:val="28"/>
        </w:rPr>
      </w:pPr>
    </w:p>
    <w:p w14:paraId="6778603C" w14:textId="77777777" w:rsidR="00F400F3" w:rsidRDefault="00D1019A" w:rsidP="00D1019A">
      <w:pPr>
        <w:pStyle w:val="3Bibliitem"/>
      </w:pPr>
      <w:r>
        <w:rPr>
          <w:color w:val="333333"/>
          <w:szCs w:val="24"/>
        </w:rPr>
        <w:t>E</w:t>
      </w:r>
      <w:r w:rsidRPr="00AF58FA">
        <w:rPr>
          <w:color w:val="333333"/>
          <w:szCs w:val="24"/>
        </w:rPr>
        <w:t xml:space="preserve">lément essentiel de votre </w:t>
      </w:r>
      <w:r>
        <w:rPr>
          <w:color w:val="333333"/>
          <w:szCs w:val="24"/>
        </w:rPr>
        <w:t xml:space="preserve">Thèse professionnelle, </w:t>
      </w:r>
      <w:r w:rsidRPr="007011EC">
        <w:rPr>
          <w:b/>
          <w:color w:val="333333"/>
          <w:szCs w:val="24"/>
        </w:rPr>
        <w:t>la bibliographie</w:t>
      </w:r>
      <w:r w:rsidRPr="007865FC">
        <w:rPr>
          <w:color w:val="333333"/>
          <w:szCs w:val="24"/>
        </w:rPr>
        <w:t xml:space="preserve"> </w:t>
      </w:r>
      <w:r w:rsidRPr="00AF58FA">
        <w:rPr>
          <w:b/>
        </w:rPr>
        <w:t xml:space="preserve">présente de manière homogène et normée les références bibliographiques des documents imprimés et électroniques sur lesquels vous vous êtes appuyés pour rédiger votre </w:t>
      </w:r>
      <w:r>
        <w:rPr>
          <w:b/>
        </w:rPr>
        <w:t>thèse</w:t>
      </w:r>
      <w:r w:rsidRPr="00D402AE">
        <w:t xml:space="preserve">. </w:t>
      </w:r>
    </w:p>
    <w:p w14:paraId="71AFECBD" w14:textId="77777777" w:rsidR="00F400F3" w:rsidRDefault="00F400F3" w:rsidP="00D1019A">
      <w:pPr>
        <w:pStyle w:val="3Bibliitem"/>
      </w:pPr>
    </w:p>
    <w:p w14:paraId="7463CD3F" w14:textId="1010DB0B" w:rsidR="00D1019A" w:rsidRDefault="00D1019A" w:rsidP="00D1019A">
      <w:pPr>
        <w:pStyle w:val="3Bibliitem"/>
      </w:pPr>
      <w:r w:rsidRPr="00D402AE">
        <w:t>Il</w:t>
      </w:r>
      <w:r w:rsidRPr="004979F9">
        <w:t xml:space="preserve"> ne doit pas y avoir de référence bibliographique présente dans votre </w:t>
      </w:r>
      <w:r>
        <w:t>thèse</w:t>
      </w:r>
      <w:r w:rsidRPr="004979F9">
        <w:t xml:space="preserve"> qui ne soit pas citée dans votre bibliographie, et inversement. Le lecteur de votre rapport doit</w:t>
      </w:r>
      <w:r>
        <w:t xml:space="preserve"> </w:t>
      </w:r>
      <w:r w:rsidRPr="004979F9">
        <w:t xml:space="preserve">pouvoir identifier et retrouver ces références. </w:t>
      </w:r>
    </w:p>
    <w:p w14:paraId="3EC5612B" w14:textId="77777777" w:rsidR="00F41BF8" w:rsidRDefault="00F41BF8" w:rsidP="00D1019A">
      <w:pPr>
        <w:pStyle w:val="3Bibliitem"/>
      </w:pPr>
    </w:p>
    <w:p w14:paraId="20B723C8" w14:textId="77777777" w:rsidR="00EF2563" w:rsidRDefault="0055104A" w:rsidP="00564E47">
      <w:pPr>
        <w:pStyle w:val="Texte"/>
        <w:rPr>
          <w:bCs/>
        </w:rPr>
      </w:pPr>
      <w:r>
        <w:rPr>
          <w:bCs/>
        </w:rPr>
        <w:t>Après avoir choisi</w:t>
      </w:r>
      <w:r w:rsidR="00693EF1">
        <w:rPr>
          <w:bCs/>
        </w:rPr>
        <w:t xml:space="preserve"> </w:t>
      </w:r>
      <w:r w:rsidR="00285FE8">
        <w:rPr>
          <w:bCs/>
        </w:rPr>
        <w:t xml:space="preserve">une </w:t>
      </w:r>
      <w:r w:rsidR="00693EF1">
        <w:rPr>
          <w:bCs/>
        </w:rPr>
        <w:t>norme, utilisez</w:t>
      </w:r>
      <w:r w:rsidR="00285FE8">
        <w:rPr>
          <w:bCs/>
        </w:rPr>
        <w:t xml:space="preserve"> </w:t>
      </w:r>
      <w:r>
        <w:rPr>
          <w:bCs/>
        </w:rPr>
        <w:t>celle-ci</w:t>
      </w:r>
      <w:r w:rsidR="00693EF1">
        <w:rPr>
          <w:bCs/>
        </w:rPr>
        <w:t xml:space="preserve"> pour présenter l’ensemble de vos références, qu</w:t>
      </w:r>
      <w:r w:rsidR="00D92515">
        <w:rPr>
          <w:bCs/>
        </w:rPr>
        <w:t>’</w:t>
      </w:r>
      <w:r w:rsidR="00693EF1">
        <w:rPr>
          <w:bCs/>
        </w:rPr>
        <w:t>elle</w:t>
      </w:r>
      <w:r w:rsidR="00D92515">
        <w:rPr>
          <w:bCs/>
        </w:rPr>
        <w:t>s</w:t>
      </w:r>
      <w:r w:rsidR="00693EF1">
        <w:rPr>
          <w:bCs/>
        </w:rPr>
        <w:t xml:space="preserve"> soient en français ou en anglais.</w:t>
      </w:r>
      <w:r w:rsidR="00F73EF8">
        <w:rPr>
          <w:bCs/>
        </w:rPr>
        <w:t xml:space="preserve"> </w:t>
      </w:r>
      <w:r w:rsidR="00F41BF8">
        <w:rPr>
          <w:bCs/>
        </w:rPr>
        <w:t xml:space="preserve"> </w:t>
      </w:r>
    </w:p>
    <w:p w14:paraId="50D89D34" w14:textId="6E9D3996" w:rsidR="00693EF1" w:rsidRPr="00693EF1" w:rsidRDefault="00693EF1" w:rsidP="00564E47">
      <w:pPr>
        <w:pStyle w:val="Texte"/>
        <w:rPr>
          <w:bCs/>
        </w:rPr>
      </w:pPr>
      <w:r w:rsidRPr="00693EF1">
        <w:rPr>
          <w:bCs/>
        </w:rPr>
        <w:t>Parmi les normes disponibles, voici deux exemples</w:t>
      </w:r>
      <w:r>
        <w:rPr>
          <w:bCs/>
        </w:rPr>
        <w:t> :</w:t>
      </w:r>
    </w:p>
    <w:p w14:paraId="3FF1D130" w14:textId="49431786" w:rsidR="00564E47" w:rsidRDefault="00564E47" w:rsidP="00564E47">
      <w:pPr>
        <w:pStyle w:val="Texte"/>
      </w:pPr>
      <w:r w:rsidRPr="00086C6E">
        <w:rPr>
          <w:b/>
        </w:rPr>
        <w:t>Exemple avec la norme</w:t>
      </w:r>
      <w:r>
        <w:rPr>
          <w:b/>
        </w:rPr>
        <w:t xml:space="preserve"> </w:t>
      </w:r>
      <w:hyperlink r:id="rId6" w:history="1">
        <w:r w:rsidRPr="00B70694">
          <w:rPr>
            <w:rStyle w:val="Lienhypertexte"/>
            <w:b/>
          </w:rPr>
          <w:t>ISO 690</w:t>
        </w:r>
      </w:hyperlink>
      <w:r>
        <w:t> :</w:t>
      </w:r>
    </w:p>
    <w:p w14:paraId="1D04A58F" w14:textId="3AF2F3C8" w:rsidR="00564E47" w:rsidRDefault="00564E47" w:rsidP="00564E47">
      <w:pPr>
        <w:pStyle w:val="Texte"/>
      </w:pPr>
      <w:r>
        <w:t>La note bibliographique est entre parenthèses (...) constituée du nom du ou des auteurs</w:t>
      </w:r>
      <w:r w:rsidRPr="00501F11">
        <w:t>, suivi de l'année de la publication (Nom, année). Si l'auteur a publié plusieurs articles dans la même année, une lettre (a, b, c…) est ajoutée. Cette lettre permet</w:t>
      </w:r>
      <w:r>
        <w:t xml:space="preserve"> </w:t>
      </w:r>
      <w:r w:rsidRPr="00501F11">
        <w:t>d'identifier les publications dans la bibliographie. Les références de la bibliographie du standard ISO 690 sont classées par ordre alphabétique d'auteur.</w:t>
      </w:r>
    </w:p>
    <w:p w14:paraId="643CE694" w14:textId="77777777" w:rsidR="00564E47" w:rsidRPr="00564E47" w:rsidRDefault="00564E47" w:rsidP="00564E47">
      <w:pPr>
        <w:pStyle w:val="Bibliographie"/>
        <w:ind w:left="142"/>
        <w:jc w:val="left"/>
        <w:rPr>
          <w:szCs w:val="24"/>
        </w:rPr>
      </w:pPr>
      <w:r w:rsidRPr="00564E47">
        <w:rPr>
          <w:szCs w:val="24"/>
        </w:rPr>
        <w:fldChar w:fldCharType="begin"/>
      </w:r>
      <w:r w:rsidRPr="00564E47">
        <w:rPr>
          <w:szCs w:val="24"/>
        </w:rPr>
        <w:instrText xml:space="preserve"> ADDIN ZOTERO_BIBL {"uncited":[],"omitted":[],"custom":[]} CSL_BIBLIOGRAPHY </w:instrText>
      </w:r>
      <w:r w:rsidRPr="00564E47">
        <w:rPr>
          <w:szCs w:val="24"/>
        </w:rPr>
        <w:fldChar w:fldCharType="separate"/>
      </w:r>
      <w:r w:rsidRPr="00564E47">
        <w:rPr>
          <w:szCs w:val="24"/>
        </w:rPr>
        <w:t>MINISTÈRE DE L’ÉCONOMIE, DES FINANCES ET DE LA SOUVERAINETÉ INDUSTRIELLE ET NUMÉRIQUE, 2023. Le budget vert : qu’est-ce que c’est ? [en ligne]. Disponible à l’adresse : https://www.economie.gouv.fr/budget-vert [Consulté le 27 avril 2023].</w:t>
      </w:r>
    </w:p>
    <w:p w14:paraId="502D4E13" w14:textId="77777777" w:rsidR="00564E47" w:rsidRPr="00564E47" w:rsidRDefault="00564E47" w:rsidP="00564E47">
      <w:pPr>
        <w:pStyle w:val="Bibliographie"/>
        <w:ind w:left="142"/>
        <w:rPr>
          <w:szCs w:val="24"/>
          <w:lang w:val="en-US"/>
        </w:rPr>
      </w:pPr>
    </w:p>
    <w:p w14:paraId="0F669C94" w14:textId="697F3551" w:rsidR="00564E47" w:rsidRPr="00564E47" w:rsidRDefault="00564E47" w:rsidP="00564E47">
      <w:pPr>
        <w:pStyle w:val="Bibliographie"/>
        <w:ind w:left="142"/>
        <w:rPr>
          <w:szCs w:val="24"/>
        </w:rPr>
      </w:pPr>
      <w:r w:rsidRPr="00564E47">
        <w:rPr>
          <w:szCs w:val="24"/>
          <w:lang w:val="en-US"/>
        </w:rPr>
        <w:t xml:space="preserve">WHITESIDES, G. M., 2004. Whitesides’ Group: Writing a Paper. </w:t>
      </w:r>
      <w:r w:rsidRPr="00564E47">
        <w:rPr>
          <w:i/>
          <w:iCs/>
          <w:szCs w:val="24"/>
        </w:rPr>
        <w:t xml:space="preserve">Advanced Materials </w:t>
      </w:r>
      <w:r w:rsidRPr="00564E47">
        <w:rPr>
          <w:szCs w:val="24"/>
        </w:rPr>
        <w:t xml:space="preserve">[en ligne]. 4 août 2004, Vol. 16, n° 15, pp. 1375‑1377. DOI 10.1002/adma.200400767. Disponible à l'adresse : https://onlinelibrary.wiley.com/doi/epdf/10.1002/adma.200400767 [Consulté le 27 avril 2023]. </w:t>
      </w:r>
    </w:p>
    <w:p w14:paraId="2C19EA11" w14:textId="77777777" w:rsidR="00564E47" w:rsidRPr="00564E47" w:rsidRDefault="00564E47" w:rsidP="00564E47">
      <w:pPr>
        <w:pStyle w:val="Texte"/>
        <w:rPr>
          <w:sz w:val="10"/>
          <w:szCs w:val="10"/>
        </w:rPr>
      </w:pPr>
      <w:r w:rsidRPr="00564E47">
        <w:rPr>
          <w:szCs w:val="24"/>
        </w:rPr>
        <w:fldChar w:fldCharType="end"/>
      </w:r>
    </w:p>
    <w:p w14:paraId="00063BBC" w14:textId="77777777" w:rsidR="00564E47" w:rsidRDefault="00564E47" w:rsidP="00564E47">
      <w:pPr>
        <w:pStyle w:val="Texte"/>
        <w:rPr>
          <w:b/>
        </w:rPr>
      </w:pPr>
    </w:p>
    <w:p w14:paraId="06BCBD66" w14:textId="77777777" w:rsidR="008142DF" w:rsidRDefault="008142DF" w:rsidP="00564E47">
      <w:pPr>
        <w:pStyle w:val="Texte"/>
        <w:rPr>
          <w:b/>
        </w:rPr>
      </w:pPr>
    </w:p>
    <w:p w14:paraId="33C5D110" w14:textId="17CF4CA9" w:rsidR="00D1019A" w:rsidRDefault="00D1019A" w:rsidP="00564E47">
      <w:pPr>
        <w:pStyle w:val="Texte"/>
      </w:pPr>
      <w:r w:rsidRPr="00086C6E">
        <w:rPr>
          <w:b/>
        </w:rPr>
        <w:t xml:space="preserve">Exemple avec la norme </w:t>
      </w:r>
      <w:hyperlink r:id="rId7" w:history="1">
        <w:r w:rsidRPr="009E182F">
          <w:rPr>
            <w:rStyle w:val="Lienhypertexte"/>
          </w:rPr>
          <w:t>IEEE</w:t>
        </w:r>
      </w:hyperlink>
      <w:r w:rsidRPr="004979F9">
        <w:t xml:space="preserve">. </w:t>
      </w:r>
      <w:r>
        <w:t>Les</w:t>
      </w:r>
      <w:r w:rsidRPr="004979F9">
        <w:t xml:space="preserve"> références de la bibliographie sont classées par ordre d'apparition dans le texte </w:t>
      </w:r>
      <w:r>
        <w:t xml:space="preserve">(ici en anglais) </w:t>
      </w:r>
      <w:r w:rsidRPr="004979F9">
        <w:t xml:space="preserve">et sont précédées par </w:t>
      </w:r>
      <w:r>
        <w:t>un numéro entre crochets :</w:t>
      </w:r>
    </w:p>
    <w:p w14:paraId="46F2314C" w14:textId="631FB8CE" w:rsidR="00D1019A" w:rsidRDefault="00564E47" w:rsidP="00D1019A">
      <w:pPr>
        <w:spacing w:before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5D039" wp14:editId="0A00884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076950" cy="45339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5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F02C9" w14:textId="77777777" w:rsidR="00D1019A" w:rsidRPr="00564E47" w:rsidRDefault="00D1019A" w:rsidP="00D1019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64E47">
                              <w:rPr>
                                <w:szCs w:val="24"/>
                              </w:rPr>
                              <w:t>Texte*</w:t>
                            </w:r>
                          </w:p>
                          <w:p w14:paraId="42AA87A0" w14:textId="77777777" w:rsidR="00D1019A" w:rsidRPr="00564E47" w:rsidRDefault="00D1019A" w:rsidP="00D1019A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According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to the Report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Card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of the American Society of Civil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Engineers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(ASCE),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there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are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two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hundred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million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daily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trips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across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insufficient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bridges in the USA [1]. The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Federal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Highway Administration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predicts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$20.5 </w:t>
                            </w:r>
                            <w:proofErr w:type="gramStart"/>
                            <w:r w:rsidRPr="00564E47">
                              <w:rPr>
                                <w:szCs w:val="24"/>
                              </w:rPr>
                              <w:t>billion</w:t>
                            </w:r>
                            <w:proofErr w:type="gram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should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be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invested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annually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eliminate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nation’s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deficient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bridges by 2028,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whereas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only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$12.8 billion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is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currently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being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invested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 [1]. Corrosion of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reinforcement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in bridge decks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is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one of the major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contributors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to bridge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deterioration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. Bridge decks can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be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exposed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severe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environments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subjected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to a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freezing-thawing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cycles [2].   The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deterioration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mechanism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reinforcing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steel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corrosion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within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bridge decks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is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4E47">
                              <w:rPr>
                                <w:szCs w:val="24"/>
                              </w:rPr>
                              <w:t>known</w:t>
                            </w:r>
                            <w:proofErr w:type="spellEnd"/>
                            <w:r w:rsidRPr="00564E47">
                              <w:rPr>
                                <w:szCs w:val="24"/>
                              </w:rPr>
                              <w:t xml:space="preserve"> [3]. </w:t>
                            </w:r>
                          </w:p>
                          <w:p w14:paraId="2321DE38" w14:textId="77777777" w:rsidR="00D1019A" w:rsidRPr="00564E47" w:rsidRDefault="00D1019A" w:rsidP="00D1019A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center"/>
                            </w:pPr>
                            <w:r w:rsidRPr="00564E47">
                              <w:t> Bibliographie</w:t>
                            </w:r>
                          </w:p>
                          <w:p w14:paraId="6556BCB2" w14:textId="77777777" w:rsidR="00D1019A" w:rsidRPr="00564E47" w:rsidRDefault="00D1019A" w:rsidP="00D1019A">
                            <w:pPr>
                              <w:pStyle w:val="NormalWeb"/>
                              <w:spacing w:before="0" w:beforeAutospacing="0"/>
                              <w:ind w:right="56"/>
                              <w:jc w:val="both"/>
                            </w:pPr>
                            <w:r w:rsidRPr="00564E47">
                              <w:t xml:space="preserve">[1] American Society of Civil </w:t>
                            </w:r>
                            <w:proofErr w:type="spellStart"/>
                            <w:r w:rsidRPr="00564E47">
                              <w:t>Engineers</w:t>
                            </w:r>
                            <w:proofErr w:type="spellEnd"/>
                            <w:r w:rsidRPr="00564E47">
                              <w:t xml:space="preserve">, « 2013 Report </w:t>
                            </w:r>
                            <w:proofErr w:type="spellStart"/>
                            <w:r w:rsidRPr="00564E47">
                              <w:t>Card</w:t>
                            </w:r>
                            <w:proofErr w:type="spellEnd"/>
                            <w:r w:rsidRPr="00564E47">
                              <w:t xml:space="preserve"> for </w:t>
                            </w:r>
                            <w:proofErr w:type="spellStart"/>
                            <w:r w:rsidRPr="00564E47">
                              <w:t>America’s</w:t>
                            </w:r>
                            <w:proofErr w:type="spellEnd"/>
                            <w:r w:rsidRPr="00564E47">
                              <w:t xml:space="preserve"> Infrastructure », 2013 Report </w:t>
                            </w:r>
                            <w:proofErr w:type="spellStart"/>
                            <w:r w:rsidRPr="00564E47">
                              <w:t>Card</w:t>
                            </w:r>
                            <w:proofErr w:type="spellEnd"/>
                            <w:r w:rsidRPr="00564E47">
                              <w:t xml:space="preserve"> for </w:t>
                            </w:r>
                            <w:proofErr w:type="spellStart"/>
                            <w:r w:rsidRPr="00564E47">
                              <w:t>America’s</w:t>
                            </w:r>
                            <w:proofErr w:type="spellEnd"/>
                            <w:r w:rsidRPr="00564E47">
                              <w:t xml:space="preserve"> Infrastructure. [Online] </w:t>
                            </w:r>
                            <w:proofErr w:type="spellStart"/>
                            <w:proofErr w:type="gramStart"/>
                            <w:r w:rsidRPr="00564E47">
                              <w:t>Available</w:t>
                            </w:r>
                            <w:proofErr w:type="spellEnd"/>
                            <w:r w:rsidRPr="00564E47">
                              <w:t>:</w:t>
                            </w:r>
                            <w:proofErr w:type="gramEnd"/>
                            <w:r w:rsidRPr="00564E47">
                              <w:t xml:space="preserve"> https://2013.infrastructurereportcard.org/ </w:t>
                            </w:r>
                          </w:p>
                          <w:p w14:paraId="4B91D4E7" w14:textId="77777777" w:rsidR="00D1019A" w:rsidRPr="00564E47" w:rsidRDefault="00D1019A" w:rsidP="00D1019A">
                            <w:pPr>
                              <w:pStyle w:val="NormalWeb"/>
                              <w:spacing w:before="0" w:beforeAutospacing="0"/>
                              <w:jc w:val="both"/>
                            </w:pPr>
                            <w:r w:rsidRPr="00564E47">
                              <w:t xml:space="preserve">[2] M. </w:t>
                            </w:r>
                            <w:proofErr w:type="spellStart"/>
                            <w:r w:rsidRPr="00564E47">
                              <w:t>Seliem</w:t>
                            </w:r>
                            <w:proofErr w:type="spellEnd"/>
                            <w:r w:rsidRPr="00564E47">
                              <w:t xml:space="preserve">, G. </w:t>
                            </w:r>
                            <w:proofErr w:type="spellStart"/>
                            <w:r w:rsidRPr="00564E47">
                              <w:t>Lucier</w:t>
                            </w:r>
                            <w:proofErr w:type="spellEnd"/>
                            <w:r w:rsidRPr="00564E47">
                              <w:t xml:space="preserve">, S. H. </w:t>
                            </w:r>
                            <w:proofErr w:type="spellStart"/>
                            <w:r w:rsidRPr="00564E47">
                              <w:t>Rizkalla</w:t>
                            </w:r>
                            <w:proofErr w:type="spellEnd"/>
                            <w:r w:rsidRPr="00564E47">
                              <w:t>, et P. Zia, « </w:t>
                            </w:r>
                            <w:proofErr w:type="spellStart"/>
                            <w:r w:rsidRPr="00564E47">
                              <w:t>Behavior</w:t>
                            </w:r>
                            <w:proofErr w:type="spellEnd"/>
                            <w:r w:rsidRPr="00564E47">
                              <w:t xml:space="preserve"> of </w:t>
                            </w:r>
                            <w:proofErr w:type="spellStart"/>
                            <w:r w:rsidRPr="00564E47">
                              <w:t>concrete</w:t>
                            </w:r>
                            <w:proofErr w:type="spellEnd"/>
                            <w:r w:rsidRPr="00564E47">
                              <w:t xml:space="preserve"> bridge decks </w:t>
                            </w:r>
                            <w:proofErr w:type="spellStart"/>
                            <w:r w:rsidRPr="00564E47">
                              <w:t>reinforced</w:t>
                            </w:r>
                            <w:proofErr w:type="spellEnd"/>
                            <w:r w:rsidRPr="00564E47">
                              <w:t xml:space="preserve"> </w:t>
                            </w:r>
                            <w:proofErr w:type="spellStart"/>
                            <w:r w:rsidRPr="00564E47">
                              <w:t>with</w:t>
                            </w:r>
                            <w:proofErr w:type="spellEnd"/>
                            <w:r w:rsidRPr="00564E47">
                              <w:t xml:space="preserve"> high-performance </w:t>
                            </w:r>
                            <w:proofErr w:type="spellStart"/>
                            <w:r w:rsidRPr="00564E47">
                              <w:t>steel</w:t>
                            </w:r>
                            <w:proofErr w:type="spellEnd"/>
                            <w:r w:rsidRPr="00564E47">
                              <w:t xml:space="preserve"> », ACI </w:t>
                            </w:r>
                            <w:proofErr w:type="spellStart"/>
                            <w:r w:rsidRPr="00564E47">
                              <w:t>Struct</w:t>
                            </w:r>
                            <w:proofErr w:type="spellEnd"/>
                            <w:r w:rsidRPr="00564E47">
                              <w:t>. J., vol. 15, no 1, p. 78</w:t>
                            </w:r>
                            <w:r w:rsidRPr="00564E47">
                              <w:noBreakHyphen/>
                              <w:t>86, jan. 2008.</w:t>
                            </w:r>
                          </w:p>
                          <w:p w14:paraId="34A16C66" w14:textId="77777777" w:rsidR="00D1019A" w:rsidRPr="00564E47" w:rsidRDefault="00D1019A" w:rsidP="00D1019A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</w:pPr>
                            <w:r w:rsidRPr="00564E47">
                              <w:t xml:space="preserve">[3] T. Hassan, A. </w:t>
                            </w:r>
                            <w:proofErr w:type="spellStart"/>
                            <w:r w:rsidRPr="00564E47">
                              <w:t>Abdelrahman</w:t>
                            </w:r>
                            <w:proofErr w:type="spellEnd"/>
                            <w:r w:rsidRPr="00564E47">
                              <w:t xml:space="preserve">, et G. </w:t>
                            </w:r>
                            <w:proofErr w:type="spellStart"/>
                            <w:r w:rsidRPr="00564E47">
                              <w:t>Tadros</w:t>
                            </w:r>
                            <w:proofErr w:type="spellEnd"/>
                            <w:r w:rsidRPr="00564E47">
                              <w:t xml:space="preserve">, « Fibre </w:t>
                            </w:r>
                            <w:proofErr w:type="spellStart"/>
                            <w:r w:rsidRPr="00564E47">
                              <w:t>reinforced</w:t>
                            </w:r>
                            <w:proofErr w:type="spellEnd"/>
                            <w:r w:rsidRPr="00564E47">
                              <w:t xml:space="preserve"> </w:t>
                            </w:r>
                            <w:proofErr w:type="spellStart"/>
                            <w:r w:rsidRPr="00564E47">
                              <w:t>polymer</w:t>
                            </w:r>
                            <w:proofErr w:type="spellEnd"/>
                            <w:r w:rsidRPr="00564E47">
                              <w:t xml:space="preserve"> </w:t>
                            </w:r>
                            <w:proofErr w:type="spellStart"/>
                            <w:r w:rsidRPr="00564E47">
                              <w:t>reinforcing</w:t>
                            </w:r>
                            <w:proofErr w:type="spellEnd"/>
                            <w:r w:rsidRPr="00564E47">
                              <w:t xml:space="preserve"> bars for bridge decks », Can. J. </w:t>
                            </w:r>
                            <w:proofErr w:type="spellStart"/>
                            <w:r w:rsidRPr="00564E47">
                              <w:t>Civ</w:t>
                            </w:r>
                            <w:proofErr w:type="spellEnd"/>
                            <w:r w:rsidRPr="00564E47">
                              <w:t>. Eng., vol. 27, no 5, p. 839</w:t>
                            </w:r>
                            <w:r w:rsidRPr="00564E47">
                              <w:noBreakHyphen/>
                              <w:t>849, 2000.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5D0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.65pt;width:478.5pt;height:3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" fillcolor="white [3201]" strokeweight=".5pt">
                <v:textbox>
                  <w:txbxContent>
                    <w:p w14:paraId="0ACF02C9" w14:textId="77777777" w:rsidR="00D1019A" w:rsidRPr="00564E47" w:rsidRDefault="00D1019A" w:rsidP="00D1019A">
                      <w:pPr>
                        <w:jc w:val="center"/>
                        <w:rPr>
                          <w:szCs w:val="24"/>
                        </w:rPr>
                      </w:pPr>
                      <w:r w:rsidRPr="00564E47">
                        <w:rPr>
                          <w:szCs w:val="24"/>
                        </w:rPr>
                        <w:t>Texte*</w:t>
                      </w:r>
                    </w:p>
                    <w:p w14:paraId="42AA87A0" w14:textId="77777777" w:rsidR="00D1019A" w:rsidRPr="00564E47" w:rsidRDefault="00D1019A" w:rsidP="00D1019A">
                      <w:pPr>
                        <w:rPr>
                          <w:szCs w:val="24"/>
                        </w:rPr>
                      </w:pPr>
                      <w:proofErr w:type="spellStart"/>
                      <w:r w:rsidRPr="00564E47">
                        <w:rPr>
                          <w:szCs w:val="24"/>
                        </w:rPr>
                        <w:t>According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to the Report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Card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of the American Society of Civil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Engineers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(ASCE),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there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are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two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hundred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million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daily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trips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across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insufficient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bridges in the USA [1]. The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Federal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Highway Administration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predicts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that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$20.5 </w:t>
                      </w:r>
                      <w:proofErr w:type="gramStart"/>
                      <w:r w:rsidRPr="00564E47">
                        <w:rPr>
                          <w:szCs w:val="24"/>
                        </w:rPr>
                        <w:t>billion</w:t>
                      </w:r>
                      <w:proofErr w:type="gram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should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be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invested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annually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to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eliminate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the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nation’s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deficient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bridges by 2028,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whereas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only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$12.8 billion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is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currently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being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invested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 [1]. Corrosion of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reinforcement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in bridge decks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is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one of the major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contributors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to bridge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deterioration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. Bridge decks can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be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exposed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to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severe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environments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and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subjected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to a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number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of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freezing-thawing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cycles [2].   The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deterioration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mechanism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of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reinforcing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steel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corrosion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within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bridge decks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is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64E47">
                        <w:rPr>
                          <w:szCs w:val="24"/>
                        </w:rPr>
                        <w:t>known</w:t>
                      </w:r>
                      <w:proofErr w:type="spellEnd"/>
                      <w:r w:rsidRPr="00564E47">
                        <w:rPr>
                          <w:szCs w:val="24"/>
                        </w:rPr>
                        <w:t xml:space="preserve"> [3]. </w:t>
                      </w:r>
                    </w:p>
                    <w:p w14:paraId="2321DE38" w14:textId="77777777" w:rsidR="00D1019A" w:rsidRPr="00564E47" w:rsidRDefault="00D1019A" w:rsidP="00D1019A">
                      <w:pPr>
                        <w:pStyle w:val="NormalWeb"/>
                        <w:shd w:val="clear" w:color="auto" w:fill="FFFFFF"/>
                        <w:spacing w:before="0" w:beforeAutospacing="0"/>
                        <w:jc w:val="center"/>
                      </w:pPr>
                      <w:r w:rsidRPr="00564E47">
                        <w:t> Bibliographie</w:t>
                      </w:r>
                    </w:p>
                    <w:p w14:paraId="6556BCB2" w14:textId="77777777" w:rsidR="00D1019A" w:rsidRPr="00564E47" w:rsidRDefault="00D1019A" w:rsidP="00D1019A">
                      <w:pPr>
                        <w:pStyle w:val="NormalWeb"/>
                        <w:spacing w:before="0" w:beforeAutospacing="0"/>
                        <w:ind w:right="56"/>
                        <w:jc w:val="both"/>
                      </w:pPr>
                      <w:r w:rsidRPr="00564E47">
                        <w:t xml:space="preserve">[1] American Society of Civil </w:t>
                      </w:r>
                      <w:proofErr w:type="spellStart"/>
                      <w:r w:rsidRPr="00564E47">
                        <w:t>Engineers</w:t>
                      </w:r>
                      <w:proofErr w:type="spellEnd"/>
                      <w:r w:rsidRPr="00564E47">
                        <w:t xml:space="preserve">, « 2013 Report </w:t>
                      </w:r>
                      <w:proofErr w:type="spellStart"/>
                      <w:r w:rsidRPr="00564E47">
                        <w:t>Card</w:t>
                      </w:r>
                      <w:proofErr w:type="spellEnd"/>
                      <w:r w:rsidRPr="00564E47">
                        <w:t xml:space="preserve"> for </w:t>
                      </w:r>
                      <w:proofErr w:type="spellStart"/>
                      <w:r w:rsidRPr="00564E47">
                        <w:t>America’s</w:t>
                      </w:r>
                      <w:proofErr w:type="spellEnd"/>
                      <w:r w:rsidRPr="00564E47">
                        <w:t xml:space="preserve"> Infrastructure », 2013 Report </w:t>
                      </w:r>
                      <w:proofErr w:type="spellStart"/>
                      <w:r w:rsidRPr="00564E47">
                        <w:t>Card</w:t>
                      </w:r>
                      <w:proofErr w:type="spellEnd"/>
                      <w:r w:rsidRPr="00564E47">
                        <w:t xml:space="preserve"> for </w:t>
                      </w:r>
                      <w:proofErr w:type="spellStart"/>
                      <w:r w:rsidRPr="00564E47">
                        <w:t>America’s</w:t>
                      </w:r>
                      <w:proofErr w:type="spellEnd"/>
                      <w:r w:rsidRPr="00564E47">
                        <w:t xml:space="preserve"> Infrastructure. [Online] </w:t>
                      </w:r>
                      <w:proofErr w:type="spellStart"/>
                      <w:proofErr w:type="gramStart"/>
                      <w:r w:rsidRPr="00564E47">
                        <w:t>Available</w:t>
                      </w:r>
                      <w:proofErr w:type="spellEnd"/>
                      <w:r w:rsidRPr="00564E47">
                        <w:t>:</w:t>
                      </w:r>
                      <w:proofErr w:type="gramEnd"/>
                      <w:r w:rsidRPr="00564E47">
                        <w:t xml:space="preserve"> https://2013.infrastructurereportcard.org/ </w:t>
                      </w:r>
                    </w:p>
                    <w:p w14:paraId="4B91D4E7" w14:textId="77777777" w:rsidR="00D1019A" w:rsidRPr="00564E47" w:rsidRDefault="00D1019A" w:rsidP="00D1019A">
                      <w:pPr>
                        <w:pStyle w:val="NormalWeb"/>
                        <w:spacing w:before="0" w:beforeAutospacing="0"/>
                        <w:jc w:val="both"/>
                      </w:pPr>
                      <w:r w:rsidRPr="00564E47">
                        <w:t xml:space="preserve">[2] M. </w:t>
                      </w:r>
                      <w:proofErr w:type="spellStart"/>
                      <w:r w:rsidRPr="00564E47">
                        <w:t>Seliem</w:t>
                      </w:r>
                      <w:proofErr w:type="spellEnd"/>
                      <w:r w:rsidRPr="00564E47">
                        <w:t xml:space="preserve">, G. </w:t>
                      </w:r>
                      <w:proofErr w:type="spellStart"/>
                      <w:r w:rsidRPr="00564E47">
                        <w:t>Lucier</w:t>
                      </w:r>
                      <w:proofErr w:type="spellEnd"/>
                      <w:r w:rsidRPr="00564E47">
                        <w:t xml:space="preserve">, S. H. </w:t>
                      </w:r>
                      <w:proofErr w:type="spellStart"/>
                      <w:r w:rsidRPr="00564E47">
                        <w:t>Rizkalla</w:t>
                      </w:r>
                      <w:proofErr w:type="spellEnd"/>
                      <w:r w:rsidRPr="00564E47">
                        <w:t>, et P. Zia, « </w:t>
                      </w:r>
                      <w:proofErr w:type="spellStart"/>
                      <w:r w:rsidRPr="00564E47">
                        <w:t>Behavior</w:t>
                      </w:r>
                      <w:proofErr w:type="spellEnd"/>
                      <w:r w:rsidRPr="00564E47">
                        <w:t xml:space="preserve"> of </w:t>
                      </w:r>
                      <w:proofErr w:type="spellStart"/>
                      <w:r w:rsidRPr="00564E47">
                        <w:t>concrete</w:t>
                      </w:r>
                      <w:proofErr w:type="spellEnd"/>
                      <w:r w:rsidRPr="00564E47">
                        <w:t xml:space="preserve"> bridge decks </w:t>
                      </w:r>
                      <w:proofErr w:type="spellStart"/>
                      <w:r w:rsidRPr="00564E47">
                        <w:t>reinforced</w:t>
                      </w:r>
                      <w:proofErr w:type="spellEnd"/>
                      <w:r w:rsidRPr="00564E47">
                        <w:t xml:space="preserve"> </w:t>
                      </w:r>
                      <w:proofErr w:type="spellStart"/>
                      <w:r w:rsidRPr="00564E47">
                        <w:t>with</w:t>
                      </w:r>
                      <w:proofErr w:type="spellEnd"/>
                      <w:r w:rsidRPr="00564E47">
                        <w:t xml:space="preserve"> high-performance </w:t>
                      </w:r>
                      <w:proofErr w:type="spellStart"/>
                      <w:r w:rsidRPr="00564E47">
                        <w:t>steel</w:t>
                      </w:r>
                      <w:proofErr w:type="spellEnd"/>
                      <w:r w:rsidRPr="00564E47">
                        <w:t xml:space="preserve"> », ACI </w:t>
                      </w:r>
                      <w:proofErr w:type="spellStart"/>
                      <w:r w:rsidRPr="00564E47">
                        <w:t>Struct</w:t>
                      </w:r>
                      <w:proofErr w:type="spellEnd"/>
                      <w:r w:rsidRPr="00564E47">
                        <w:t>. J., vol. 15, no 1, p. 78</w:t>
                      </w:r>
                      <w:r w:rsidRPr="00564E47">
                        <w:noBreakHyphen/>
                        <w:t>86, jan. 2008.</w:t>
                      </w:r>
                    </w:p>
                    <w:p w14:paraId="34A16C66" w14:textId="77777777" w:rsidR="00D1019A" w:rsidRPr="00564E47" w:rsidRDefault="00D1019A" w:rsidP="00D1019A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</w:pPr>
                      <w:r w:rsidRPr="00564E47">
                        <w:t xml:space="preserve">[3] T. Hassan, A. </w:t>
                      </w:r>
                      <w:proofErr w:type="spellStart"/>
                      <w:r w:rsidRPr="00564E47">
                        <w:t>Abdelrahman</w:t>
                      </w:r>
                      <w:proofErr w:type="spellEnd"/>
                      <w:r w:rsidRPr="00564E47">
                        <w:t xml:space="preserve">, et G. </w:t>
                      </w:r>
                      <w:proofErr w:type="spellStart"/>
                      <w:r w:rsidRPr="00564E47">
                        <w:t>Tadros</w:t>
                      </w:r>
                      <w:proofErr w:type="spellEnd"/>
                      <w:r w:rsidRPr="00564E47">
                        <w:t xml:space="preserve">, « Fibre </w:t>
                      </w:r>
                      <w:proofErr w:type="spellStart"/>
                      <w:r w:rsidRPr="00564E47">
                        <w:t>reinforced</w:t>
                      </w:r>
                      <w:proofErr w:type="spellEnd"/>
                      <w:r w:rsidRPr="00564E47">
                        <w:t xml:space="preserve"> </w:t>
                      </w:r>
                      <w:proofErr w:type="spellStart"/>
                      <w:r w:rsidRPr="00564E47">
                        <w:t>polymer</w:t>
                      </w:r>
                      <w:proofErr w:type="spellEnd"/>
                      <w:r w:rsidRPr="00564E47">
                        <w:t xml:space="preserve"> </w:t>
                      </w:r>
                      <w:proofErr w:type="spellStart"/>
                      <w:r w:rsidRPr="00564E47">
                        <w:t>reinforcing</w:t>
                      </w:r>
                      <w:proofErr w:type="spellEnd"/>
                      <w:r w:rsidRPr="00564E47">
                        <w:t xml:space="preserve"> bars for bridge decks », Can. J. </w:t>
                      </w:r>
                      <w:proofErr w:type="spellStart"/>
                      <w:r w:rsidRPr="00564E47">
                        <w:t>Civ</w:t>
                      </w:r>
                      <w:proofErr w:type="spellEnd"/>
                      <w:r w:rsidRPr="00564E47">
                        <w:t>. Eng., vol. 27, no 5, p. 839</w:t>
                      </w:r>
                      <w:r w:rsidRPr="00564E47">
                        <w:noBreakHyphen/>
                        <w:t>849, 2000.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A0C52" w14:textId="65A8DAEF" w:rsidR="00D1019A" w:rsidRDefault="00D1019A" w:rsidP="00D1019A">
      <w:pPr>
        <w:spacing w:before="120" w:line="240" w:lineRule="auto"/>
      </w:pPr>
    </w:p>
    <w:p w14:paraId="1D978C38" w14:textId="5FE354C4" w:rsidR="00D1019A" w:rsidRDefault="00D1019A" w:rsidP="00D1019A">
      <w:pPr>
        <w:spacing w:before="120" w:line="240" w:lineRule="auto"/>
      </w:pPr>
    </w:p>
    <w:p w14:paraId="59EAFF6F" w14:textId="262BA4CE" w:rsidR="00D1019A" w:rsidRDefault="00D1019A" w:rsidP="00D1019A">
      <w:pPr>
        <w:spacing w:before="120" w:line="240" w:lineRule="auto"/>
      </w:pPr>
    </w:p>
    <w:p w14:paraId="27561CEB" w14:textId="3179B978" w:rsidR="00D1019A" w:rsidRDefault="00D1019A" w:rsidP="00D1019A">
      <w:pPr>
        <w:spacing w:before="120" w:line="240" w:lineRule="auto"/>
      </w:pPr>
    </w:p>
    <w:p w14:paraId="2DA023D0" w14:textId="01F58E79" w:rsidR="00D1019A" w:rsidRDefault="00D1019A" w:rsidP="00D1019A">
      <w:pPr>
        <w:spacing w:before="120" w:line="240" w:lineRule="auto"/>
      </w:pPr>
    </w:p>
    <w:p w14:paraId="738A9E21" w14:textId="16D7566F" w:rsidR="00D1019A" w:rsidRDefault="00D1019A" w:rsidP="00D1019A">
      <w:pPr>
        <w:spacing w:before="120" w:line="240" w:lineRule="auto"/>
      </w:pPr>
    </w:p>
    <w:p w14:paraId="27E14157" w14:textId="6D31BBFC" w:rsidR="00D1019A" w:rsidRDefault="00D1019A" w:rsidP="00D1019A">
      <w:pPr>
        <w:spacing w:before="120" w:line="240" w:lineRule="auto"/>
      </w:pPr>
    </w:p>
    <w:p w14:paraId="07946912" w14:textId="579D9504" w:rsidR="00D1019A" w:rsidRDefault="00D1019A" w:rsidP="00D1019A">
      <w:pPr>
        <w:spacing w:before="120" w:line="240" w:lineRule="auto"/>
      </w:pPr>
    </w:p>
    <w:p w14:paraId="638F8F6F" w14:textId="7BA77AD2" w:rsidR="00D1019A" w:rsidRDefault="00D1019A" w:rsidP="00D1019A">
      <w:pPr>
        <w:spacing w:before="120" w:line="240" w:lineRule="auto"/>
      </w:pPr>
    </w:p>
    <w:p w14:paraId="157E827F" w14:textId="77777777" w:rsidR="00D1019A" w:rsidRDefault="00D1019A" w:rsidP="00D1019A">
      <w:pPr>
        <w:spacing w:before="120" w:line="240" w:lineRule="auto"/>
      </w:pPr>
    </w:p>
    <w:p w14:paraId="31610E91" w14:textId="77777777" w:rsidR="00D1019A" w:rsidRDefault="00D1019A" w:rsidP="00D1019A">
      <w:pPr>
        <w:spacing w:before="120" w:line="240" w:lineRule="auto"/>
      </w:pPr>
    </w:p>
    <w:p w14:paraId="73788EA3" w14:textId="77777777" w:rsidR="00D1019A" w:rsidRDefault="00D1019A" w:rsidP="00D1019A">
      <w:pPr>
        <w:spacing w:before="120" w:line="240" w:lineRule="auto"/>
      </w:pPr>
    </w:p>
    <w:p w14:paraId="73050BBB" w14:textId="77777777" w:rsidR="00D1019A" w:rsidRDefault="00D1019A" w:rsidP="00D1019A">
      <w:pPr>
        <w:spacing w:before="120" w:line="240" w:lineRule="auto"/>
      </w:pPr>
    </w:p>
    <w:p w14:paraId="23A00357" w14:textId="77777777" w:rsidR="00D1019A" w:rsidRDefault="00D1019A" w:rsidP="00D1019A">
      <w:pPr>
        <w:spacing w:before="120" w:line="240" w:lineRule="auto"/>
      </w:pPr>
    </w:p>
    <w:p w14:paraId="4CACE491" w14:textId="7FB5B385" w:rsidR="00D1019A" w:rsidRDefault="00D1019A" w:rsidP="00D1019A">
      <w:pPr>
        <w:spacing w:before="120" w:line="240" w:lineRule="auto"/>
      </w:pPr>
    </w:p>
    <w:p w14:paraId="78B4FC56" w14:textId="5241555E" w:rsidR="00564E47" w:rsidRDefault="00564E47" w:rsidP="00D1019A">
      <w:pPr>
        <w:spacing w:before="120" w:line="240" w:lineRule="auto"/>
      </w:pPr>
    </w:p>
    <w:p w14:paraId="2F74E72B" w14:textId="32D5254D" w:rsidR="00564E47" w:rsidRDefault="00564E47" w:rsidP="00D1019A">
      <w:pPr>
        <w:spacing w:before="120" w:line="240" w:lineRule="auto"/>
      </w:pPr>
    </w:p>
    <w:p w14:paraId="3604DC28" w14:textId="737EB48F" w:rsidR="00564E47" w:rsidRDefault="00564E47" w:rsidP="00D1019A">
      <w:pPr>
        <w:spacing w:before="120" w:line="240" w:lineRule="auto"/>
      </w:pPr>
    </w:p>
    <w:p w14:paraId="1FC95EDA" w14:textId="77777777" w:rsidR="00D1019A" w:rsidRDefault="00D1019A" w:rsidP="00D1019A">
      <w:pPr>
        <w:pStyle w:val="3Bibliitem"/>
        <w:spacing w:line="240" w:lineRule="auto"/>
        <w:rPr>
          <w:sz w:val="22"/>
          <w:szCs w:val="22"/>
        </w:rPr>
      </w:pPr>
    </w:p>
    <w:p w14:paraId="0B489250" w14:textId="77777777" w:rsidR="00D1019A" w:rsidRPr="008456D3" w:rsidRDefault="00D1019A" w:rsidP="00D1019A">
      <w:pPr>
        <w:pStyle w:val="3Bibliitem"/>
        <w:spacing w:line="240" w:lineRule="auto"/>
        <w:rPr>
          <w:i/>
          <w:szCs w:val="24"/>
        </w:rPr>
      </w:pPr>
      <w:r w:rsidRPr="008456D3">
        <w:rPr>
          <w:szCs w:val="24"/>
        </w:rPr>
        <w:t>*</w:t>
      </w:r>
      <w:r w:rsidRPr="008456D3">
        <w:rPr>
          <w:i/>
          <w:szCs w:val="24"/>
        </w:rPr>
        <w:t xml:space="preserve">source : KAREEM, Rahman S., JONES, Casey, DANG, </w:t>
      </w:r>
      <w:proofErr w:type="spellStart"/>
      <w:r w:rsidRPr="008456D3">
        <w:rPr>
          <w:i/>
          <w:szCs w:val="24"/>
        </w:rPr>
        <w:t>Canh</w:t>
      </w:r>
      <w:proofErr w:type="spellEnd"/>
      <w:r w:rsidRPr="008456D3">
        <w:rPr>
          <w:i/>
          <w:szCs w:val="24"/>
        </w:rPr>
        <w:t xml:space="preserve"> N., PRINZ, Gary S. et MICAH HALE, W., 2020. Structural performance of </w:t>
      </w:r>
      <w:proofErr w:type="spellStart"/>
      <w:r w:rsidRPr="008456D3">
        <w:rPr>
          <w:i/>
          <w:szCs w:val="24"/>
        </w:rPr>
        <w:t>concrete</w:t>
      </w:r>
      <w:proofErr w:type="spellEnd"/>
      <w:r w:rsidRPr="008456D3">
        <w:rPr>
          <w:i/>
          <w:szCs w:val="24"/>
        </w:rPr>
        <w:t xml:space="preserve"> bridge decks </w:t>
      </w:r>
      <w:proofErr w:type="spellStart"/>
      <w:r w:rsidRPr="008456D3">
        <w:rPr>
          <w:i/>
          <w:szCs w:val="24"/>
        </w:rPr>
        <w:t>reinforced</w:t>
      </w:r>
      <w:proofErr w:type="spellEnd"/>
      <w:r w:rsidRPr="008456D3">
        <w:rPr>
          <w:i/>
          <w:szCs w:val="24"/>
        </w:rPr>
        <w:t xml:space="preserve"> </w:t>
      </w:r>
      <w:proofErr w:type="spellStart"/>
      <w:r w:rsidRPr="008456D3">
        <w:rPr>
          <w:i/>
          <w:szCs w:val="24"/>
        </w:rPr>
        <w:t>with</w:t>
      </w:r>
      <w:proofErr w:type="spellEnd"/>
      <w:r w:rsidRPr="008456D3">
        <w:rPr>
          <w:i/>
          <w:szCs w:val="24"/>
        </w:rPr>
        <w:t xml:space="preserve"> Grade-830 </w:t>
      </w:r>
      <w:proofErr w:type="spellStart"/>
      <w:r w:rsidRPr="008456D3">
        <w:rPr>
          <w:i/>
          <w:szCs w:val="24"/>
        </w:rPr>
        <w:t>steel</w:t>
      </w:r>
      <w:proofErr w:type="spellEnd"/>
      <w:r w:rsidRPr="008456D3">
        <w:rPr>
          <w:i/>
          <w:szCs w:val="24"/>
        </w:rPr>
        <w:t xml:space="preserve"> bars. In : Structures, vol. 27, pp. 1396</w:t>
      </w:r>
      <w:r w:rsidRPr="008456D3">
        <w:rPr>
          <w:i/>
          <w:szCs w:val="24"/>
        </w:rPr>
        <w:noBreakHyphen/>
        <w:t xml:space="preserve">1404, </w:t>
      </w:r>
      <w:proofErr w:type="spellStart"/>
      <w:r w:rsidRPr="008456D3">
        <w:rPr>
          <w:i/>
          <w:szCs w:val="24"/>
        </w:rPr>
        <w:t>October</w:t>
      </w:r>
      <w:proofErr w:type="spellEnd"/>
      <w:r w:rsidRPr="008456D3">
        <w:rPr>
          <w:i/>
          <w:szCs w:val="24"/>
        </w:rPr>
        <w:t xml:space="preserve"> 2020.  DOI </w:t>
      </w:r>
      <w:hyperlink r:id="rId8" w:history="1">
        <w:r w:rsidRPr="008456D3">
          <w:rPr>
            <w:i/>
            <w:szCs w:val="24"/>
          </w:rPr>
          <w:t>10.1016/j.istruc.2020.07.054</w:t>
        </w:r>
      </w:hyperlink>
    </w:p>
    <w:p w14:paraId="7A21B49E" w14:textId="77777777" w:rsidR="00D1019A" w:rsidRPr="008456D3" w:rsidRDefault="00D1019A" w:rsidP="00D1019A">
      <w:pPr>
        <w:pStyle w:val="3Bibliitem"/>
        <w:spacing w:line="240" w:lineRule="auto"/>
        <w:rPr>
          <w:i/>
          <w:szCs w:val="24"/>
        </w:rPr>
      </w:pPr>
    </w:p>
    <w:p w14:paraId="7A1AFC05" w14:textId="77777777" w:rsidR="00D1019A" w:rsidRPr="008456D3" w:rsidRDefault="00D1019A" w:rsidP="00D1019A">
      <w:pPr>
        <w:pStyle w:val="3Bibliitem"/>
        <w:spacing w:line="288" w:lineRule="auto"/>
        <w:rPr>
          <w:szCs w:val="24"/>
        </w:rPr>
      </w:pPr>
      <w:r w:rsidRPr="008456D3">
        <w:rPr>
          <w:szCs w:val="24"/>
        </w:rPr>
        <w:t xml:space="preserve">Pour collecter, organiser et normer vos références bibliographiques, nous vous conseillons d’utiliser un gestionnaire de références bibliographiques comme Zotero (en savoir plus : </w:t>
      </w:r>
      <w:hyperlink r:id="rId9" w:history="1">
        <w:proofErr w:type="spellStart"/>
        <w:r w:rsidRPr="008456D3">
          <w:rPr>
            <w:rStyle w:val="Lienhypertexte"/>
            <w:szCs w:val="24"/>
          </w:rPr>
          <w:t>Educnet</w:t>
        </w:r>
        <w:proofErr w:type="spellEnd"/>
        <w:r w:rsidRPr="008456D3">
          <w:rPr>
            <w:rStyle w:val="Lienhypertexte"/>
            <w:szCs w:val="24"/>
          </w:rPr>
          <w:t>/L’info à la Source</w:t>
        </w:r>
      </w:hyperlink>
      <w:r w:rsidRPr="008456D3">
        <w:rPr>
          <w:szCs w:val="24"/>
        </w:rPr>
        <w:t>).</w:t>
      </w:r>
    </w:p>
    <w:p w14:paraId="784337EF" w14:textId="77777777" w:rsidR="00A02E95" w:rsidRPr="008456D3" w:rsidRDefault="00A02E95">
      <w:pPr>
        <w:rPr>
          <w:szCs w:val="24"/>
        </w:rPr>
      </w:pPr>
    </w:p>
    <w:sectPr w:rsidR="00A02E95" w:rsidRPr="008456D3" w:rsidSect="00564E47">
      <w:headerReference w:type="default" r:id="rId10"/>
      <w:footerReference w:type="default" r:id="rId11"/>
      <w:pgSz w:w="11906" w:h="16838"/>
      <w:pgMar w:top="959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F07B" w14:textId="77777777" w:rsidR="00F24FAA" w:rsidRDefault="00F24FAA" w:rsidP="00F24FAA">
      <w:pPr>
        <w:spacing w:line="240" w:lineRule="auto"/>
      </w:pPr>
      <w:r>
        <w:separator/>
      </w:r>
    </w:p>
  </w:endnote>
  <w:endnote w:type="continuationSeparator" w:id="0">
    <w:p w14:paraId="1A66EE81" w14:textId="77777777" w:rsidR="00F24FAA" w:rsidRDefault="00F24FAA" w:rsidP="00F24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3996" w14:textId="77777777" w:rsidR="00F24FAA" w:rsidRDefault="00F24FAA" w:rsidP="00F24FAA">
    <w:pPr>
      <w:pStyle w:val="Pieddepage"/>
      <w:jc w:val="right"/>
    </w:pPr>
    <w:r>
      <w:t xml:space="preserve">Direction de la documentation, des archives et du patrimoine. Marie-Laure Paré </w:t>
    </w:r>
  </w:p>
  <w:p w14:paraId="092DED3D" w14:textId="70F17A3C" w:rsidR="00F24FAA" w:rsidRDefault="00F24FAA" w:rsidP="00F24FAA">
    <w:pPr>
      <w:pStyle w:val="Pieddepage"/>
      <w:jc w:val="right"/>
    </w:pPr>
    <w:r>
      <w:t>MS GCGOE et MS GCE, 202</w:t>
    </w:r>
    <w:r w:rsidR="00F73EF8">
      <w:t>3</w:t>
    </w:r>
    <w:r>
      <w:t>-202</w:t>
    </w:r>
    <w:r w:rsidR="00F73EF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F31F" w14:textId="77777777" w:rsidR="00F24FAA" w:rsidRDefault="00F24FAA" w:rsidP="00F24FAA">
      <w:pPr>
        <w:spacing w:line="240" w:lineRule="auto"/>
      </w:pPr>
      <w:r>
        <w:separator/>
      </w:r>
    </w:p>
  </w:footnote>
  <w:footnote w:type="continuationSeparator" w:id="0">
    <w:p w14:paraId="4EC21E47" w14:textId="77777777" w:rsidR="00F24FAA" w:rsidRDefault="00F24FAA" w:rsidP="00F24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D86B" w14:textId="2D3DF444" w:rsidR="00D754D5" w:rsidRDefault="00D754D5" w:rsidP="00564E47">
    <w:pPr>
      <w:pStyle w:val="3Biblitit1"/>
      <w:spacing w:before="0"/>
      <w:ind w:left="142" w:hanging="1135"/>
      <w:jc w:val="left"/>
    </w:pPr>
    <w:r>
      <w:rPr>
        <w:noProof/>
      </w:rPr>
      <w:drawing>
        <wp:inline distT="0" distB="0" distL="0" distR="0" wp14:anchorId="53A35639" wp14:editId="3C2FA4B8">
          <wp:extent cx="742950" cy="739266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87" cy="756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Bibliographie</w:t>
    </w:r>
  </w:p>
  <w:p w14:paraId="3CD0B30A" w14:textId="77777777" w:rsidR="00564E47" w:rsidRPr="00564E47" w:rsidRDefault="00564E47" w:rsidP="00564E47">
    <w:pPr>
      <w:pStyle w:val="3Biblitit1"/>
      <w:spacing w:before="0"/>
      <w:ind w:left="142" w:hanging="1135"/>
      <w:jc w:val="lef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9A"/>
    <w:rsid w:val="000747D3"/>
    <w:rsid w:val="00137132"/>
    <w:rsid w:val="001C5508"/>
    <w:rsid w:val="001D1269"/>
    <w:rsid w:val="00285FE8"/>
    <w:rsid w:val="003B522A"/>
    <w:rsid w:val="0055104A"/>
    <w:rsid w:val="00564E47"/>
    <w:rsid w:val="00693EF1"/>
    <w:rsid w:val="008142DF"/>
    <w:rsid w:val="008456D3"/>
    <w:rsid w:val="00A02E95"/>
    <w:rsid w:val="00D1019A"/>
    <w:rsid w:val="00D754D5"/>
    <w:rsid w:val="00D92515"/>
    <w:rsid w:val="00EF2563"/>
    <w:rsid w:val="00EF5445"/>
    <w:rsid w:val="00F24FAA"/>
    <w:rsid w:val="00F400F3"/>
    <w:rsid w:val="00F41BF8"/>
    <w:rsid w:val="00F7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68EF70"/>
  <w15:chartTrackingRefBased/>
  <w15:docId w15:val="{BC3AC617-98CF-4679-A518-4594607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D1019A"/>
    <w:pPr>
      <w:spacing w:after="240"/>
    </w:pPr>
  </w:style>
  <w:style w:type="paragraph" w:customStyle="1" w:styleId="3Bibliitem">
    <w:name w:val="3|Bibli_item"/>
    <w:basedOn w:val="Normal"/>
    <w:rsid w:val="00D1019A"/>
  </w:style>
  <w:style w:type="paragraph" w:customStyle="1" w:styleId="3Biblitit1">
    <w:name w:val="3|Bibli_tit1"/>
    <w:basedOn w:val="Normal"/>
    <w:rsid w:val="00D1019A"/>
    <w:pPr>
      <w:pageBreakBefore/>
      <w:spacing w:before="4800" w:line="240" w:lineRule="auto"/>
      <w:jc w:val="center"/>
      <w:outlineLvl w:val="0"/>
    </w:pPr>
    <w:rPr>
      <w:b/>
      <w:sz w:val="48"/>
    </w:rPr>
  </w:style>
  <w:style w:type="paragraph" w:styleId="NormalWeb">
    <w:name w:val="Normal (Web)"/>
    <w:basedOn w:val="Normal"/>
    <w:uiPriority w:val="99"/>
    <w:unhideWhenUsed/>
    <w:rsid w:val="00D1019A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Lienhypertexte">
    <w:name w:val="Hyperlink"/>
    <w:uiPriority w:val="99"/>
    <w:rsid w:val="00D1019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24FA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F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4FA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F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6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struc.2020.07.0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eeeauthorcenter.ieee.org/wp-content/uploads/IEEE-Reference-Guid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net.enpc.fr/course/view.php?id=112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ducnet.enpc.fr/course/index.php?categoryid=2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PARE</dc:creator>
  <cp:keywords/>
  <dc:description/>
  <cp:lastModifiedBy>Christine GOMES</cp:lastModifiedBy>
  <cp:revision>2</cp:revision>
  <dcterms:created xsi:type="dcterms:W3CDTF">2023-09-26T13:19:00Z</dcterms:created>
  <dcterms:modified xsi:type="dcterms:W3CDTF">2023-09-26T13:19:00Z</dcterms:modified>
</cp:coreProperties>
</file>